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FBEF67">
      <w:pPr>
        <w:widowControl w:val="0"/>
        <w:spacing w:before="78" w:line="219" w:lineRule="auto"/>
        <w:ind w:left="25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9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2-03</w:t>
      </w:r>
    </w:p>
    <w:p w14:paraId="19F7032A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1FC51A52">
      <w:pPr>
        <w:pStyle w:val="25"/>
        <w:spacing w:after="1872"/>
        <w:rPr>
          <w:lang w:eastAsia="zh-CN"/>
        </w:rPr>
      </w:pPr>
      <w:bookmarkStart w:id="0" w:name="_Toc9514"/>
      <w:r>
        <w:rPr>
          <w:lang w:eastAsia="zh-CN"/>
        </w:rPr>
        <w:t>西安泽玺信息科技有限公司</w:t>
      </w:r>
      <w:bookmarkEnd w:id="0"/>
    </w:p>
    <w:p w14:paraId="3B11469A">
      <w:pPr>
        <w:pStyle w:val="26"/>
        <w:spacing w:after="2808"/>
        <w:rPr>
          <w:rFonts w:hint="eastAsia"/>
          <w:sz w:val="36"/>
          <w:szCs w:val="36"/>
          <w:lang w:eastAsia="zh-CN"/>
        </w:rPr>
      </w:pPr>
      <w:bookmarkStart w:id="1" w:name="_Toc7060"/>
      <w:r>
        <w:rPr>
          <w:rFonts w:hint="eastAsia"/>
          <w:sz w:val="36"/>
          <w:szCs w:val="36"/>
          <w:lang w:eastAsia="zh-CN"/>
        </w:rPr>
        <w:t>银川输油气分公司2026年度桌面及信息网络综合运维技术服务项目数据清洗策略实施方法</w:t>
      </w:r>
      <w:bookmarkEnd w:id="1"/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759E26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6296A5C0">
            <w:pPr>
              <w:pStyle w:val="30"/>
              <w:widowControl w:val="0"/>
              <w:ind w:firstLine="0" w:firstLineChars="0"/>
              <w:jc w:val="both"/>
              <w:rPr>
                <w:rFonts w:hint="eastAsia" w:ascii="宋体" w:hAnsi="宋体" w:eastAsia="宋体" w:cs="宋体"/>
                <w:sz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</w:rPr>
              <w:t>编制人:</w:t>
            </w:r>
            <w:r>
              <w:rPr>
                <w:rFonts w:hint="eastAsia" w:ascii="宋体" w:hAnsi="宋体" w:cs="宋体"/>
                <w:sz w:val="21"/>
                <w:u w:val="single"/>
                <w:lang w:val="en-US" w:eastAsia="zh-CN"/>
              </w:rPr>
              <w:t>丁嘉涛</w:t>
            </w:r>
          </w:p>
        </w:tc>
        <w:tc>
          <w:tcPr>
            <w:tcW w:w="4261" w:type="dxa"/>
          </w:tcPr>
          <w:p w14:paraId="74164AF1">
            <w:pPr>
              <w:pStyle w:val="30"/>
              <w:widowControl w:val="0"/>
              <w:ind w:firstLine="420"/>
              <w:jc w:val="both"/>
              <w:rPr>
                <w:rFonts w:hint="default" w:ascii="宋体" w:hAnsi="宋体" w:eastAsia="宋体" w:cs="宋体"/>
                <w:sz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</w:rPr>
              <w:t>编制时间:</w:t>
            </w:r>
            <w:r>
              <w:rPr>
                <w:sz w:val="21"/>
                <w:u w:val="single"/>
              </w:rPr>
              <w:t>2026.1.</w:t>
            </w:r>
            <w:r>
              <w:rPr>
                <w:rFonts w:hint="eastAsia"/>
                <w:sz w:val="21"/>
                <w:u w:val="single"/>
                <w:lang w:val="en-US" w:eastAsia="zh-CN"/>
              </w:rPr>
              <w:t>10</w:t>
            </w:r>
          </w:p>
        </w:tc>
      </w:tr>
      <w:tr w14:paraId="22ED38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4F1110C2">
            <w:pPr>
              <w:pStyle w:val="30"/>
              <w:widowControl w:val="0"/>
              <w:ind w:firstLine="0" w:firstLineChars="0"/>
              <w:jc w:val="both"/>
              <w:rPr>
                <w:rFonts w:hint="eastAsia" w:ascii="宋体" w:hAnsi="宋体" w:eastAsia="宋体" w:cs="宋体"/>
                <w:sz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</w:rPr>
              <w:t>审核人:</w:t>
            </w:r>
            <w:r>
              <w:rPr>
                <w:rFonts w:hint="eastAsia" w:ascii="宋体" w:hAnsi="宋体" w:cs="宋体"/>
                <w:sz w:val="21"/>
                <w:u w:val="single"/>
                <w:lang w:val="en-US" w:eastAsia="zh-CN"/>
              </w:rPr>
              <w:t>孙晓玲</w:t>
            </w:r>
          </w:p>
        </w:tc>
        <w:tc>
          <w:tcPr>
            <w:tcW w:w="4261" w:type="dxa"/>
          </w:tcPr>
          <w:p w14:paraId="734AB6DD">
            <w:pPr>
              <w:pStyle w:val="30"/>
              <w:widowControl w:val="0"/>
              <w:ind w:firstLine="420"/>
              <w:jc w:val="both"/>
              <w:rPr>
                <w:rFonts w:hint="default" w:ascii="宋体" w:hAnsi="宋体" w:eastAsia="宋体" w:cs="宋体"/>
                <w:sz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lang w:val="en-US" w:eastAsia="zh-CN"/>
              </w:rPr>
              <w:t>审核</w:t>
            </w:r>
            <w:r>
              <w:rPr>
                <w:rFonts w:hint="eastAsia" w:ascii="宋体" w:hAnsi="宋体" w:cs="宋体"/>
                <w:sz w:val="21"/>
              </w:rPr>
              <w:t>时间:</w:t>
            </w:r>
            <w:r>
              <w:rPr>
                <w:sz w:val="21"/>
                <w:u w:val="single"/>
              </w:rPr>
              <w:t>2026.1.</w:t>
            </w:r>
            <w:r>
              <w:rPr>
                <w:rFonts w:hint="eastAsia"/>
                <w:sz w:val="21"/>
                <w:u w:val="single"/>
                <w:lang w:val="en-US" w:eastAsia="zh-CN"/>
              </w:rPr>
              <w:t>10</w:t>
            </w:r>
          </w:p>
        </w:tc>
      </w:tr>
      <w:tr w14:paraId="55A282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7E36FF94">
            <w:pPr>
              <w:pStyle w:val="30"/>
              <w:widowControl w:val="0"/>
              <w:ind w:firstLine="0" w:firstLineChars="0"/>
              <w:jc w:val="both"/>
              <w:rPr>
                <w:rFonts w:hint="eastAsia" w:ascii="宋体" w:hAnsi="宋体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批准人:</w:t>
            </w:r>
            <w:r>
              <w:rPr>
                <w:rFonts w:hint="eastAsia" w:ascii="宋体" w:hAnsi="宋体" w:cs="宋体"/>
                <w:sz w:val="21"/>
                <w:u w:val="single"/>
              </w:rPr>
              <w:t>冯建东</w:t>
            </w:r>
          </w:p>
        </w:tc>
        <w:tc>
          <w:tcPr>
            <w:tcW w:w="4261" w:type="dxa"/>
          </w:tcPr>
          <w:p w14:paraId="6B39FE59">
            <w:pPr>
              <w:pStyle w:val="30"/>
              <w:widowControl w:val="0"/>
              <w:ind w:firstLine="420"/>
              <w:jc w:val="both"/>
              <w:rPr>
                <w:rFonts w:hint="default" w:ascii="宋体" w:hAnsi="宋体" w:eastAsia="宋体" w:cs="宋体"/>
                <w:sz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</w:rPr>
              <w:t>审批时间:</w:t>
            </w:r>
            <w:r>
              <w:rPr>
                <w:sz w:val="21"/>
                <w:u w:val="single"/>
              </w:rPr>
              <w:t>2026.1.</w:t>
            </w:r>
            <w:r>
              <w:rPr>
                <w:rFonts w:hint="eastAsia"/>
                <w:sz w:val="21"/>
                <w:u w:val="single"/>
                <w:lang w:val="en-US" w:eastAsia="zh-CN"/>
              </w:rPr>
              <w:t>10</w:t>
            </w:r>
          </w:p>
        </w:tc>
      </w:tr>
    </w:tbl>
    <w:p w14:paraId="4462B0D1">
      <w:pPr>
        <w:pStyle w:val="30"/>
        <w:ind w:firstLine="480"/>
      </w:pPr>
      <w:r>
        <w:br w:type="page"/>
      </w:r>
    </w:p>
    <w:p w14:paraId="08133A68">
      <w:pPr>
        <w:widowControl w:val="0"/>
        <w:spacing w:before="153" w:line="225" w:lineRule="auto"/>
        <w:ind w:left="3634"/>
        <w:rPr>
          <w:rFonts w:hint="eastAsia" w:ascii="宋体" w:hAnsi="宋体" w:cs="宋体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225A04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13D2E327">
            <w:pPr>
              <w:widowControl w:val="0"/>
              <w:spacing w:before="176" w:line="228" w:lineRule="auto"/>
              <w:ind w:left="60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119FA713">
            <w:pPr>
              <w:widowControl w:val="0"/>
              <w:spacing w:before="175" w:line="227" w:lineRule="auto"/>
              <w:ind w:left="25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66590F5F">
            <w:pPr>
              <w:widowControl w:val="0"/>
              <w:spacing w:before="175" w:line="228" w:lineRule="auto"/>
              <w:ind w:left="73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2C73C490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7E0B6567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28D7EAF5">
            <w:pPr>
              <w:widowControl w:val="0"/>
              <w:spacing w:before="176" w:line="229" w:lineRule="auto"/>
              <w:ind w:left="3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18E9A9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7BC6389">
            <w:pPr>
              <w:widowControl w:val="0"/>
              <w:spacing w:before="173" w:line="267" w:lineRule="exact"/>
              <w:ind w:left="260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2026.1.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eastAsia="zh-CN"/>
              </w:rPr>
              <w:t>10</w:t>
            </w:r>
          </w:p>
        </w:tc>
        <w:tc>
          <w:tcPr>
            <w:tcW w:w="919" w:type="dxa"/>
          </w:tcPr>
          <w:p w14:paraId="61F02E1A">
            <w:pPr>
              <w:widowControl w:val="0"/>
              <w:spacing w:before="173" w:line="267" w:lineRule="exact"/>
              <w:ind w:left="248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41626101">
            <w:pPr>
              <w:widowControl w:val="0"/>
              <w:spacing w:before="172" w:line="228" w:lineRule="auto"/>
              <w:ind w:left="11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172B05B2">
            <w:pPr>
              <w:widowControl w:val="0"/>
              <w:spacing w:before="172" w:line="228" w:lineRule="auto"/>
              <w:ind w:left="313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丁嘉涛</w:t>
            </w:r>
          </w:p>
        </w:tc>
        <w:tc>
          <w:tcPr>
            <w:tcW w:w="1150" w:type="dxa"/>
          </w:tcPr>
          <w:p w14:paraId="0996F300">
            <w:pPr>
              <w:widowControl w:val="0"/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5"/>
                <w:sz w:val="20"/>
                <w:szCs w:val="20"/>
                <w:lang w:val="en-US" w:eastAsia="zh-CN"/>
              </w:rPr>
              <w:t>孙晓玲</w:t>
            </w:r>
          </w:p>
        </w:tc>
        <w:tc>
          <w:tcPr>
            <w:tcW w:w="1240" w:type="dxa"/>
          </w:tcPr>
          <w:p w14:paraId="201B9224">
            <w:pPr>
              <w:widowControl w:val="0"/>
              <w:spacing w:before="173" w:line="229" w:lineRule="auto"/>
              <w:ind w:left="314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冯建东</w:t>
            </w:r>
          </w:p>
        </w:tc>
      </w:tr>
      <w:tr w14:paraId="6F9D07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EBB8D1C">
            <w:pPr>
              <w:pStyle w:val="28"/>
              <w:rPr>
                <w:rFonts w:hint="eastAsia"/>
              </w:rPr>
            </w:pPr>
          </w:p>
        </w:tc>
        <w:tc>
          <w:tcPr>
            <w:tcW w:w="919" w:type="dxa"/>
          </w:tcPr>
          <w:p w14:paraId="5A20CAE3">
            <w:pPr>
              <w:pStyle w:val="28"/>
              <w:rPr>
                <w:rFonts w:hint="eastAsia"/>
              </w:rPr>
            </w:pPr>
          </w:p>
        </w:tc>
        <w:tc>
          <w:tcPr>
            <w:tcW w:w="2289" w:type="dxa"/>
          </w:tcPr>
          <w:p w14:paraId="39C05FE1">
            <w:pPr>
              <w:pStyle w:val="28"/>
              <w:rPr>
                <w:rFonts w:hint="eastAsia"/>
              </w:rPr>
            </w:pPr>
          </w:p>
        </w:tc>
        <w:tc>
          <w:tcPr>
            <w:tcW w:w="1148" w:type="dxa"/>
          </w:tcPr>
          <w:p w14:paraId="2C04AE50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058B35DC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4A4F9C53">
            <w:pPr>
              <w:pStyle w:val="28"/>
              <w:rPr>
                <w:rFonts w:hint="eastAsia"/>
              </w:rPr>
            </w:pPr>
          </w:p>
        </w:tc>
      </w:tr>
      <w:tr w14:paraId="30F93A9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99F7724">
            <w:pPr>
              <w:pStyle w:val="28"/>
              <w:rPr>
                <w:rFonts w:hint="eastAsia"/>
              </w:rPr>
            </w:pPr>
          </w:p>
        </w:tc>
        <w:tc>
          <w:tcPr>
            <w:tcW w:w="919" w:type="dxa"/>
          </w:tcPr>
          <w:p w14:paraId="3F0FE3E9">
            <w:pPr>
              <w:pStyle w:val="28"/>
              <w:rPr>
                <w:rFonts w:hint="eastAsia"/>
              </w:rPr>
            </w:pPr>
          </w:p>
        </w:tc>
        <w:tc>
          <w:tcPr>
            <w:tcW w:w="2289" w:type="dxa"/>
          </w:tcPr>
          <w:p w14:paraId="51B8AFC1">
            <w:pPr>
              <w:pStyle w:val="28"/>
              <w:rPr>
                <w:rFonts w:hint="eastAsia"/>
              </w:rPr>
            </w:pPr>
          </w:p>
        </w:tc>
        <w:tc>
          <w:tcPr>
            <w:tcW w:w="1148" w:type="dxa"/>
          </w:tcPr>
          <w:p w14:paraId="1CECBC76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053D3E17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404B5613">
            <w:pPr>
              <w:pStyle w:val="28"/>
              <w:rPr>
                <w:rFonts w:hint="eastAsia"/>
              </w:rPr>
            </w:pPr>
          </w:p>
        </w:tc>
      </w:tr>
      <w:tr w14:paraId="235FABB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79F1DC81">
            <w:pPr>
              <w:pStyle w:val="28"/>
              <w:rPr>
                <w:rFonts w:hint="eastAsia"/>
              </w:rPr>
            </w:pPr>
          </w:p>
        </w:tc>
        <w:tc>
          <w:tcPr>
            <w:tcW w:w="919" w:type="dxa"/>
          </w:tcPr>
          <w:p w14:paraId="3A92D8F8">
            <w:pPr>
              <w:pStyle w:val="28"/>
              <w:rPr>
                <w:rFonts w:hint="eastAsia"/>
              </w:rPr>
            </w:pPr>
          </w:p>
        </w:tc>
        <w:tc>
          <w:tcPr>
            <w:tcW w:w="2289" w:type="dxa"/>
          </w:tcPr>
          <w:p w14:paraId="62F4D25E">
            <w:pPr>
              <w:pStyle w:val="28"/>
              <w:rPr>
                <w:rFonts w:hint="eastAsia"/>
              </w:rPr>
            </w:pPr>
          </w:p>
        </w:tc>
        <w:tc>
          <w:tcPr>
            <w:tcW w:w="1148" w:type="dxa"/>
          </w:tcPr>
          <w:p w14:paraId="4CDF1F2D">
            <w:pPr>
              <w:pStyle w:val="28"/>
              <w:rPr>
                <w:rFonts w:hint="eastAsia"/>
              </w:rPr>
            </w:pPr>
          </w:p>
        </w:tc>
        <w:tc>
          <w:tcPr>
            <w:tcW w:w="1150" w:type="dxa"/>
          </w:tcPr>
          <w:p w14:paraId="792656EF">
            <w:pPr>
              <w:pStyle w:val="28"/>
              <w:rPr>
                <w:rFonts w:hint="eastAsia"/>
              </w:rPr>
            </w:pPr>
          </w:p>
        </w:tc>
        <w:tc>
          <w:tcPr>
            <w:tcW w:w="1240" w:type="dxa"/>
          </w:tcPr>
          <w:p w14:paraId="15EE539A">
            <w:pPr>
              <w:pStyle w:val="28"/>
              <w:rPr>
                <w:rFonts w:hint="eastAsia"/>
              </w:rPr>
            </w:pPr>
          </w:p>
        </w:tc>
      </w:tr>
      <w:tr w14:paraId="141929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A04CC68">
            <w:pPr>
              <w:pStyle w:val="28"/>
              <w:rPr>
                <w:rFonts w:hint="eastAsia"/>
              </w:rPr>
            </w:pPr>
          </w:p>
        </w:tc>
        <w:tc>
          <w:tcPr>
            <w:tcW w:w="919" w:type="dxa"/>
          </w:tcPr>
          <w:p w14:paraId="4A3F6F80">
            <w:pPr>
              <w:pStyle w:val="28"/>
              <w:rPr>
                <w:rFonts w:hint="eastAsia"/>
              </w:rPr>
            </w:pPr>
          </w:p>
        </w:tc>
        <w:tc>
          <w:tcPr>
            <w:tcW w:w="2289" w:type="dxa"/>
          </w:tcPr>
          <w:p w14:paraId="4429E9BC">
            <w:pPr>
              <w:pStyle w:val="28"/>
              <w:rPr>
                <w:rFonts w:hint="eastAsia"/>
              </w:rPr>
            </w:pPr>
          </w:p>
        </w:tc>
        <w:tc>
          <w:tcPr>
            <w:tcW w:w="1148" w:type="dxa"/>
          </w:tcPr>
          <w:p w14:paraId="5EDFE210">
            <w:pPr>
              <w:pStyle w:val="28"/>
              <w:rPr>
                <w:rFonts w:hint="eastAsia"/>
              </w:rPr>
            </w:pPr>
          </w:p>
        </w:tc>
        <w:tc>
          <w:tcPr>
            <w:tcW w:w="1150" w:type="dxa"/>
          </w:tcPr>
          <w:p w14:paraId="2524FE1E">
            <w:pPr>
              <w:pStyle w:val="28"/>
              <w:rPr>
                <w:rFonts w:hint="eastAsia"/>
              </w:rPr>
            </w:pPr>
          </w:p>
        </w:tc>
        <w:tc>
          <w:tcPr>
            <w:tcW w:w="1240" w:type="dxa"/>
          </w:tcPr>
          <w:p w14:paraId="3D1F2118">
            <w:pPr>
              <w:pStyle w:val="28"/>
              <w:rPr>
                <w:rFonts w:hint="eastAsia"/>
              </w:rPr>
            </w:pPr>
          </w:p>
        </w:tc>
      </w:tr>
      <w:tr w14:paraId="0416146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2FC48458">
            <w:pPr>
              <w:pStyle w:val="28"/>
              <w:rPr>
                <w:rFonts w:hint="eastAsia"/>
              </w:rPr>
            </w:pPr>
          </w:p>
        </w:tc>
        <w:tc>
          <w:tcPr>
            <w:tcW w:w="919" w:type="dxa"/>
          </w:tcPr>
          <w:p w14:paraId="313F8FFD">
            <w:pPr>
              <w:pStyle w:val="28"/>
              <w:rPr>
                <w:rFonts w:hint="eastAsia"/>
              </w:rPr>
            </w:pPr>
          </w:p>
        </w:tc>
        <w:tc>
          <w:tcPr>
            <w:tcW w:w="2289" w:type="dxa"/>
          </w:tcPr>
          <w:p w14:paraId="65E890D3">
            <w:pPr>
              <w:pStyle w:val="28"/>
              <w:rPr>
                <w:rFonts w:hint="eastAsia"/>
              </w:rPr>
            </w:pPr>
          </w:p>
        </w:tc>
        <w:tc>
          <w:tcPr>
            <w:tcW w:w="1148" w:type="dxa"/>
          </w:tcPr>
          <w:p w14:paraId="3747A3C2">
            <w:pPr>
              <w:pStyle w:val="28"/>
              <w:rPr>
                <w:rFonts w:hint="eastAsia"/>
              </w:rPr>
            </w:pPr>
          </w:p>
        </w:tc>
        <w:tc>
          <w:tcPr>
            <w:tcW w:w="1150" w:type="dxa"/>
          </w:tcPr>
          <w:p w14:paraId="165D499B">
            <w:pPr>
              <w:pStyle w:val="28"/>
              <w:rPr>
                <w:rFonts w:hint="eastAsia"/>
              </w:rPr>
            </w:pPr>
          </w:p>
        </w:tc>
        <w:tc>
          <w:tcPr>
            <w:tcW w:w="1240" w:type="dxa"/>
          </w:tcPr>
          <w:p w14:paraId="49314A85">
            <w:pPr>
              <w:pStyle w:val="28"/>
              <w:rPr>
                <w:rFonts w:hint="eastAsia"/>
              </w:rPr>
            </w:pPr>
          </w:p>
        </w:tc>
      </w:tr>
    </w:tbl>
    <w:p w14:paraId="08EDDD0E">
      <w:r>
        <w:br w:type="page"/>
      </w:r>
    </w:p>
    <w:sdt>
      <w:sdtPr>
        <w:rPr>
          <w:rFonts w:ascii="宋体" w:hAnsi="宋体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cs="宋体"/>
          <w:sz w:val="24"/>
          <w:szCs w:val="24"/>
        </w:rPr>
      </w:sdtEndPr>
      <w:sdtContent>
        <w:p w14:paraId="44F1095F">
          <w:pPr>
            <w:spacing w:line="240" w:lineRule="auto"/>
            <w:jc w:val="center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 w:val="24"/>
              <w:szCs w:val="24"/>
            </w:rPr>
            <w:t>目录</w:t>
          </w:r>
        </w:p>
        <w:p w14:paraId="726936D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_Toc9514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lang w:eastAsia="zh-CN"/>
            </w:rPr>
            <w:t>西安泽玺信息科技有限公司</w:t>
          </w:r>
          <w:r>
            <w:tab/>
          </w:r>
          <w:r>
            <w:fldChar w:fldCharType="begin"/>
          </w:r>
          <w:r>
            <w:instrText xml:space="preserve"> PAGEREF _Toc9514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9A19E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_Toc7060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eastAsia"/>
              <w:szCs w:val="36"/>
              <w:lang w:eastAsia="zh-CN"/>
            </w:rPr>
            <w:t>银川输油气分公司2026年度桌面及信息网络综合运维技术服务项目数据清洗策略实施方法</w:t>
          </w:r>
          <w:r>
            <w:tab/>
          </w:r>
          <w:r>
            <w:fldChar w:fldCharType="begin"/>
          </w:r>
          <w:r>
            <w:instrText xml:space="preserve"> PAGEREF _Toc7060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15FCC9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_Toc1258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文档概述</w:t>
          </w:r>
          <w:r>
            <w:tab/>
          </w:r>
          <w:r>
            <w:fldChar w:fldCharType="begin"/>
          </w:r>
          <w:r>
            <w:instrText xml:space="preserve"> PAGEREF _Toc1258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3DDF4A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_Toc9754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_Toc9754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D28721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_Toc8735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1.2.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_Toc8735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5925E9D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_Toc27077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1.3. </w:t>
          </w:r>
          <w:r>
            <w:t>术语定义</w:t>
          </w:r>
          <w:r>
            <w:tab/>
          </w:r>
          <w:r>
            <w:fldChar w:fldCharType="begin"/>
          </w:r>
          <w:r>
            <w:instrText xml:space="preserve"> PAGEREF _Toc27077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D4B0CC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_Toc4197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实施目标</w:t>
          </w:r>
          <w:r>
            <w:tab/>
          </w:r>
          <w:r>
            <w:fldChar w:fldCharType="begin"/>
          </w:r>
          <w:r>
            <w:instrText xml:space="preserve"> PAGEREF _Toc4197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BC13FA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_Toc20926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t>数据质量目标</w:t>
          </w:r>
          <w:r>
            <w:tab/>
          </w:r>
          <w:r>
            <w:fldChar w:fldCharType="begin"/>
          </w:r>
          <w:r>
            <w:instrText xml:space="preserve"> PAGEREF _Toc20926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205EF0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_Toc9274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2.2. </w:t>
          </w:r>
          <w:r>
            <w:t>业务支撑目标</w:t>
          </w:r>
          <w:r>
            <w:tab/>
          </w:r>
          <w:r>
            <w:fldChar w:fldCharType="begin"/>
          </w:r>
          <w:r>
            <w:instrText xml:space="preserve"> PAGEREF _Toc9274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652B2F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_Toc1692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具体实施策略</w:t>
          </w:r>
          <w:r>
            <w:tab/>
          </w:r>
          <w:r>
            <w:fldChar w:fldCharType="begin"/>
          </w:r>
          <w:r>
            <w:instrText xml:space="preserve"> PAGEREF _Toc1692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1513DE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_Toc14757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分域清洗实施要点</w:t>
          </w:r>
          <w:r>
            <w:tab/>
          </w:r>
          <w:r>
            <w:fldChar w:fldCharType="begin"/>
          </w:r>
          <w:r>
            <w:instrText xml:space="preserve"> PAGEREF _Toc14757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621EDF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_Toc6896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3.1.1. </w:t>
          </w:r>
          <w:r>
            <w:t>运维服务计划数据域</w:t>
          </w:r>
          <w:r>
            <w:tab/>
          </w:r>
          <w:r>
            <w:fldChar w:fldCharType="begin"/>
          </w:r>
          <w:r>
            <w:instrText xml:space="preserve"> PAGEREF _Toc6896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7D5B46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_Toc11528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3.1.2. </w:t>
          </w:r>
          <w:r>
            <w:t>设备运行状态数据域</w:t>
          </w:r>
          <w:r>
            <w:tab/>
          </w:r>
          <w:r>
            <w:fldChar w:fldCharType="begin"/>
          </w:r>
          <w:r>
            <w:instrText xml:space="preserve"> PAGEREF _Toc11528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D1C522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_Toc9540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3.1.3. </w:t>
          </w:r>
          <w:r>
            <w:t>运维技术人员管理数据域</w:t>
          </w:r>
          <w:r>
            <w:tab/>
          </w:r>
          <w:r>
            <w:fldChar w:fldCharType="begin"/>
          </w:r>
          <w:r>
            <w:instrText xml:space="preserve"> PAGEREF _Toc9540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594D4F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_Toc32693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3.1.4. </w:t>
          </w:r>
          <w:r>
            <w:t>设备运维数据域</w:t>
          </w:r>
          <w:r>
            <w:tab/>
          </w:r>
          <w:r>
            <w:fldChar w:fldCharType="begin"/>
          </w:r>
          <w:r>
            <w:instrText xml:space="preserve"> PAGEREF _Toc32693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5942AB2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_Toc31461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3.1.5. </w:t>
          </w:r>
          <w:r>
            <w:t>调度与资源数据域</w:t>
          </w:r>
          <w:r>
            <w:tab/>
          </w:r>
          <w:r>
            <w:fldChar w:fldCharType="begin"/>
          </w:r>
          <w:r>
            <w:instrText xml:space="preserve"> PAGEREF _Toc31461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B31F43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_Toc11773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3.1.6. </w:t>
          </w:r>
          <w:r>
            <w:t>费用与结算数据域</w:t>
          </w:r>
          <w:r>
            <w:tab/>
          </w:r>
          <w:r>
            <w:fldChar w:fldCharType="begin"/>
          </w:r>
          <w:r>
            <w:instrText xml:space="preserve"> PAGEREF _Toc11773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FEF45C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_Toc6706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3.1.7. </w:t>
          </w:r>
          <w:r>
            <w:t>系统日志与接口数据域</w:t>
          </w:r>
          <w:r>
            <w:tab/>
          </w:r>
          <w:r>
            <w:fldChar w:fldCharType="begin"/>
          </w:r>
          <w:r>
            <w:instrText xml:space="preserve"> PAGEREF _Toc6706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B2DE7D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_Toc10953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t>技术工具与操作流程</w:t>
          </w:r>
          <w:r>
            <w:tab/>
          </w:r>
          <w:r>
            <w:fldChar w:fldCharType="begin"/>
          </w:r>
          <w:r>
            <w:instrText xml:space="preserve"> PAGEREF _Toc10953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0BD418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_Toc2128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详细实施步骤</w:t>
          </w:r>
          <w:r>
            <w:tab/>
          </w:r>
          <w:r>
            <w:fldChar w:fldCharType="begin"/>
          </w:r>
          <w:r>
            <w:instrText xml:space="preserve"> PAGEREF _Toc2128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2176A5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_Toc21768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t>第一阶段：规则设计与环境准备（第1-30天）</w:t>
          </w:r>
          <w:r>
            <w:tab/>
          </w:r>
          <w:r>
            <w:fldChar w:fldCharType="begin"/>
          </w:r>
          <w:r>
            <w:instrText xml:space="preserve"> PAGEREF _Toc21768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F5D50F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_Toc17766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t>第二阶段：集成联调与试运行（第31-60天）</w:t>
          </w:r>
          <w:r>
            <w:tab/>
          </w:r>
          <w:r>
            <w:fldChar w:fldCharType="begin"/>
          </w:r>
          <w:r>
            <w:instrText xml:space="preserve"> PAGEREF _Toc17766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5C87B3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_Toc7537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4.3. </w:t>
          </w:r>
          <w:r>
            <w:t>第三阶段：全量上线与监控（第61-75天）</w:t>
          </w:r>
          <w:r>
            <w:tab/>
          </w:r>
          <w:r>
            <w:fldChar w:fldCharType="begin"/>
          </w:r>
          <w:r>
            <w:instrText xml:space="preserve"> PAGEREF _Toc7537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2D9698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_Toc21454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4.4. </w:t>
          </w:r>
          <w:r>
            <w:t>第四阶段：验收支持与知识转移（第76-90天）</w:t>
          </w:r>
          <w:r>
            <w:tab/>
          </w:r>
          <w:r>
            <w:fldChar w:fldCharType="begin"/>
          </w:r>
          <w:r>
            <w:instrText xml:space="preserve"> PAGEREF _Toc21454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276B31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_Toc1897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风险管理与质量控制</w:t>
          </w:r>
          <w:r>
            <w:tab/>
          </w:r>
          <w:r>
            <w:fldChar w:fldCharType="begin"/>
          </w:r>
          <w:r>
            <w:instrText xml:space="preserve"> PAGEREF _Toc1897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DCEE21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_Toc29165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关键风险与应对</w:t>
          </w:r>
          <w:r>
            <w:tab/>
          </w:r>
          <w:r>
            <w:fldChar w:fldCharType="begin"/>
          </w:r>
          <w:r>
            <w:instrText xml:space="preserve"> PAGEREF _Toc29165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F696B8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_Toc17938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质量控制活动</w:t>
          </w:r>
          <w:r>
            <w:tab/>
          </w:r>
          <w:r>
            <w:fldChar w:fldCharType="begin"/>
          </w:r>
          <w:r>
            <w:instrText xml:space="preserve"> PAGEREF _Toc17938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3DFC41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_Toc25474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交付物清单</w:t>
          </w:r>
          <w:r>
            <w:tab/>
          </w:r>
          <w:r>
            <w:fldChar w:fldCharType="begin"/>
          </w:r>
          <w:r>
            <w:instrText xml:space="preserve"> PAGEREF _Toc25474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A1ECC77">
          <w:pPr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Cs w:val="24"/>
            </w:rPr>
            <w:fldChar w:fldCharType="end"/>
          </w:r>
        </w:p>
      </w:sdtContent>
    </w:sdt>
    <w:p w14:paraId="549338E6">
      <w:pPr>
        <w:pStyle w:val="29"/>
        <w:bidi w:val="0"/>
      </w:pPr>
      <w:bookmarkStart w:id="2" w:name="heading_2"/>
      <w:bookmarkStart w:id="3" w:name="_Toc1258"/>
      <w:r>
        <w:t>文档概述</w:t>
      </w:r>
      <w:bookmarkEnd w:id="2"/>
      <w:bookmarkEnd w:id="3"/>
    </w:p>
    <w:p w14:paraId="469AA773">
      <w:pPr>
        <w:pStyle w:val="31"/>
        <w:bidi w:val="0"/>
      </w:pPr>
      <w:bookmarkStart w:id="4" w:name="heading_3"/>
      <w:bookmarkStart w:id="5" w:name="_Toc9754"/>
      <w:r>
        <w:t>目的</w:t>
      </w:r>
      <w:bookmarkEnd w:id="4"/>
      <w:bookmarkEnd w:id="5"/>
    </w:p>
    <w:p w14:paraId="31B1FBA1">
      <w:pPr>
        <w:pStyle w:val="30"/>
        <w:bidi w:val="0"/>
      </w:pPr>
      <w:r>
        <w:t>本文档旨在为“银川输油气分公司2026年度桌面及信息网络综合运维技术服务项目”提供具体、可操作的数据清洗实施方法。本方法严格遵循《数据清洗策略需求分析报告》的业务需求与《数据清洗策略方案》的技术架构，确保数据清洗工作能够高质量、高效率地落地执行，保障桌面及信息网络系统数据的准确性、一致性与时效性。</w:t>
      </w:r>
    </w:p>
    <w:p w14:paraId="5C873FC6">
      <w:pPr>
        <w:pStyle w:val="31"/>
        <w:bidi w:val="0"/>
      </w:pPr>
      <w:bookmarkStart w:id="6" w:name="heading_4"/>
      <w:bookmarkStart w:id="7" w:name="_Toc8735"/>
      <w:r>
        <w:t>适用范围</w:t>
      </w:r>
      <w:bookmarkEnd w:id="6"/>
      <w:bookmarkEnd w:id="7"/>
    </w:p>
    <w:p w14:paraId="62E55818">
      <w:pPr>
        <w:pStyle w:val="30"/>
        <w:bidi w:val="0"/>
      </w:pPr>
      <w:r>
        <w:t>本方法适用于本项目所有数据源的清洗实施工作，具体包括但不限于以下七类数据域：</w:t>
      </w:r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4"/>
        <w:gridCol w:w="3479"/>
        <w:gridCol w:w="3479"/>
      </w:tblGrid>
      <w:tr w14:paraId="309F48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CBE25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数据域</w:t>
            </w:r>
          </w:p>
        </w:tc>
        <w:tc>
          <w:tcPr>
            <w:tcW w:w="347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C7518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数据来源</w:t>
            </w:r>
          </w:p>
        </w:tc>
        <w:tc>
          <w:tcPr>
            <w:tcW w:w="347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4D7684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主要问题</w:t>
            </w:r>
          </w:p>
        </w:tc>
      </w:tr>
      <w:tr w14:paraId="0BABE3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3E47F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运维服务计划数据域</w:t>
            </w:r>
          </w:p>
        </w:tc>
        <w:tc>
          <w:tcPr>
            <w:tcW w:w="347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0286F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运维申请、运维服务计划、运维工单、计划变更记录</w:t>
            </w:r>
          </w:p>
        </w:tc>
        <w:tc>
          <w:tcPr>
            <w:tcW w:w="347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6C4D8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计划与执行脱节、变更记录缺失、运维时段冲突</w:t>
            </w:r>
          </w:p>
        </w:tc>
      </w:tr>
      <w:tr w14:paraId="616C7B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9EAF2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设备运行状态数据域</w:t>
            </w:r>
          </w:p>
        </w:tc>
        <w:tc>
          <w:tcPr>
            <w:tcW w:w="347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DBF49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设备数据、设备运行记录、设备档案、设备状态信息</w:t>
            </w:r>
          </w:p>
        </w:tc>
        <w:tc>
          <w:tcPr>
            <w:tcW w:w="347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E18AC4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设备身份识别错误、状态信息延迟、设备名/编号不一致</w:t>
            </w:r>
          </w:p>
        </w:tc>
      </w:tr>
      <w:tr w14:paraId="284546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4FA5EE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运维技术人员管理数据域</w:t>
            </w:r>
          </w:p>
        </w:tc>
        <w:tc>
          <w:tcPr>
            <w:tcW w:w="347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2EC7A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运维技术人员档案、资质证书、排班记录、考勤统计</w:t>
            </w:r>
          </w:p>
        </w:tc>
        <w:tc>
          <w:tcPr>
            <w:tcW w:w="347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6602D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资质过期未更新、证书编号不一致、排班冲突与工时超限</w:t>
            </w:r>
          </w:p>
        </w:tc>
      </w:tr>
      <w:tr w14:paraId="6A00C7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90A92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设备运维数据域</w:t>
            </w:r>
          </w:p>
        </w:tc>
        <w:tc>
          <w:tcPr>
            <w:tcW w:w="347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DF237E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设备台账、维修记录、保养计划、故障报修单、巡检记录</w:t>
            </w:r>
          </w:p>
        </w:tc>
        <w:tc>
          <w:tcPr>
            <w:tcW w:w="347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62E86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设备编码不统一、维修记录缺失、保养计划逾期未执行</w:t>
            </w:r>
          </w:p>
        </w:tc>
      </w:tr>
      <w:tr w14:paraId="338433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AA8F42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调度与资源数据域</w:t>
            </w:r>
          </w:p>
        </w:tc>
        <w:tc>
          <w:tcPr>
            <w:tcW w:w="347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81E98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运维工具调度记录、运维资源分配、位置信息信息、网络通道状态</w:t>
            </w:r>
          </w:p>
        </w:tc>
        <w:tc>
          <w:tcPr>
            <w:tcW w:w="347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484E8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资源冲突、调度指令与执行不一致、位置信息编码不统一</w:t>
            </w:r>
          </w:p>
        </w:tc>
      </w:tr>
      <w:tr w14:paraId="5F3CAD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B4988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费用与结算数据域</w:t>
            </w:r>
          </w:p>
        </w:tc>
        <w:tc>
          <w:tcPr>
            <w:tcW w:w="347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DBD58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运维费收记录、结算凭证、应收账款、收费明细</w:t>
            </w:r>
          </w:p>
        </w:tc>
        <w:tc>
          <w:tcPr>
            <w:tcW w:w="347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BDED5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费率引用错误、计费项目不一致、结算凭证日期混乱</w:t>
            </w:r>
          </w:p>
        </w:tc>
      </w:tr>
      <w:tr w14:paraId="46A6DE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6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175DC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系统日志与接口数据域</w:t>
            </w:r>
          </w:p>
        </w:tc>
        <w:tc>
          <w:tcPr>
            <w:tcW w:w="347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7F352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应用日志、数据库日志、用户操作日志、接口调用日志</w:t>
            </w:r>
          </w:p>
        </w:tc>
        <w:tc>
          <w:tcPr>
            <w:tcW w:w="347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28BF5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关键告警被淹没、日志格式不统一、接口调用失败未记录</w:t>
            </w:r>
          </w:p>
        </w:tc>
      </w:tr>
    </w:tbl>
    <w:p w14:paraId="5C7A5E0F">
      <w:pPr>
        <w:pStyle w:val="31"/>
        <w:bidi w:val="0"/>
      </w:pPr>
      <w:bookmarkStart w:id="8" w:name="heading_5"/>
      <w:bookmarkStart w:id="9" w:name="_Toc27077"/>
      <w:r>
        <w:t>术语定义</w:t>
      </w:r>
      <w:bookmarkEnd w:id="8"/>
      <w:bookmarkEnd w:id="9"/>
    </w:p>
    <w:p w14:paraId="2A05E7F7">
      <w:pPr>
        <w:pStyle w:val="30"/>
        <w:bidi w:val="0"/>
      </w:pPr>
      <w:r>
        <w:t>数据清洗：指按照预定义的业务规则与技术逻辑，对原始数据进行检测、修正、转换或标记，以提升其准确性、完整性、一致性、唯一性与时效性的过程。</w:t>
      </w:r>
    </w:p>
    <w:p w14:paraId="782997F2">
      <w:pPr>
        <w:pStyle w:val="30"/>
        <w:bidi w:val="0"/>
      </w:pPr>
      <w:r>
        <w:t>数据质量KPI：衡量数据清洗效果的关键量化指标，如准确率、填充率、延迟等。</w:t>
      </w:r>
    </w:p>
    <w:p w14:paraId="12F48087">
      <w:pPr>
        <w:pStyle w:val="30"/>
        <w:bidi w:val="0"/>
      </w:pPr>
      <w:r>
        <w:t>数据血缘：记录数据从源头到最终形态的完整处理路径与变换关系。</w:t>
      </w:r>
    </w:p>
    <w:p w14:paraId="7D5CD1C8">
      <w:pPr>
        <w:pStyle w:val="29"/>
        <w:bidi w:val="0"/>
      </w:pPr>
      <w:bookmarkStart w:id="10" w:name="heading_6"/>
      <w:bookmarkStart w:id="11" w:name="_Toc4197"/>
      <w:r>
        <w:t>实施目标</w:t>
      </w:r>
      <w:bookmarkEnd w:id="10"/>
      <w:bookmarkEnd w:id="11"/>
    </w:p>
    <w:p w14:paraId="19FC14A0">
      <w:pPr>
        <w:pStyle w:val="31"/>
        <w:bidi w:val="0"/>
      </w:pPr>
      <w:bookmarkStart w:id="12" w:name="heading_7"/>
      <w:bookmarkStart w:id="13" w:name="_Toc20926"/>
      <w:r>
        <w:t>数据质量目标</w:t>
      </w:r>
      <w:bookmarkEnd w:id="12"/>
      <w:bookmarkEnd w:id="13"/>
    </w:p>
    <w:p w14:paraId="50F0C119">
      <w:pPr>
        <w:pStyle w:val="30"/>
        <w:bidi w:val="0"/>
      </w:pPr>
      <w:r>
        <w:t>通过实施本方法，确保清洗后数据达到以下量化标准：</w:t>
      </w:r>
    </w:p>
    <w:p w14:paraId="170FB1E1">
      <w:pPr>
        <w:pStyle w:val="30"/>
        <w:bidi w:val="0"/>
      </w:pPr>
      <w:r>
        <w:t>准确性：核心业务字段值与其真实状态的一致性，核心业务数据准确率不低于95%。</w:t>
      </w:r>
    </w:p>
    <w:p w14:paraId="4235769A">
      <w:pPr>
        <w:pStyle w:val="30"/>
        <w:bidi w:val="0"/>
      </w:pPr>
      <w:r>
        <w:t>完整性：关键数据采集无缺失，核心业务字段填充率不低于99%。</w:t>
      </w:r>
    </w:p>
    <w:p w14:paraId="2B2A2BDD">
      <w:pPr>
        <w:pStyle w:val="30"/>
        <w:bidi w:val="0"/>
      </w:pPr>
      <w:r>
        <w:t>一致性：同一实体（如设备、运维技术人员、设备）在不同系统中的标识与属性完全统一，主数据一致率达到100%。</w:t>
      </w:r>
    </w:p>
    <w:p w14:paraId="57730520">
      <w:pPr>
        <w:pStyle w:val="30"/>
        <w:bidi w:val="0"/>
      </w:pPr>
      <w:r>
        <w:t>时效性：数据从产生到可用的端到端延迟（P95）不超过10秒。</w:t>
      </w:r>
    </w:p>
    <w:p w14:paraId="184008B9">
      <w:pPr>
        <w:pStyle w:val="30"/>
        <w:bidi w:val="0"/>
      </w:pPr>
      <w:r>
        <w:t>唯一性：业务数据中的重复记录率低于0.1%。</w:t>
      </w:r>
    </w:p>
    <w:p w14:paraId="36A5A10F">
      <w:pPr>
        <w:pStyle w:val="31"/>
        <w:bidi w:val="0"/>
      </w:pPr>
      <w:bookmarkStart w:id="14" w:name="heading_8"/>
      <w:bookmarkStart w:id="15" w:name="_Toc9274"/>
      <w:r>
        <w:t>业务支撑目标</w:t>
      </w:r>
      <w:bookmarkEnd w:id="14"/>
      <w:bookmarkEnd w:id="15"/>
    </w:p>
    <w:p w14:paraId="36801B3D">
      <w:pPr>
        <w:pStyle w:val="30"/>
        <w:bidi w:val="0"/>
      </w:pPr>
      <w:r>
        <w:t>为运维服务计划编制、资源调度提供准确、及时的设备运行状态和运维技术人员/运维工具可用性数据</w:t>
      </w:r>
    </w:p>
    <w:p w14:paraId="7030B663">
      <w:pPr>
        <w:pStyle w:val="30"/>
        <w:bidi w:val="0"/>
      </w:pPr>
      <w:r>
        <w:t>为运维作业调度、设备运维管理提供完整、一致的调度指令与执行反馈数据</w:t>
      </w:r>
    </w:p>
    <w:p w14:paraId="1E7AF754">
      <w:pPr>
        <w:pStyle w:val="30"/>
        <w:bidi w:val="0"/>
      </w:pPr>
      <w:r>
        <w:t>为运维费收结算、财务对账提供准确、可靠的费收记录和凭证数据</w:t>
      </w:r>
    </w:p>
    <w:p w14:paraId="67845377">
      <w:pPr>
        <w:pStyle w:val="30"/>
        <w:bidi w:val="0"/>
      </w:pPr>
      <w:r>
        <w:t>为设备维护、保养计划提供完整、规范的维修和巡检记录</w:t>
      </w:r>
    </w:p>
    <w:p w14:paraId="2C01F653">
      <w:pPr>
        <w:pStyle w:val="30"/>
        <w:bidi w:val="0"/>
      </w:pPr>
      <w:r>
        <w:t>为运维技术人员管理、排班决策提供准确、合规的资质证书和考勤数据</w:t>
      </w:r>
    </w:p>
    <w:p w14:paraId="3C6B46FE">
      <w:pPr>
        <w:pStyle w:val="29"/>
        <w:bidi w:val="0"/>
      </w:pPr>
      <w:bookmarkStart w:id="16" w:name="heading_9"/>
      <w:bookmarkStart w:id="17" w:name="_Toc1692"/>
      <w:r>
        <w:t>具体实施策略</w:t>
      </w:r>
      <w:bookmarkEnd w:id="16"/>
      <w:bookmarkEnd w:id="17"/>
    </w:p>
    <w:p w14:paraId="137588C5">
      <w:pPr>
        <w:pStyle w:val="31"/>
        <w:bidi w:val="0"/>
      </w:pPr>
      <w:bookmarkStart w:id="18" w:name="heading_10"/>
      <w:bookmarkStart w:id="19" w:name="_Toc14757"/>
      <w:r>
        <w:t>分域清洗实施要点</w:t>
      </w:r>
      <w:bookmarkEnd w:id="18"/>
      <w:bookmarkEnd w:id="19"/>
    </w:p>
    <w:p w14:paraId="54A3B4C7">
      <w:pPr>
        <w:pStyle w:val="32"/>
        <w:bidi w:val="0"/>
      </w:pPr>
      <w:bookmarkStart w:id="20" w:name="heading_11"/>
      <w:bookmarkStart w:id="21" w:name="_Toc6896"/>
      <w:r>
        <w:t>运维服务计划数据域</w:t>
      </w:r>
      <w:bookmarkEnd w:id="20"/>
      <w:bookmarkEnd w:id="21"/>
    </w:p>
    <w:p w14:paraId="06C109C5">
      <w:pPr>
        <w:pStyle w:val="30"/>
        <w:bidi w:val="0"/>
      </w:pPr>
      <w:r>
        <w:t>1. 实施要点：</w:t>
      </w:r>
    </w:p>
    <w:p w14:paraId="70C2A372">
      <w:pPr>
        <w:pStyle w:val="30"/>
        <w:bidi w:val="0"/>
      </w:pPr>
      <w:r>
        <w:t>建立运维服务计划与设备运维监控轨迹的关联校验规则，编写SQL脚本定期扫描异常工单（如计划已执行但无对应运维监控轨迹、计划取消但仍占用资源）</w:t>
      </w:r>
    </w:p>
    <w:p w14:paraId="07BC128D">
      <w:pPr>
        <w:pStyle w:val="30"/>
        <w:bidi w:val="0"/>
      </w:pPr>
      <w:r>
        <w:t>对计划变更记录进行完整性校验，确保每次变更均有变更时间、变更原因、操作人记录</w:t>
      </w:r>
    </w:p>
    <w:p w14:paraId="0B887C28">
      <w:pPr>
        <w:pStyle w:val="30"/>
        <w:bidi w:val="0"/>
      </w:pPr>
      <w:r>
        <w:t>检测同一运维技术人员或运维工具在重叠时段内的排班冲突，自动预警并生成冲突报告</w:t>
      </w:r>
    </w:p>
    <w:p w14:paraId="6A8B2FDB">
      <w:pPr>
        <w:pStyle w:val="30"/>
        <w:bidi w:val="0"/>
      </w:pPr>
      <w:r>
        <w:t>建立计划时间逻辑校验规则，确保运维开始时间、结束时间、前后作业衔接顺序合理</w:t>
      </w:r>
    </w:p>
    <w:p w14:paraId="15EA9850">
      <w:pPr>
        <w:pStyle w:val="30"/>
        <w:bidi w:val="0"/>
      </w:pPr>
      <w:r>
        <w:t>2. 技术实现示例（SQL）：</w:t>
      </w:r>
    </w:p>
    <w:tbl>
      <w:tblPr>
        <w:tblStyle w:val="2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76C99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DB20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sql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-示例：运维人员排班冲突检测脚本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SELECT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tech_id,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schedule_date,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start_time,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end_time,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COUNT(*) as conflict_count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ops_schedule_table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WHERE schedule_date = '2026-01-10'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GROUP BY tech_id, schedule_date, start_time, end_time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HAVING COUNT(*) &gt; 1;</w:t>
            </w:r>
          </w:p>
        </w:tc>
      </w:tr>
    </w:tbl>
    <w:p w14:paraId="5473F4E1">
      <w:pPr>
        <w:pStyle w:val="32"/>
        <w:bidi w:val="0"/>
      </w:pPr>
      <w:bookmarkStart w:id="22" w:name="heading_12"/>
      <w:bookmarkStart w:id="23" w:name="_Toc11528"/>
      <w:r>
        <w:t>设备运行状态数据域</w:t>
      </w:r>
      <w:bookmarkEnd w:id="22"/>
      <w:bookmarkEnd w:id="23"/>
    </w:p>
    <w:p w14:paraId="7DC050DC">
      <w:pPr>
        <w:pStyle w:val="30"/>
        <w:bidi w:val="0"/>
      </w:pPr>
      <w:r>
        <w:t>1. 实施要点：</w:t>
      </w:r>
    </w:p>
    <w:p w14:paraId="2C79946F">
      <w:pPr>
        <w:pStyle w:val="30"/>
        <w:bidi w:val="0"/>
      </w:pPr>
      <w:r>
        <w:t>建立设备主数据去重与匹配机制，基于设备识别码、设备资产编号、设备名等关键字段识别并合并重复档案</w:t>
      </w:r>
    </w:p>
    <w:p w14:paraId="4544AE62">
      <w:pPr>
        <w:pStyle w:val="30"/>
        <w:bidi w:val="0"/>
      </w:pPr>
      <w:r>
        <w:t>对设备数据进行异常过滤，剔除数据异常、速度异常（如异常）、时间戳明显错误的数据</w:t>
      </w:r>
    </w:p>
    <w:p w14:paraId="19CE3078">
      <w:pPr>
        <w:pStyle w:val="30"/>
        <w:bidi w:val="0"/>
      </w:pPr>
      <w:r>
        <w:t>对设备运行状态时间戳进行校验，确保动态记录的时间顺序合理，延迟超过5分钟的数据标记并触发补录</w:t>
      </w:r>
    </w:p>
    <w:p w14:paraId="6183B6C7">
      <w:pPr>
        <w:pStyle w:val="30"/>
        <w:bidi w:val="0"/>
      </w:pPr>
      <w:r>
        <w:t>统一设备识别标识规范，确保同一设备在不同数据源（运维监控、运维申请、设备档案）中的编码一致</w:t>
      </w:r>
    </w:p>
    <w:p w14:paraId="75B7090A">
      <w:pPr>
        <w:pStyle w:val="30"/>
        <w:bidi w:val="0"/>
      </w:pPr>
      <w:r>
        <w:t>2. 技术实现示例（SQL）：</w:t>
      </w:r>
    </w:p>
    <w:tbl>
      <w:tblPr>
        <w:tblStyle w:val="2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2B879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B8EF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sql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-示例：设备主数据重复检测脚本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SELECT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device_code,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device_name,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COUNT(*) as duplicate_count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device_master_table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GROUP BY device_code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HAVING COUNT(*) &gt; 1;</w:t>
            </w:r>
          </w:p>
        </w:tc>
      </w:tr>
    </w:tbl>
    <w:p w14:paraId="7F4DA3E5">
      <w:pPr>
        <w:pStyle w:val="32"/>
        <w:bidi w:val="0"/>
      </w:pPr>
      <w:bookmarkStart w:id="24" w:name="heading_13"/>
      <w:bookmarkStart w:id="25" w:name="_Toc9540"/>
      <w:r>
        <w:t>运维技术人员管理数据域</w:t>
      </w:r>
      <w:bookmarkEnd w:id="24"/>
      <w:bookmarkEnd w:id="25"/>
    </w:p>
    <w:p w14:paraId="0590C0C5">
      <w:pPr>
        <w:pStyle w:val="30"/>
        <w:bidi w:val="0"/>
      </w:pPr>
      <w:r>
        <w:t>1. 实施要点：</w:t>
      </w:r>
    </w:p>
    <w:p w14:paraId="308308D7">
      <w:pPr>
        <w:pStyle w:val="30"/>
        <w:bidi w:val="0"/>
      </w:pPr>
      <w:r>
        <w:t xml:space="preserve"> 建立运维技术人员资质有效期监控机制，临近过期30天自动预警，过期未更新自动标记并限制排班</w:t>
      </w:r>
    </w:p>
    <w:p w14:paraId="0033ADAE">
      <w:pPr>
        <w:pStyle w:val="30"/>
        <w:bidi w:val="0"/>
      </w:pPr>
      <w:r>
        <w:t>对排班记录进行冲突检测，确保同一时段不安排多任务，且单日工时不超过规定上限</w:t>
      </w:r>
    </w:p>
    <w:p w14:paraId="3BD91D9B">
      <w:pPr>
        <w:pStyle w:val="30"/>
        <w:bidi w:val="0"/>
      </w:pPr>
      <w:r>
        <w:t>对运维技术人员工号、姓名、证书编号进行一致性校验，与主数据比对，不一致的自动标记</w:t>
      </w:r>
    </w:p>
    <w:p w14:paraId="3B6E31D8">
      <w:pPr>
        <w:pStyle w:val="30"/>
        <w:bidi w:val="0"/>
      </w:pPr>
      <w:r>
        <w:t>对考勤统计数据与排班计划进行交叉验证，识别异常签到或漏签情况</w:t>
      </w:r>
    </w:p>
    <w:p w14:paraId="398AE189">
      <w:pPr>
        <w:pStyle w:val="32"/>
        <w:bidi w:val="0"/>
      </w:pPr>
      <w:bookmarkStart w:id="26" w:name="heading_14"/>
      <w:bookmarkStart w:id="27" w:name="_Toc32693"/>
      <w:r>
        <w:t>设备运维数据域</w:t>
      </w:r>
      <w:bookmarkEnd w:id="26"/>
      <w:bookmarkEnd w:id="27"/>
    </w:p>
    <w:p w14:paraId="41EE6AE2">
      <w:pPr>
        <w:pStyle w:val="30"/>
        <w:bidi w:val="0"/>
      </w:pPr>
      <w:r>
        <w:t>1. 实施要点：</w:t>
      </w:r>
    </w:p>
    <w:p w14:paraId="7EF106F6">
      <w:pPr>
        <w:pStyle w:val="30"/>
        <w:bidi w:val="0"/>
      </w:pPr>
      <w:r>
        <w:t>建立设备主数据统一编码规范，确保同一设备（如服务器、交换机、路由器）在不同系统中的编码一致</w:t>
      </w:r>
    </w:p>
    <w:p w14:paraId="29F77437">
      <w:pPr>
        <w:pStyle w:val="30"/>
        <w:bidi w:val="0"/>
      </w:pPr>
      <w:r>
        <w:t>对维修记录的关键字段（设备编码、故障现象、维修措施、维修时间、维修人员）进行完整性校验，缺失字段标记并触发补录</w:t>
      </w:r>
    </w:p>
    <w:p w14:paraId="5CE57BEB">
      <w:pPr>
        <w:pStyle w:val="30"/>
        <w:bidi w:val="0"/>
      </w:pPr>
      <w:r>
        <w:t>建立保养计划执行情况跟踪机制，对逾期未执行的保养计划自动预警并通知责任人</w:t>
      </w:r>
    </w:p>
    <w:p w14:paraId="6815341D">
      <w:pPr>
        <w:pStyle w:val="30"/>
        <w:bidi w:val="0"/>
      </w:pPr>
      <w:r>
        <w:t>对故障报修单进行分类归集，按故障等级（紧急/重要/一般）自动标记，识别高频故障设备</w:t>
      </w:r>
    </w:p>
    <w:p w14:paraId="3011CD27">
      <w:pPr>
        <w:pStyle w:val="30"/>
        <w:bidi w:val="0"/>
      </w:pPr>
      <w:r>
        <w:t>对巡检记录进行时序校验，确保巡检周期符合预设标准，遗漏巡检自动标记</w:t>
      </w:r>
    </w:p>
    <w:p w14:paraId="78C0F956">
      <w:pPr>
        <w:pStyle w:val="32"/>
        <w:bidi w:val="0"/>
      </w:pPr>
      <w:bookmarkStart w:id="28" w:name="heading_15"/>
      <w:bookmarkStart w:id="29" w:name="_Toc31461"/>
      <w:r>
        <w:t>调度与资源数据域</w:t>
      </w:r>
      <w:bookmarkEnd w:id="28"/>
      <w:bookmarkEnd w:id="29"/>
    </w:p>
    <w:p w14:paraId="4B87B6DF">
      <w:pPr>
        <w:pStyle w:val="30"/>
        <w:bidi w:val="0"/>
      </w:pPr>
      <w:r>
        <w:t>1. 实施要点：</w:t>
      </w:r>
    </w:p>
    <w:p w14:paraId="7AEB1820">
      <w:pPr>
        <w:pStyle w:val="30"/>
        <w:bidi w:val="0"/>
      </w:pPr>
      <w:r>
        <w:t>建立运维工具与运维任务的资源分配校验规则，检测同一运维工具在重叠时段内的任务冲突</w:t>
      </w:r>
    </w:p>
    <w:p w14:paraId="07618834">
      <w:pPr>
        <w:pStyle w:val="30"/>
        <w:bidi w:val="0"/>
      </w:pPr>
      <w:r>
        <w:t>对调度指令与执行反馈进行比对，识别指令未确认、执行偏差等异常情况</w:t>
      </w:r>
    </w:p>
    <w:p w14:paraId="4A62A4A2">
      <w:pPr>
        <w:pStyle w:val="30"/>
        <w:bidi w:val="0"/>
      </w:pPr>
      <w:r>
        <w:t>统一位置信息编码规范，确保位置信息信息在不同模块中的编码一致，不一致的自动映射</w:t>
      </w:r>
    </w:p>
    <w:p w14:paraId="6480F568">
      <w:pPr>
        <w:pStyle w:val="30"/>
        <w:bidi w:val="0"/>
      </w:pPr>
      <w:r>
        <w:t>对网络通道状态变更记录进行完整性校验，确保状态变更有时间、原因、操作人记录</w:t>
      </w:r>
    </w:p>
    <w:p w14:paraId="0E077BED">
      <w:pPr>
        <w:pStyle w:val="32"/>
        <w:bidi w:val="0"/>
      </w:pPr>
      <w:bookmarkStart w:id="30" w:name="heading_16"/>
      <w:bookmarkStart w:id="31" w:name="_Toc11773"/>
      <w:r>
        <w:t>费用与结算数据域</w:t>
      </w:r>
      <w:bookmarkEnd w:id="30"/>
      <w:bookmarkEnd w:id="31"/>
    </w:p>
    <w:p w14:paraId="28D7E2F6">
      <w:pPr>
        <w:pStyle w:val="30"/>
        <w:bidi w:val="0"/>
      </w:pPr>
      <w:r>
        <w:t>1. 实施要点：</w:t>
      </w:r>
    </w:p>
    <w:p w14:paraId="6C5E05A2">
      <w:pPr>
        <w:pStyle w:val="30"/>
        <w:bidi w:val="0"/>
      </w:pPr>
      <w:r>
        <w:t>建立费率引用校验规则，自动比对费收记录中的费率与标准费率表，差异超阈值（如&gt;5%）标记</w:t>
      </w:r>
    </w:p>
    <w:p w14:paraId="15226BDB">
      <w:pPr>
        <w:pStyle w:val="30"/>
        <w:bidi w:val="0"/>
      </w:pPr>
      <w:r>
        <w:t>对计费项目进行合理性校验，与设备档案中的参考吨位对比，异常偏差自动预警</w:t>
      </w:r>
    </w:p>
    <w:p w14:paraId="2F3BE6D8">
      <w:pPr>
        <w:pStyle w:val="30"/>
        <w:bidi w:val="0"/>
      </w:pPr>
      <w:r>
        <w:t>建立凭证借贷平衡校验规则，不平凭证自动拦截并写入异常表，通知计费人员</w:t>
      </w:r>
    </w:p>
    <w:p w14:paraId="61F407EC">
      <w:pPr>
        <w:pStyle w:val="30"/>
        <w:bidi w:val="0"/>
      </w:pPr>
      <w:r>
        <w:t>对结算凭证日期进行逻辑校验，确保凭证日期不晚于当前日期，不早于设备作业日期</w:t>
      </w:r>
    </w:p>
    <w:p w14:paraId="45416EEC">
      <w:pPr>
        <w:pStyle w:val="30"/>
        <w:bidi w:val="0"/>
      </w:pPr>
      <w:r>
        <w:t>对收费明细与费收记录进行一致性校验，确保金额匹配、计算正确</w:t>
      </w:r>
    </w:p>
    <w:p w14:paraId="60195426">
      <w:pPr>
        <w:pStyle w:val="30"/>
        <w:bidi w:val="0"/>
      </w:pPr>
      <w:r>
        <w:t>2. 技术实现示例（SQL）：</w:t>
      </w:r>
    </w:p>
    <w:tbl>
      <w:tblPr>
        <w:tblStyle w:val="2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59294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CC64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sql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-示例：计费项目合理性检测脚本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SELECT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invoice_id,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device_id,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billed_amount,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reference_value,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ABS(billed_amount reference_tonnage) / reference_value as deviation_rate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billing_record_table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WHERE ABS(billed_amount reference_tonnage) / reference_tonnage &gt; 0.1;</w:t>
            </w:r>
          </w:p>
        </w:tc>
      </w:tr>
    </w:tbl>
    <w:p w14:paraId="7112B340">
      <w:pPr>
        <w:pStyle w:val="32"/>
        <w:bidi w:val="0"/>
      </w:pPr>
      <w:bookmarkStart w:id="32" w:name="heading_17"/>
      <w:bookmarkStart w:id="33" w:name="_Toc6706"/>
      <w:r>
        <w:t>系统日志与接口数据域</w:t>
      </w:r>
      <w:bookmarkEnd w:id="32"/>
      <w:bookmarkEnd w:id="33"/>
    </w:p>
    <w:p w14:paraId="0D01F994">
      <w:pPr>
        <w:pStyle w:val="30"/>
        <w:bidi w:val="0"/>
      </w:pPr>
      <w:r>
        <w:t>1. 实施要点：</w:t>
      </w:r>
    </w:p>
    <w:p w14:paraId="6DE76AD4">
      <w:pPr>
        <w:pStyle w:val="30"/>
        <w:bidi w:val="0"/>
      </w:pPr>
      <w:r>
        <w:t>制定统一的日志解析规范，使用正则表达式提取时间戳、接口名称、错误码、操作人等关键字段</w:t>
      </w:r>
      <w:r>
        <w:rPr>
          <w:rFonts w:hint="eastAsia"/>
          <w:lang w:eastAsia="zh-CN"/>
        </w:rPr>
        <w:t>。</w:t>
      </w:r>
    </w:p>
    <w:p w14:paraId="3B428734">
      <w:pPr>
        <w:pStyle w:val="30"/>
        <w:bidi w:val="0"/>
      </w:pPr>
      <w:r>
        <w:t>建立规则引擎，从海量日志中实时过滤并归类错误、警告等关键事件</w:t>
      </w:r>
    </w:p>
    <w:p w14:paraId="1FC814CC">
      <w:pPr>
        <w:pStyle w:val="30"/>
        <w:bidi w:val="0"/>
      </w:pPr>
      <w:r>
        <w:t>对监控接口、数据库连接等关键接口的调用失败、超时等情况进行统计和告警</w:t>
      </w:r>
      <w:r>
        <w:rPr>
          <w:rFonts w:hint="eastAsia"/>
          <w:lang w:eastAsia="zh-CN"/>
        </w:rPr>
        <w:t>。</w:t>
      </w:r>
    </w:p>
    <w:p w14:paraId="7392E938">
      <w:pPr>
        <w:pStyle w:val="30"/>
        <w:bidi w:val="0"/>
        <w:rPr>
          <w:rFonts w:hint="eastAsia" w:eastAsia="宋体"/>
          <w:lang w:eastAsia="zh-CN"/>
        </w:rPr>
      </w:pPr>
      <w:r>
        <w:t>对用户异常操作（如多次登录失败、非授权访问尝试、非工作时间敏感操作）进行识别和记录</w:t>
      </w:r>
      <w:r>
        <w:rPr>
          <w:rFonts w:hint="eastAsia"/>
          <w:lang w:eastAsia="zh-CN"/>
        </w:rPr>
        <w:t>。</w:t>
      </w:r>
    </w:p>
    <w:p w14:paraId="5C59AA05">
      <w:pPr>
        <w:pStyle w:val="31"/>
        <w:bidi w:val="0"/>
      </w:pPr>
      <w:bookmarkStart w:id="34" w:name="heading_18"/>
      <w:bookmarkStart w:id="35" w:name="_Toc10953"/>
      <w:r>
        <w:t>技术工具与操作流程</w:t>
      </w:r>
      <w:bookmarkEnd w:id="34"/>
      <w:bookmarkEnd w:id="35"/>
    </w:p>
    <w:p w14:paraId="1E33B814">
      <w:pPr>
        <w:pStyle w:val="30"/>
        <w:bidi w:val="0"/>
      </w:pPr>
      <w:r>
        <w:t>1. 批量清洗：</w:t>
      </w:r>
    </w:p>
    <w:p w14:paraId="5B97683F">
      <w:pPr>
        <w:pStyle w:val="30"/>
        <w:bidi w:val="0"/>
      </w:pPr>
      <w:r>
        <w:t>使用Kettle/DataX等ETL工具，对运维服务计划、设备运维、费用结算等核心业务数据进行定时批量清洗</w:t>
      </w:r>
      <w:r>
        <w:rPr>
          <w:rFonts w:hint="eastAsia"/>
          <w:lang w:eastAsia="zh-CN"/>
        </w:rPr>
        <w:t>。</w:t>
      </w:r>
    </w:p>
    <w:p w14:paraId="69B7D9A4">
      <w:pPr>
        <w:pStyle w:val="30"/>
        <w:bidi w:val="0"/>
      </w:pPr>
      <w:r>
        <w:t>执行数据标准化、去重、补全等操作，按日批次运行</w:t>
      </w:r>
      <w:r>
        <w:rPr>
          <w:rFonts w:hint="eastAsia"/>
          <w:lang w:eastAsia="zh-CN"/>
        </w:rPr>
        <w:t>。</w:t>
      </w:r>
    </w:p>
    <w:p w14:paraId="51F04B91">
      <w:pPr>
        <w:pStyle w:val="30"/>
        <w:bidi w:val="0"/>
      </w:pPr>
      <w:r>
        <w:t>2. 实时校验：</w:t>
      </w:r>
    </w:p>
    <w:p w14:paraId="54058A2C">
      <w:pPr>
        <w:pStyle w:val="30"/>
        <w:bidi w:val="0"/>
      </w:pPr>
      <w:r>
        <w:t>在数据接入层部署轻量级校验规则，对实时性要求高的数据（如运维监控动态、运维工单状态变更）进行实时完整性校验</w:t>
      </w:r>
      <w:r>
        <w:rPr>
          <w:rFonts w:hint="eastAsia"/>
          <w:lang w:eastAsia="zh-CN"/>
        </w:rPr>
        <w:t>。</w:t>
      </w:r>
    </w:p>
    <w:p w14:paraId="5CC17D0A">
      <w:pPr>
        <w:pStyle w:val="30"/>
        <w:bidi w:val="0"/>
      </w:pPr>
      <w:r>
        <w:t>采用规则引擎（如Drools）管理校验规则，实现规则与代码解耦</w:t>
      </w:r>
      <w:r>
        <w:rPr>
          <w:rFonts w:hint="eastAsia"/>
          <w:lang w:eastAsia="zh-CN"/>
        </w:rPr>
        <w:t>。</w:t>
      </w:r>
    </w:p>
    <w:p w14:paraId="66BEB013">
      <w:pPr>
        <w:pStyle w:val="30"/>
        <w:bidi w:val="0"/>
      </w:pPr>
      <w:r>
        <w:t>3. 任务调度：</w:t>
      </w:r>
    </w:p>
    <w:p w14:paraId="336EDED9">
      <w:pPr>
        <w:pStyle w:val="30"/>
        <w:bidi w:val="0"/>
      </w:pPr>
      <w:r>
        <w:t>通过Apache Airflow进行清洗任务调度，管理依赖关系和执行顺序</w:t>
      </w:r>
      <w:r>
        <w:rPr>
          <w:rFonts w:hint="eastAsia"/>
          <w:lang w:eastAsia="zh-CN"/>
        </w:rPr>
        <w:t>。</w:t>
      </w:r>
    </w:p>
    <w:p w14:paraId="0CFD254D">
      <w:pPr>
        <w:pStyle w:val="30"/>
        <w:bidi w:val="0"/>
      </w:pPr>
      <w:r>
        <w:t>设置失败重试、告警通知机制，确保任务可靠性</w:t>
      </w:r>
      <w:r>
        <w:rPr>
          <w:rFonts w:hint="eastAsia"/>
          <w:lang w:eastAsia="zh-CN"/>
        </w:rPr>
        <w:t>。</w:t>
      </w:r>
    </w:p>
    <w:p w14:paraId="6EA3F130">
      <w:pPr>
        <w:pStyle w:val="30"/>
        <w:bidi w:val="0"/>
      </w:pPr>
      <w:r>
        <w:t>4. 监控看板：</w:t>
      </w:r>
    </w:p>
    <w:p w14:paraId="1D00F844">
      <w:pPr>
        <w:pStyle w:val="30"/>
        <w:bidi w:val="0"/>
      </w:pPr>
      <w:r>
        <w:t>利用Grafana配置数据质量KPI看板，实时监控各项指标达成情况</w:t>
      </w:r>
      <w:r>
        <w:rPr>
          <w:rFonts w:hint="eastAsia"/>
          <w:lang w:eastAsia="zh-CN"/>
        </w:rPr>
        <w:t>。</w:t>
      </w:r>
    </w:p>
    <w:p w14:paraId="1944BE02">
      <w:pPr>
        <w:pStyle w:val="30"/>
        <w:bidi w:val="0"/>
        <w:rPr>
          <w:rFonts w:hint="eastAsia"/>
          <w:lang w:eastAsia="zh-CN"/>
        </w:rPr>
      </w:pPr>
      <w:r>
        <w:t>设置阈值告警，指标异常时通过邮件、企业微信通知相关人员</w:t>
      </w:r>
      <w:r>
        <w:rPr>
          <w:rFonts w:hint="eastAsia"/>
          <w:lang w:eastAsia="zh-CN"/>
        </w:rPr>
        <w:t>。</w:t>
      </w:r>
    </w:p>
    <w:p w14:paraId="07DDEB77">
      <w:pPr>
        <w:pStyle w:val="30"/>
        <w:bidi w:val="0"/>
      </w:pPr>
      <w:r>
        <w:t>5. 规则配置：</w:t>
      </w:r>
    </w:p>
    <w:p w14:paraId="021D0A9B">
      <w:pPr>
        <w:pStyle w:val="30"/>
        <w:bidi w:val="0"/>
      </w:pPr>
      <w:r>
        <w:t>清洗规则以JSON配置文件形式存储，通过内部管理界面进行发布、更新与回滚</w:t>
      </w:r>
      <w:r>
        <w:rPr>
          <w:rFonts w:hint="eastAsia"/>
          <w:lang w:eastAsia="zh-CN"/>
        </w:rPr>
        <w:t>。</w:t>
      </w:r>
    </w:p>
    <w:p w14:paraId="574FD82E">
      <w:pPr>
        <w:pStyle w:val="30"/>
        <w:bidi w:val="0"/>
      </w:pPr>
      <w:r>
        <w:t>建立规则版本管理机制，确保规则变更可追溯</w:t>
      </w:r>
      <w:r>
        <w:rPr>
          <w:rFonts w:hint="eastAsia"/>
          <w:lang w:eastAsia="zh-CN"/>
        </w:rPr>
        <w:t>。</w:t>
      </w:r>
      <w:bookmarkStart w:id="54" w:name="_GoBack"/>
      <w:bookmarkEnd w:id="54"/>
    </w:p>
    <w:p w14:paraId="5E096DF3">
      <w:pPr>
        <w:pStyle w:val="29"/>
        <w:bidi w:val="0"/>
      </w:pPr>
      <w:bookmarkStart w:id="36" w:name="heading_19"/>
      <w:bookmarkStart w:id="37" w:name="_Toc2128"/>
      <w:r>
        <w:t>详细实施步骤</w:t>
      </w:r>
      <w:bookmarkEnd w:id="36"/>
      <w:bookmarkEnd w:id="37"/>
    </w:p>
    <w:p w14:paraId="61D5F0B4">
      <w:pPr>
        <w:pStyle w:val="31"/>
        <w:bidi w:val="0"/>
      </w:pPr>
      <w:bookmarkStart w:id="38" w:name="heading_20"/>
      <w:bookmarkStart w:id="39" w:name="_Toc21768"/>
      <w:r>
        <w:t>第一阶段：规则设计与环境准备（第1-30天）</w:t>
      </w:r>
      <w:bookmarkEnd w:id="38"/>
      <w:bookmarkEnd w:id="39"/>
    </w:p>
    <w:p w14:paraId="095A5951">
      <w:pPr>
        <w:pStyle w:val="30"/>
        <w:bidi w:val="0"/>
      </w:pPr>
      <w:r>
        <w:t>1. 数据源对接：</w:t>
      </w:r>
    </w:p>
    <w:p w14:paraId="2BA5B4EA">
      <w:pPr>
        <w:pStyle w:val="30"/>
        <w:bidi w:val="0"/>
      </w:pPr>
      <w:r>
        <w:t>与各业务系统负责人确认数据接口协议，完成运维服务计划、设备运行状态、运维人员排班、设备运维等模块的接入调试</w:t>
      </w:r>
    </w:p>
    <w:p w14:paraId="4FEDAE8B">
      <w:pPr>
        <w:pStyle w:val="30"/>
        <w:bidi w:val="0"/>
      </w:pPr>
      <w:r>
        <w:t>梳理数据字典，明确各数据域的关键字段和业务规则</w:t>
      </w:r>
    </w:p>
    <w:p w14:paraId="03E50F54">
      <w:pPr>
        <w:pStyle w:val="30"/>
        <w:bidi w:val="0"/>
      </w:pPr>
      <w:r>
        <w:t>2. 规则细化开发：</w:t>
      </w:r>
    </w:p>
    <w:p w14:paraId="7DAFFA6E">
      <w:pPr>
        <w:pStyle w:val="30"/>
        <w:bidi w:val="0"/>
      </w:pPr>
      <w:r>
        <w:t>依据《数据清洗策略实施方案》中的规则设计要点，编写具体的清洗代码与配置文件</w:t>
      </w:r>
    </w:p>
    <w:p w14:paraId="27614103">
      <w:pPr>
        <w:pStyle w:val="30"/>
        <w:bidi w:val="0"/>
      </w:pPr>
      <w:r>
        <w:t>为每类清洗规则编写单元测试用例，确保规则正确性</w:t>
      </w:r>
    </w:p>
    <w:p w14:paraId="3741D67F">
      <w:pPr>
        <w:pStyle w:val="30"/>
        <w:bidi w:val="0"/>
      </w:pPr>
      <w:r>
        <w:t>3. 测试环境部署：</w:t>
      </w:r>
    </w:p>
    <w:p w14:paraId="0D95DB50">
      <w:pPr>
        <w:pStyle w:val="30"/>
        <w:bidi w:val="0"/>
      </w:pPr>
      <w:r>
        <w:t>搭建与生产环境一致的测试集群，部署清洗程序与相关依赖组件</w:t>
      </w:r>
    </w:p>
    <w:p w14:paraId="308CFA03">
      <w:pPr>
        <w:pStyle w:val="30"/>
        <w:bidi w:val="0"/>
      </w:pPr>
      <w:r>
        <w:t>配置任务调度和监控系统</w:t>
      </w:r>
    </w:p>
    <w:p w14:paraId="5F7A85CC">
      <w:pPr>
        <w:pStyle w:val="30"/>
        <w:bidi w:val="0"/>
      </w:pPr>
      <w:r>
        <w:t>4. 交付物：</w:t>
      </w:r>
    </w:p>
    <w:p w14:paraId="0F61F92D">
      <w:pPr>
        <w:pStyle w:val="30"/>
        <w:bidi w:val="0"/>
      </w:pPr>
      <w:r>
        <w:t>《详细数据清洗规则说明书》</w:t>
      </w:r>
    </w:p>
    <w:p w14:paraId="355E3B4B">
      <w:pPr>
        <w:pStyle w:val="30"/>
        <w:bidi w:val="0"/>
      </w:pPr>
      <w:r>
        <w:t>《测试环境部署报告》</w:t>
      </w:r>
    </w:p>
    <w:p w14:paraId="516817C7">
      <w:pPr>
        <w:pStyle w:val="30"/>
        <w:bidi w:val="0"/>
      </w:pPr>
      <w:r>
        <w:t>清洗规则单元测试用例及结果</w:t>
      </w:r>
    </w:p>
    <w:p w14:paraId="065ECC89">
      <w:pPr>
        <w:pStyle w:val="31"/>
        <w:bidi w:val="0"/>
      </w:pPr>
      <w:bookmarkStart w:id="40" w:name="heading_21"/>
      <w:bookmarkStart w:id="41" w:name="_Toc17766"/>
      <w:r>
        <w:t>第二阶段：集成联调与试运行（第31-60天）</w:t>
      </w:r>
      <w:bookmarkEnd w:id="40"/>
      <w:bookmarkEnd w:id="41"/>
    </w:p>
    <w:p w14:paraId="2934D690">
      <w:pPr>
        <w:pStyle w:val="30"/>
        <w:bidi w:val="0"/>
      </w:pPr>
      <w:r>
        <w:t>1. 模块集成：</w:t>
      </w:r>
    </w:p>
    <w:p w14:paraId="4A7C1EBD">
      <w:pPr>
        <w:pStyle w:val="30"/>
        <w:bidi w:val="0"/>
      </w:pPr>
      <w:r>
        <w:t>将清洗模块与各业务系统进行联调，确保数据通路畅通</w:t>
      </w:r>
    </w:p>
    <w:p w14:paraId="6D1F3CBF">
      <w:pPr>
        <w:pStyle w:val="30"/>
        <w:bidi w:val="0"/>
      </w:pPr>
      <w:r>
        <w:t>验证清洗程序对接入数据的处理效果</w:t>
      </w:r>
    </w:p>
    <w:p w14:paraId="78944EE6">
      <w:pPr>
        <w:pStyle w:val="30"/>
        <w:bidi w:val="0"/>
      </w:pPr>
      <w:r>
        <w:t>2. 试运行与调优：</w:t>
      </w:r>
    </w:p>
    <w:p w14:paraId="0893ABAC">
      <w:pPr>
        <w:pStyle w:val="30"/>
        <w:bidi w:val="0"/>
      </w:pPr>
      <w:r>
        <w:t>使用历史数据开展至少15天的试运行，监控清洗效果</w:t>
      </w:r>
    </w:p>
    <w:p w14:paraId="5D17010B">
      <w:pPr>
        <w:pStyle w:val="30"/>
        <w:bidi w:val="0"/>
      </w:pPr>
      <w:r>
        <w:t>根据业务部门（运维调度科、设备管理科、计费科等）的反馈调整规则参数</w:t>
      </w:r>
    </w:p>
    <w:p w14:paraId="69800E5A">
      <w:pPr>
        <w:pStyle w:val="30"/>
        <w:bidi w:val="0"/>
      </w:pPr>
      <w:r>
        <w:t>记录试运行期间的数据质量问题和处理情况</w:t>
      </w:r>
    </w:p>
    <w:p w14:paraId="39951046">
      <w:pPr>
        <w:pStyle w:val="30"/>
        <w:bidi w:val="0"/>
      </w:pPr>
      <w:r>
        <w:t>3. 交付物：</w:t>
      </w:r>
    </w:p>
    <w:p w14:paraId="30066499">
      <w:pPr>
        <w:pStyle w:val="30"/>
        <w:bidi w:val="0"/>
      </w:pPr>
      <w:r>
        <w:t>《数据清洗模块集成测试报告》</w:t>
      </w:r>
    </w:p>
    <w:p w14:paraId="7CB24F16">
      <w:pPr>
        <w:pStyle w:val="30"/>
        <w:bidi w:val="0"/>
      </w:pPr>
      <w:r>
        <w:t>《试运行数据质量分析报告》</w:t>
      </w:r>
    </w:p>
    <w:p w14:paraId="0CF79F92">
      <w:pPr>
        <w:pStyle w:val="30"/>
        <w:bidi w:val="0"/>
      </w:pPr>
      <w:r>
        <w:t>试运行期间问题处理记录</w:t>
      </w:r>
    </w:p>
    <w:p w14:paraId="0BF3EF13">
      <w:pPr>
        <w:pStyle w:val="31"/>
        <w:bidi w:val="0"/>
      </w:pPr>
      <w:bookmarkStart w:id="42" w:name="heading_22"/>
      <w:bookmarkStart w:id="43" w:name="_Toc7537"/>
      <w:r>
        <w:t>第三阶段：全量上线与监控（第61-75天）</w:t>
      </w:r>
      <w:bookmarkEnd w:id="42"/>
      <w:bookmarkEnd w:id="43"/>
    </w:p>
    <w:p w14:paraId="49D8B1A1">
      <w:pPr>
        <w:pStyle w:val="30"/>
        <w:bidi w:val="0"/>
      </w:pPr>
      <w:r>
        <w:t>1. 生产环境部署：</w:t>
      </w:r>
    </w:p>
    <w:p w14:paraId="3869F3B2">
      <w:pPr>
        <w:pStyle w:val="30"/>
        <w:bidi w:val="0"/>
      </w:pPr>
      <w:r>
        <w:t>将经测试验证的清洗程序与配置部署至生产环境</w:t>
      </w:r>
    </w:p>
    <w:p w14:paraId="2323F434">
      <w:pPr>
        <w:pStyle w:val="30"/>
        <w:bidi w:val="0"/>
      </w:pPr>
      <w:r>
        <w:t>执行数据全量清洗，确保历史数据质量</w:t>
      </w:r>
    </w:p>
    <w:p w14:paraId="3B6EBF57">
      <w:pPr>
        <w:pStyle w:val="30"/>
        <w:bidi w:val="0"/>
      </w:pPr>
      <w:r>
        <w:t>2. 监控体系启用：</w:t>
      </w:r>
    </w:p>
    <w:p w14:paraId="42C9C96A">
      <w:pPr>
        <w:pStyle w:val="30"/>
        <w:bidi w:val="0"/>
      </w:pPr>
      <w:r>
        <w:t>全面开启数据质量监控看板与告警，实施7x24小时运行监控</w:t>
      </w:r>
    </w:p>
    <w:p w14:paraId="379A36C4">
      <w:pPr>
        <w:pStyle w:val="30"/>
        <w:bidi w:val="0"/>
      </w:pPr>
      <w:r>
        <w:t>建立数据质量日报机制，每日推送质量报告</w:t>
      </w:r>
    </w:p>
    <w:p w14:paraId="0871A3F4">
      <w:pPr>
        <w:pStyle w:val="30"/>
        <w:bidi w:val="0"/>
      </w:pPr>
      <w:r>
        <w:t>3. 交付物：</w:t>
      </w:r>
    </w:p>
    <w:p w14:paraId="0FEE6919">
      <w:pPr>
        <w:pStyle w:val="30"/>
        <w:bidi w:val="0"/>
      </w:pPr>
      <w:r>
        <w:t>《生产环境部署手册》</w:t>
      </w:r>
    </w:p>
    <w:p w14:paraId="553EF34D">
      <w:pPr>
        <w:pStyle w:val="30"/>
        <w:bidi w:val="0"/>
      </w:pPr>
      <w:r>
        <w:t>《数据质量监控看板使用指南》</w:t>
      </w:r>
    </w:p>
    <w:p w14:paraId="37815449">
      <w:pPr>
        <w:pStyle w:val="30"/>
        <w:bidi w:val="0"/>
      </w:pPr>
      <w:r>
        <w:t>数据质量日报模板</w:t>
      </w:r>
    </w:p>
    <w:p w14:paraId="5F6B6FE6">
      <w:pPr>
        <w:pStyle w:val="31"/>
        <w:bidi w:val="0"/>
      </w:pPr>
      <w:bookmarkStart w:id="44" w:name="heading_23"/>
      <w:bookmarkStart w:id="45" w:name="_Toc21454"/>
      <w:r>
        <w:t>第四阶段：验收支持与知识转移（第76-90天）</w:t>
      </w:r>
      <w:bookmarkEnd w:id="44"/>
      <w:bookmarkEnd w:id="45"/>
    </w:p>
    <w:p w14:paraId="152CC00B">
      <w:pPr>
        <w:pStyle w:val="30"/>
        <w:bidi w:val="0"/>
      </w:pPr>
      <w:r>
        <w:t>1. 稳定性运行：</w:t>
      </w:r>
    </w:p>
    <w:p w14:paraId="566FA482">
      <w:pPr>
        <w:pStyle w:val="30"/>
        <w:bidi w:val="0"/>
      </w:pPr>
      <w:r>
        <w:t>保障清洗系统连续稳定运行，收集验收所需的KPI数据</w:t>
      </w:r>
    </w:p>
    <w:p w14:paraId="633B576D">
      <w:pPr>
        <w:pStyle w:val="30"/>
        <w:bidi w:val="0"/>
      </w:pPr>
      <w:r>
        <w:t xml:space="preserve"> 确保连续15天各项KPI持续达标</w:t>
      </w:r>
    </w:p>
    <w:p w14:paraId="073A5AEF">
      <w:pPr>
        <w:pStyle w:val="30"/>
        <w:bidi w:val="0"/>
      </w:pPr>
      <w:r>
        <w:t>2. 文档与培训：</w:t>
      </w:r>
    </w:p>
    <w:p w14:paraId="3ECC94AE">
      <w:pPr>
        <w:pStyle w:val="30"/>
        <w:bidi w:val="0"/>
      </w:pPr>
      <w:r>
        <w:t>整理全部实施文档，包括设计文档、配置说明、操作手册等</w:t>
      </w:r>
    </w:p>
    <w:p w14:paraId="782483F7">
      <w:pPr>
        <w:pStyle w:val="30"/>
        <w:bidi w:val="0"/>
      </w:pPr>
      <w:r>
        <w:t>向甲方运维团队提供一次系统性的操作培训，确保知识有效转移</w:t>
      </w:r>
    </w:p>
    <w:p w14:paraId="26844902">
      <w:pPr>
        <w:pStyle w:val="30"/>
        <w:bidi w:val="0"/>
      </w:pPr>
      <w:r>
        <w:t>3. 交付物：</w:t>
      </w:r>
    </w:p>
    <w:p w14:paraId="5E905C9C">
      <w:pPr>
        <w:pStyle w:val="30"/>
        <w:bidi w:val="0"/>
      </w:pPr>
      <w:r>
        <w:t>《数据清洗系统运维手册》</w:t>
      </w:r>
    </w:p>
    <w:p w14:paraId="6B6E14BE">
      <w:pPr>
        <w:pStyle w:val="30"/>
        <w:bidi w:val="0"/>
      </w:pPr>
      <w:r>
        <w:t>《培训记录》（含签到表、培训材料）</w:t>
      </w:r>
    </w:p>
    <w:p w14:paraId="329E170D">
      <w:pPr>
        <w:pStyle w:val="30"/>
        <w:bidi w:val="0"/>
      </w:pPr>
      <w:r>
        <w:t>《最终数据清洗竣工报告》（含KPI达标证明）</w:t>
      </w:r>
    </w:p>
    <w:p w14:paraId="68EB3707">
      <w:pPr>
        <w:pStyle w:val="29"/>
        <w:bidi w:val="0"/>
      </w:pPr>
      <w:bookmarkStart w:id="46" w:name="heading_24"/>
      <w:bookmarkStart w:id="47" w:name="_Toc1897"/>
      <w:r>
        <w:t>风险管理与质量控制</w:t>
      </w:r>
      <w:bookmarkEnd w:id="46"/>
      <w:bookmarkEnd w:id="47"/>
    </w:p>
    <w:p w14:paraId="00DFFAB9">
      <w:pPr>
        <w:pStyle w:val="31"/>
        <w:bidi w:val="0"/>
      </w:pPr>
      <w:bookmarkStart w:id="48" w:name="heading_25"/>
      <w:bookmarkStart w:id="49" w:name="_Toc29165"/>
      <w:r>
        <w:t>关键风险与应对</w:t>
      </w:r>
      <w:bookmarkEnd w:id="48"/>
      <w:bookmarkEnd w:id="49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5"/>
        <w:gridCol w:w="2156"/>
        <w:gridCol w:w="3961"/>
      </w:tblGrid>
      <w:tr w14:paraId="27492E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40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0485A0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风险类型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F35470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风险描述</w:t>
            </w:r>
          </w:p>
        </w:tc>
        <w:tc>
          <w:tcPr>
            <w:tcW w:w="396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76292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应对措施</w:t>
            </w:r>
          </w:p>
        </w:tc>
      </w:tr>
      <w:tr w14:paraId="25BF50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0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7DCFD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规则逻辑错误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CB630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清洗规则逻辑错误导致数据被错误修改或删除</w:t>
            </w:r>
          </w:p>
        </w:tc>
        <w:tc>
          <w:tcPr>
            <w:tcW w:w="396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B4239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所有清洗规则上线前必须通过业务逻辑评审与数据样本测试，在测试环境充分验证；变更需走审批流程，并在测试环境验证后方可上线</w:t>
            </w:r>
          </w:p>
        </w:tc>
      </w:tr>
      <w:tr w14:paraId="2BCFBC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0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9BBA8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数据丢失与失真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49CC6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清洗过程中数据丢失或失真，无法追溯</w:t>
            </w:r>
          </w:p>
        </w:tc>
        <w:tc>
          <w:tcPr>
            <w:tcW w:w="396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CC1E5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清洗前对原始数据永久备份；清洗过程中记录完整数据血缘日志，确保任何数据都可追溯还原</w:t>
            </w:r>
          </w:p>
        </w:tc>
      </w:tr>
      <w:tr w14:paraId="79C6C5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0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4319D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系统性能瓶颈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CD57D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清洗系统成为数据处理瓶颈，影响业务时效</w:t>
            </w:r>
          </w:p>
        </w:tc>
        <w:tc>
          <w:tcPr>
            <w:tcW w:w="396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2E49E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清洗系统需通过至少1.5倍业务峰值压力的性能测试；设置弹性伸缩策略，监控系统负载</w:t>
            </w:r>
          </w:p>
        </w:tc>
      </w:tr>
      <w:tr w14:paraId="497811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0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B9230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业务规则变更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44C55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业务规则变化导致清洗规则失效</w:t>
            </w:r>
          </w:p>
        </w:tc>
        <w:tc>
          <w:tcPr>
            <w:tcW w:w="396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183E8E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建立《数据清洗规则变更管理流程》，与业务部门建立沟通机制，及时响应规则变更需求</w:t>
            </w:r>
          </w:p>
        </w:tc>
      </w:tr>
      <w:tr w14:paraId="45E061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0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196A90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沟通与协作</w:t>
            </w:r>
          </w:p>
        </w:tc>
        <w:tc>
          <w:tcPr>
            <w:tcW w:w="215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ADC1F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与甲方沟通不畅，需求理解偏差</w:t>
            </w:r>
          </w:p>
        </w:tc>
        <w:tc>
          <w:tcPr>
            <w:tcW w:w="396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90F49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与甲方建立双周例会制度，同步进展、评审报告；使用协同平台管理数据质量问题工单</w:t>
            </w:r>
          </w:p>
        </w:tc>
      </w:tr>
    </w:tbl>
    <w:p w14:paraId="164F44E1">
      <w:pPr>
        <w:pStyle w:val="31"/>
        <w:bidi w:val="0"/>
      </w:pPr>
      <w:bookmarkStart w:id="50" w:name="heading_26"/>
      <w:bookmarkStart w:id="51" w:name="_Toc17938"/>
      <w:r>
        <w:t>质量控制活动</w:t>
      </w:r>
      <w:bookmarkEnd w:id="50"/>
      <w:bookmarkEnd w:id="51"/>
    </w:p>
    <w:p w14:paraId="5D511845">
      <w:pPr>
        <w:pStyle w:val="30"/>
        <w:bidi w:val="0"/>
      </w:pPr>
      <w:r>
        <w:t>代码审查：所有清洗脚本与配置变更需经过同级评审。</w:t>
      </w:r>
    </w:p>
    <w:p w14:paraId="338B06C4">
      <w:pPr>
        <w:pStyle w:val="30"/>
        <w:bidi w:val="0"/>
      </w:pPr>
      <w:r>
        <w:t>测试用例：为每类清洗规则编写对应的单元测试与集成测试用例。</w:t>
      </w:r>
    </w:p>
    <w:p w14:paraId="0DF6E5D2">
      <w:pPr>
        <w:pStyle w:val="30"/>
        <w:bidi w:val="0"/>
      </w:pPr>
      <w:r>
        <w:t>质量门禁：在CI/CD流水线中设置质量门禁，测试覆盖率、规则验证通过率不达标则禁止发布。</w:t>
      </w:r>
    </w:p>
    <w:p w14:paraId="3D54C6CF">
      <w:pPr>
        <w:pStyle w:val="29"/>
        <w:bidi w:val="0"/>
      </w:pPr>
      <w:bookmarkStart w:id="52" w:name="heading_27"/>
      <w:bookmarkStart w:id="53" w:name="_Toc25474"/>
      <w:r>
        <w:t>交付物清单</w:t>
      </w:r>
      <w:bookmarkEnd w:id="52"/>
      <w:bookmarkEnd w:id="53"/>
    </w:p>
    <w:p w14:paraId="43DB8F62">
      <w:pPr>
        <w:pStyle w:val="30"/>
        <w:bidi w:val="0"/>
      </w:pPr>
      <w:r>
        <w:t>本实施方法要求产出以下具体交付物，作为工作完成的证据与后续运维的依据：</w:t>
      </w:r>
    </w:p>
    <w:p w14:paraId="796CE014">
      <w:pPr>
        <w:pStyle w:val="30"/>
        <w:bidi w:val="0"/>
      </w:pPr>
      <w:r>
        <w:t>1. 《详细数据清洗规则说明书》</w:t>
      </w:r>
    </w:p>
    <w:p w14:paraId="08314C6E">
      <w:pPr>
        <w:pStyle w:val="30"/>
        <w:bidi w:val="0"/>
      </w:pPr>
      <w:r>
        <w:t>2. 《数据清洗模块源代码及配置库》</w:t>
      </w:r>
    </w:p>
    <w:p w14:paraId="352475F1">
      <w:pPr>
        <w:pStyle w:val="30"/>
        <w:bidi w:val="0"/>
      </w:pPr>
      <w:r>
        <w:t>3. 《测试报告》（单元测试、集成测试、性能测试）</w:t>
      </w:r>
    </w:p>
    <w:p w14:paraId="6454B0F1">
      <w:pPr>
        <w:pStyle w:val="30"/>
        <w:bidi w:val="0"/>
      </w:pPr>
      <w:r>
        <w:t>4. 《生产环境部署与配置文档》</w:t>
      </w:r>
    </w:p>
    <w:p w14:paraId="3AAA3494">
      <w:pPr>
        <w:pStyle w:val="30"/>
        <w:bidi w:val="0"/>
      </w:pPr>
      <w:r>
        <w:t>5. 《数据质量监控看板与告警规则说明》</w:t>
      </w:r>
    </w:p>
    <w:p w14:paraId="399B2A6A">
      <w:pPr>
        <w:pStyle w:val="30"/>
        <w:bidi w:val="0"/>
      </w:pPr>
      <w:r>
        <w:t>6. 《数据清洗系统运维手册》</w:t>
      </w:r>
    </w:p>
    <w:p w14:paraId="66D83F3E">
      <w:pPr>
        <w:pStyle w:val="30"/>
        <w:bidi w:val="0"/>
      </w:pPr>
      <w:r>
        <w:t>7. 《最终数据清洗竣工报告》（必须附有连续15天KPI达标的数据截图与说明）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DB94E7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西安泽玺信息科技有限公司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7E9461A"/>
    <w:rsid w:val="21D3077F"/>
    <w:rsid w:val="7588610E"/>
    <w:rsid w:val="7D7C2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character" w:styleId="24">
    <w:name w:val="HTML Code"/>
    <w:basedOn w:val="22"/>
    <w:qFormat/>
    <w:uiPriority w:val="0"/>
    <w:rPr>
      <w:rFonts w:ascii="Courier New" w:hAnsi="Courier New"/>
      <w:sz w:val="20"/>
    </w:rPr>
  </w:style>
  <w:style w:type="paragraph" w:customStyle="1" w:styleId="25">
    <w:name w:val="柴_公司名"/>
    <w:basedOn w:val="19"/>
    <w:qFormat/>
    <w:uiPriority w:val="0"/>
    <w:pPr>
      <w:spacing w:after="600"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6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sz w:val="32"/>
    </w:rPr>
  </w:style>
  <w:style w:type="paragraph" w:customStyle="1" w:styleId="30">
    <w:name w:val="柴_正文"/>
    <w:basedOn w:val="12"/>
    <w:link w:val="43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1">
    <w:name w:val="柴_标题2"/>
    <w:basedOn w:val="3"/>
    <w:next w:val="30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4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rPr>
      <w:sz w:val="24"/>
      <w:lang w:eastAsia="zh-CN"/>
    </w:rPr>
  </w:style>
  <w:style w:type="table" w:customStyle="1" w:styleId="41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4236</Words>
  <Characters>4983</Characters>
  <Lines>159</Lines>
  <Paragraphs>168</Paragraphs>
  <TotalTime>2</TotalTime>
  <ScaleCrop>false</ScaleCrop>
  <LinksUpToDate>false</LinksUpToDate>
  <CharactersWithSpaces>5123</CharactersWithSpaces>
  <Application>WPS Office_12.1.0.28500_F1E327BC-269C-435d-A152-05C5408002CA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2026-08-24T05:58:44Z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78F87D90A6104B6BA50514B6C3A65098_13</vt:lpwstr>
  </property>
  <property fmtid="{D5CDD505-2E9C-101B-9397-08002B2CF9AE}" pid="3" name="KSOProductBuildVer">
    <vt:lpwstr>2052-12.1.0.28500</vt:lpwstr>
  </property>
  <property fmtid="{D5CDD505-2E9C-101B-9397-08002B2CF9AE}" pid="4" name="KSOTemplateDocerSaveRecord">
    <vt:lpwstr>eyJoZGlkIjoiMDY5NmFjMmM4ZTljMGJiZDAxN2JmYTc0NGI0NmFiNDgiLCJ1c2VySWQiOiIxMDc1MzgyOSJ9</vt:lpwstr>
  </property>
</Properties>
</file>