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CB30D">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2-04</w:t>
      </w:r>
    </w:p>
    <w:p w14:paraId="2CD14D7C">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4781BEDF">
      <w:pPr>
        <w:pStyle w:val="25"/>
        <w:widowControl w:val="0"/>
        <w:spacing w:after="1872"/>
        <w:rPr>
          <w:lang w:eastAsia="zh-CN"/>
        </w:rPr>
      </w:pPr>
      <w:bookmarkStart w:id="0" w:name="_Toc21288"/>
      <w:r>
        <w:rPr>
          <w:lang w:eastAsia="zh-CN"/>
        </w:rPr>
        <w:t>西安泽玺信息科技有限公司</w:t>
      </w:r>
      <w:bookmarkEnd w:id="0"/>
    </w:p>
    <w:p w14:paraId="1225F4E3">
      <w:pPr>
        <w:pStyle w:val="26"/>
        <w:widowControl w:val="0"/>
        <w:spacing w:after="2808"/>
        <w:rPr>
          <w:rFonts w:hint="eastAsia"/>
          <w:sz w:val="36"/>
          <w:szCs w:val="36"/>
          <w:lang w:eastAsia="zh-CN"/>
        </w:rPr>
      </w:pPr>
      <w:bookmarkStart w:id="1" w:name="_Toc16792"/>
      <w:r>
        <w:rPr>
          <w:rFonts w:hint="eastAsia"/>
          <w:sz w:val="36"/>
          <w:szCs w:val="36"/>
          <w:lang w:eastAsia="zh-CN"/>
        </w:rPr>
        <w:t>银川输油气分公司2026年度桌面及信息网络综合运维技术服务项目数据质量验收测试报告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843F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1818" w:type="dxa"/>
          </w:tcPr>
          <w:p w14:paraId="4C97863A">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丁嘉涛</w:t>
            </w:r>
          </w:p>
        </w:tc>
        <w:tc>
          <w:tcPr>
            <w:tcW w:w="4261" w:type="dxa"/>
          </w:tcPr>
          <w:p w14:paraId="5E7D279A">
            <w:pPr>
              <w:pStyle w:val="30"/>
              <w:widowControl w:val="0"/>
              <w:ind w:firstLine="420"/>
              <w:jc w:val="both"/>
              <w:rPr>
                <w:rFonts w:hint="eastAsia" w:ascii="宋体" w:hAnsi="宋体" w:cs="宋体"/>
                <w:sz w:val="21"/>
              </w:rPr>
            </w:pPr>
            <w:r>
              <w:rPr>
                <w:rFonts w:hint="eastAsia" w:ascii="宋体" w:hAnsi="宋体" w:cs="宋体"/>
                <w:sz w:val="21"/>
              </w:rPr>
              <w:t>编制时间:</w:t>
            </w:r>
            <w:r>
              <w:rPr>
                <w:sz w:val="21"/>
                <w:u w:val="single"/>
              </w:rPr>
              <w:t>2026.</w:t>
            </w:r>
            <w:r>
              <w:rPr>
                <w:rFonts w:hint="eastAsia"/>
                <w:sz w:val="21"/>
                <w:u w:val="single"/>
                <w:lang w:val="en-US" w:eastAsia="zh-CN"/>
              </w:rPr>
              <w:t>4</w:t>
            </w:r>
            <w:r>
              <w:rPr>
                <w:sz w:val="21"/>
                <w:u w:val="single"/>
              </w:rPr>
              <w:t>.</w:t>
            </w:r>
            <w:r>
              <w:rPr>
                <w:rFonts w:hint="eastAsia"/>
                <w:sz w:val="21"/>
                <w:u w:val="single"/>
                <w:lang w:val="en-US" w:eastAsia="zh-CN"/>
              </w:rPr>
              <w:t>3</w:t>
            </w:r>
            <w:r>
              <w:rPr>
                <w:rFonts w:hint="eastAsia"/>
                <w:sz w:val="21"/>
                <w:u w:val="single"/>
              </w:rPr>
              <w:t>0</w:t>
            </w:r>
          </w:p>
        </w:tc>
      </w:tr>
      <w:tr w14:paraId="5BA25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5968059F">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孙晓玲</w:t>
            </w:r>
          </w:p>
        </w:tc>
        <w:tc>
          <w:tcPr>
            <w:tcW w:w="4261" w:type="dxa"/>
          </w:tcPr>
          <w:p w14:paraId="287569E8">
            <w:pPr>
              <w:pStyle w:val="30"/>
              <w:widowControl w:val="0"/>
              <w:ind w:firstLine="420"/>
              <w:jc w:val="both"/>
              <w:rPr>
                <w:rFonts w:hint="eastAsia" w:ascii="宋体" w:hAnsi="宋体" w:cs="宋体"/>
                <w:sz w:val="21"/>
              </w:rPr>
            </w:pPr>
            <w:r>
              <w:rPr>
                <w:rFonts w:hint="eastAsia" w:ascii="宋体" w:hAnsi="宋体" w:cs="宋体"/>
                <w:sz w:val="21"/>
                <w:lang w:val="en-US" w:eastAsia="zh-CN"/>
              </w:rPr>
              <w:t>审核</w:t>
            </w:r>
            <w:r>
              <w:rPr>
                <w:rFonts w:hint="eastAsia" w:ascii="宋体" w:hAnsi="宋体" w:cs="宋体"/>
                <w:sz w:val="21"/>
              </w:rPr>
              <w:t>时间:</w:t>
            </w:r>
            <w:r>
              <w:rPr>
                <w:rFonts w:hint="eastAsia"/>
                <w:sz w:val="21"/>
                <w:u w:val="single"/>
              </w:rPr>
              <w:t>2026.</w:t>
            </w:r>
            <w:r>
              <w:rPr>
                <w:rFonts w:hint="eastAsia"/>
                <w:sz w:val="21"/>
                <w:u w:val="single"/>
                <w:lang w:val="en-US" w:eastAsia="zh-CN"/>
              </w:rPr>
              <w:t>4</w:t>
            </w:r>
            <w:r>
              <w:rPr>
                <w:rFonts w:hint="eastAsia"/>
                <w:sz w:val="21"/>
                <w:u w:val="single"/>
              </w:rPr>
              <w:t>.</w:t>
            </w:r>
            <w:r>
              <w:rPr>
                <w:rFonts w:hint="eastAsia"/>
                <w:sz w:val="21"/>
                <w:u w:val="single"/>
                <w:lang w:val="en-US" w:eastAsia="zh-CN"/>
              </w:rPr>
              <w:t>3</w:t>
            </w:r>
            <w:r>
              <w:rPr>
                <w:rFonts w:hint="eastAsia"/>
                <w:sz w:val="21"/>
                <w:u w:val="single"/>
              </w:rPr>
              <w:t>0</w:t>
            </w:r>
          </w:p>
        </w:tc>
      </w:tr>
      <w:tr w14:paraId="138F1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5A01714E">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冯建东</w:t>
            </w:r>
          </w:p>
        </w:tc>
        <w:tc>
          <w:tcPr>
            <w:tcW w:w="4261" w:type="dxa"/>
          </w:tcPr>
          <w:p w14:paraId="247DDAEB">
            <w:pPr>
              <w:pStyle w:val="30"/>
              <w:widowControl w:val="0"/>
              <w:ind w:firstLine="420"/>
              <w:jc w:val="both"/>
              <w:rPr>
                <w:rFonts w:hint="eastAsia" w:ascii="宋体" w:hAnsi="宋体" w:cs="宋体"/>
                <w:sz w:val="21"/>
              </w:rPr>
            </w:pPr>
            <w:r>
              <w:rPr>
                <w:rFonts w:hint="eastAsia" w:ascii="宋体" w:hAnsi="宋体" w:cs="宋体"/>
                <w:sz w:val="21"/>
              </w:rPr>
              <w:t>审批时间:</w:t>
            </w:r>
            <w:r>
              <w:rPr>
                <w:rFonts w:hint="eastAsia"/>
                <w:sz w:val="21"/>
                <w:u w:val="single"/>
              </w:rPr>
              <w:t>2026.</w:t>
            </w:r>
            <w:r>
              <w:rPr>
                <w:rFonts w:hint="eastAsia"/>
                <w:sz w:val="21"/>
                <w:u w:val="single"/>
                <w:lang w:val="en-US" w:eastAsia="zh-CN"/>
              </w:rPr>
              <w:t>4</w:t>
            </w:r>
            <w:r>
              <w:rPr>
                <w:rFonts w:hint="eastAsia"/>
                <w:sz w:val="21"/>
                <w:u w:val="single"/>
              </w:rPr>
              <w:t>.</w:t>
            </w:r>
            <w:r>
              <w:rPr>
                <w:rFonts w:hint="eastAsia"/>
                <w:sz w:val="21"/>
                <w:u w:val="single"/>
                <w:lang w:val="en-US" w:eastAsia="zh-CN"/>
              </w:rPr>
              <w:t>3</w:t>
            </w:r>
            <w:bookmarkStart w:id="38" w:name="_GoBack"/>
            <w:bookmarkEnd w:id="38"/>
            <w:r>
              <w:rPr>
                <w:rFonts w:hint="eastAsia"/>
                <w:sz w:val="21"/>
                <w:u w:val="single"/>
              </w:rPr>
              <w:t>0</w:t>
            </w:r>
          </w:p>
        </w:tc>
      </w:tr>
    </w:tbl>
    <w:p w14:paraId="1D41554D">
      <w:pPr>
        <w:pStyle w:val="30"/>
        <w:widowControl w:val="0"/>
        <w:ind w:firstLine="480"/>
      </w:pPr>
      <w:r>
        <w:br w:type="page"/>
      </w:r>
    </w:p>
    <w:p w14:paraId="0D6A9CCD">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2AD28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D19395A">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03BEA376">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3E4E23E">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4CDCB604">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6226C8D">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D41EE7A">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B3ABB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9DEF10">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2026.</w:t>
            </w:r>
            <w:r>
              <w:rPr>
                <w:rFonts w:hint="eastAsia" w:ascii="宋体" w:hAnsi="宋体" w:cs="宋体"/>
                <w:spacing w:val="3"/>
                <w:position w:val="1"/>
                <w:sz w:val="20"/>
                <w:szCs w:val="20"/>
                <w:lang w:val="en-US" w:eastAsia="zh-CN"/>
              </w:rPr>
              <w:t>4</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3</w:t>
            </w:r>
            <w:r>
              <w:rPr>
                <w:rFonts w:hint="eastAsia" w:ascii="宋体" w:hAnsi="宋体" w:cs="宋体"/>
                <w:spacing w:val="3"/>
                <w:position w:val="1"/>
                <w:sz w:val="20"/>
                <w:szCs w:val="20"/>
                <w:lang w:eastAsia="zh-CN"/>
              </w:rPr>
              <w:t>0</w:t>
            </w:r>
          </w:p>
        </w:tc>
        <w:tc>
          <w:tcPr>
            <w:tcW w:w="919" w:type="dxa"/>
          </w:tcPr>
          <w:p w14:paraId="1D54059B">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A91DDAA">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784772B0">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3E56E342">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69529BE8">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73F9C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879963">
            <w:pPr>
              <w:pStyle w:val="28"/>
              <w:widowControl w:val="0"/>
              <w:rPr>
                <w:rFonts w:hint="eastAsia"/>
              </w:rPr>
            </w:pPr>
          </w:p>
        </w:tc>
        <w:tc>
          <w:tcPr>
            <w:tcW w:w="919" w:type="dxa"/>
          </w:tcPr>
          <w:p w14:paraId="46464198">
            <w:pPr>
              <w:pStyle w:val="28"/>
              <w:widowControl w:val="0"/>
              <w:rPr>
                <w:rFonts w:hint="eastAsia"/>
              </w:rPr>
            </w:pPr>
          </w:p>
        </w:tc>
        <w:tc>
          <w:tcPr>
            <w:tcW w:w="2289" w:type="dxa"/>
          </w:tcPr>
          <w:p w14:paraId="72B9C905">
            <w:pPr>
              <w:pStyle w:val="28"/>
              <w:widowControl w:val="0"/>
              <w:rPr>
                <w:rFonts w:hint="eastAsia"/>
              </w:rPr>
            </w:pPr>
          </w:p>
        </w:tc>
        <w:tc>
          <w:tcPr>
            <w:tcW w:w="1148" w:type="dxa"/>
          </w:tcPr>
          <w:p w14:paraId="26879A23">
            <w:pPr>
              <w:widowControl w:val="0"/>
              <w:spacing w:before="172" w:line="228" w:lineRule="auto"/>
              <w:ind w:left="313"/>
            </w:pPr>
          </w:p>
        </w:tc>
        <w:tc>
          <w:tcPr>
            <w:tcW w:w="1150" w:type="dxa"/>
          </w:tcPr>
          <w:p w14:paraId="4EC27C0B">
            <w:pPr>
              <w:widowControl w:val="0"/>
              <w:spacing w:before="172" w:line="228" w:lineRule="auto"/>
              <w:ind w:left="313"/>
            </w:pPr>
          </w:p>
        </w:tc>
        <w:tc>
          <w:tcPr>
            <w:tcW w:w="1240" w:type="dxa"/>
          </w:tcPr>
          <w:p w14:paraId="5E7BDD42">
            <w:pPr>
              <w:pStyle w:val="28"/>
              <w:widowControl w:val="0"/>
              <w:rPr>
                <w:rFonts w:hint="eastAsia"/>
              </w:rPr>
            </w:pPr>
          </w:p>
        </w:tc>
      </w:tr>
      <w:tr w14:paraId="21DB5A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676141C">
            <w:pPr>
              <w:pStyle w:val="28"/>
              <w:widowControl w:val="0"/>
              <w:rPr>
                <w:rFonts w:hint="eastAsia"/>
              </w:rPr>
            </w:pPr>
          </w:p>
        </w:tc>
        <w:tc>
          <w:tcPr>
            <w:tcW w:w="919" w:type="dxa"/>
          </w:tcPr>
          <w:p w14:paraId="601397C6">
            <w:pPr>
              <w:pStyle w:val="28"/>
              <w:widowControl w:val="0"/>
              <w:rPr>
                <w:rFonts w:hint="eastAsia"/>
              </w:rPr>
            </w:pPr>
          </w:p>
        </w:tc>
        <w:tc>
          <w:tcPr>
            <w:tcW w:w="2289" w:type="dxa"/>
          </w:tcPr>
          <w:p w14:paraId="72A426AF">
            <w:pPr>
              <w:pStyle w:val="28"/>
              <w:widowControl w:val="0"/>
              <w:rPr>
                <w:rFonts w:hint="eastAsia"/>
              </w:rPr>
            </w:pPr>
          </w:p>
        </w:tc>
        <w:tc>
          <w:tcPr>
            <w:tcW w:w="1148" w:type="dxa"/>
          </w:tcPr>
          <w:p w14:paraId="5ED088F6">
            <w:pPr>
              <w:widowControl w:val="0"/>
              <w:spacing w:before="173" w:line="229" w:lineRule="auto"/>
              <w:ind w:left="314"/>
            </w:pPr>
          </w:p>
        </w:tc>
        <w:tc>
          <w:tcPr>
            <w:tcW w:w="1150" w:type="dxa"/>
          </w:tcPr>
          <w:p w14:paraId="4BCE012B">
            <w:pPr>
              <w:widowControl w:val="0"/>
              <w:spacing w:before="173" w:line="229" w:lineRule="auto"/>
              <w:ind w:left="314"/>
            </w:pPr>
          </w:p>
        </w:tc>
        <w:tc>
          <w:tcPr>
            <w:tcW w:w="1240" w:type="dxa"/>
          </w:tcPr>
          <w:p w14:paraId="662DCAE2">
            <w:pPr>
              <w:pStyle w:val="28"/>
              <w:widowControl w:val="0"/>
              <w:rPr>
                <w:rFonts w:hint="eastAsia"/>
              </w:rPr>
            </w:pPr>
          </w:p>
        </w:tc>
      </w:tr>
      <w:tr w14:paraId="34E29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5E6BF58">
            <w:pPr>
              <w:pStyle w:val="28"/>
              <w:widowControl w:val="0"/>
              <w:rPr>
                <w:rFonts w:hint="eastAsia"/>
              </w:rPr>
            </w:pPr>
          </w:p>
        </w:tc>
        <w:tc>
          <w:tcPr>
            <w:tcW w:w="919" w:type="dxa"/>
          </w:tcPr>
          <w:p w14:paraId="6E827721">
            <w:pPr>
              <w:pStyle w:val="28"/>
              <w:widowControl w:val="0"/>
              <w:rPr>
                <w:rFonts w:hint="eastAsia"/>
              </w:rPr>
            </w:pPr>
          </w:p>
        </w:tc>
        <w:tc>
          <w:tcPr>
            <w:tcW w:w="2289" w:type="dxa"/>
          </w:tcPr>
          <w:p w14:paraId="158525B5">
            <w:pPr>
              <w:pStyle w:val="28"/>
              <w:widowControl w:val="0"/>
              <w:rPr>
                <w:rFonts w:hint="eastAsia"/>
              </w:rPr>
            </w:pPr>
          </w:p>
        </w:tc>
        <w:tc>
          <w:tcPr>
            <w:tcW w:w="1148" w:type="dxa"/>
          </w:tcPr>
          <w:p w14:paraId="09B77ABF">
            <w:pPr>
              <w:pStyle w:val="28"/>
              <w:widowControl w:val="0"/>
              <w:rPr>
                <w:rFonts w:hint="eastAsia"/>
              </w:rPr>
            </w:pPr>
          </w:p>
        </w:tc>
        <w:tc>
          <w:tcPr>
            <w:tcW w:w="1150" w:type="dxa"/>
          </w:tcPr>
          <w:p w14:paraId="58D39A56">
            <w:pPr>
              <w:pStyle w:val="28"/>
              <w:widowControl w:val="0"/>
              <w:rPr>
                <w:rFonts w:hint="eastAsia"/>
              </w:rPr>
            </w:pPr>
          </w:p>
        </w:tc>
        <w:tc>
          <w:tcPr>
            <w:tcW w:w="1240" w:type="dxa"/>
          </w:tcPr>
          <w:p w14:paraId="542E694E">
            <w:pPr>
              <w:pStyle w:val="28"/>
              <w:widowControl w:val="0"/>
              <w:rPr>
                <w:rFonts w:hint="eastAsia"/>
              </w:rPr>
            </w:pPr>
          </w:p>
        </w:tc>
      </w:tr>
      <w:tr w14:paraId="76A1E8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F09F6A3">
            <w:pPr>
              <w:pStyle w:val="28"/>
              <w:widowControl w:val="0"/>
              <w:rPr>
                <w:rFonts w:hint="eastAsia"/>
              </w:rPr>
            </w:pPr>
          </w:p>
        </w:tc>
        <w:tc>
          <w:tcPr>
            <w:tcW w:w="919" w:type="dxa"/>
          </w:tcPr>
          <w:p w14:paraId="1F5B7962">
            <w:pPr>
              <w:pStyle w:val="28"/>
              <w:widowControl w:val="0"/>
              <w:rPr>
                <w:rFonts w:hint="eastAsia"/>
              </w:rPr>
            </w:pPr>
          </w:p>
        </w:tc>
        <w:tc>
          <w:tcPr>
            <w:tcW w:w="2289" w:type="dxa"/>
          </w:tcPr>
          <w:p w14:paraId="5E561398">
            <w:pPr>
              <w:pStyle w:val="28"/>
              <w:widowControl w:val="0"/>
              <w:rPr>
                <w:rFonts w:hint="eastAsia"/>
              </w:rPr>
            </w:pPr>
          </w:p>
        </w:tc>
        <w:tc>
          <w:tcPr>
            <w:tcW w:w="1148" w:type="dxa"/>
          </w:tcPr>
          <w:p w14:paraId="3407FA8F">
            <w:pPr>
              <w:pStyle w:val="28"/>
              <w:widowControl w:val="0"/>
              <w:rPr>
                <w:rFonts w:hint="eastAsia"/>
              </w:rPr>
            </w:pPr>
          </w:p>
        </w:tc>
        <w:tc>
          <w:tcPr>
            <w:tcW w:w="1150" w:type="dxa"/>
          </w:tcPr>
          <w:p w14:paraId="3313A4CF">
            <w:pPr>
              <w:pStyle w:val="28"/>
              <w:widowControl w:val="0"/>
              <w:rPr>
                <w:rFonts w:hint="eastAsia"/>
              </w:rPr>
            </w:pPr>
          </w:p>
        </w:tc>
        <w:tc>
          <w:tcPr>
            <w:tcW w:w="1240" w:type="dxa"/>
          </w:tcPr>
          <w:p w14:paraId="2E52E3C3">
            <w:pPr>
              <w:pStyle w:val="28"/>
              <w:widowControl w:val="0"/>
              <w:rPr>
                <w:rFonts w:hint="eastAsia"/>
              </w:rPr>
            </w:pPr>
          </w:p>
        </w:tc>
      </w:tr>
      <w:tr w14:paraId="70CDD4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9686D6E">
            <w:pPr>
              <w:pStyle w:val="28"/>
              <w:widowControl w:val="0"/>
              <w:rPr>
                <w:rFonts w:hint="eastAsia"/>
              </w:rPr>
            </w:pPr>
          </w:p>
        </w:tc>
        <w:tc>
          <w:tcPr>
            <w:tcW w:w="919" w:type="dxa"/>
          </w:tcPr>
          <w:p w14:paraId="3F508A83">
            <w:pPr>
              <w:pStyle w:val="28"/>
              <w:widowControl w:val="0"/>
              <w:rPr>
                <w:rFonts w:hint="eastAsia"/>
              </w:rPr>
            </w:pPr>
          </w:p>
        </w:tc>
        <w:tc>
          <w:tcPr>
            <w:tcW w:w="2289" w:type="dxa"/>
          </w:tcPr>
          <w:p w14:paraId="3A937AB7">
            <w:pPr>
              <w:pStyle w:val="28"/>
              <w:widowControl w:val="0"/>
              <w:rPr>
                <w:rFonts w:hint="eastAsia"/>
              </w:rPr>
            </w:pPr>
          </w:p>
        </w:tc>
        <w:tc>
          <w:tcPr>
            <w:tcW w:w="1148" w:type="dxa"/>
          </w:tcPr>
          <w:p w14:paraId="6000F09D">
            <w:pPr>
              <w:pStyle w:val="28"/>
              <w:widowControl w:val="0"/>
              <w:rPr>
                <w:rFonts w:hint="eastAsia"/>
              </w:rPr>
            </w:pPr>
          </w:p>
        </w:tc>
        <w:tc>
          <w:tcPr>
            <w:tcW w:w="1150" w:type="dxa"/>
          </w:tcPr>
          <w:p w14:paraId="097EC217">
            <w:pPr>
              <w:pStyle w:val="28"/>
              <w:widowControl w:val="0"/>
              <w:rPr>
                <w:rFonts w:hint="eastAsia"/>
              </w:rPr>
            </w:pPr>
          </w:p>
        </w:tc>
        <w:tc>
          <w:tcPr>
            <w:tcW w:w="1240" w:type="dxa"/>
          </w:tcPr>
          <w:p w14:paraId="714D25AC">
            <w:pPr>
              <w:pStyle w:val="28"/>
              <w:widowControl w:val="0"/>
              <w:rPr>
                <w:rFonts w:hint="eastAsia"/>
              </w:rPr>
            </w:pPr>
          </w:p>
        </w:tc>
      </w:tr>
    </w:tbl>
    <w:p w14:paraId="7BCE77F4">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47AB81E9">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05567EA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_Toc21288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_Toc21288 \h </w:instrText>
          </w:r>
          <w:r>
            <w:fldChar w:fldCharType="separate"/>
          </w:r>
          <w:r>
            <w:t>1</w:t>
          </w:r>
          <w:r>
            <w:fldChar w:fldCharType="end"/>
          </w:r>
          <w:r>
            <w:rPr>
              <w:rFonts w:hint="eastAsia" w:ascii="宋体" w:hAnsi="宋体" w:eastAsia="宋体" w:cs="宋体"/>
              <w:szCs w:val="24"/>
            </w:rPr>
            <w:fldChar w:fldCharType="end"/>
          </w:r>
        </w:p>
        <w:p w14:paraId="7296D20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_Toc16792 </w:instrText>
          </w:r>
          <w:r>
            <w:rPr>
              <w:rFonts w:hint="eastAsia" w:ascii="宋体" w:hAnsi="宋体" w:cs="宋体"/>
              <w:szCs w:val="24"/>
            </w:rPr>
            <w:fldChar w:fldCharType="separate"/>
          </w:r>
          <w:r>
            <w:rPr>
              <w:rFonts w:hint="eastAsia"/>
              <w:szCs w:val="36"/>
              <w:lang w:eastAsia="zh-CN"/>
            </w:rPr>
            <w:t>银川输油气分公司2026年度桌面及信息网络综合运维技术服务项目数据质量验收测试报告</w:t>
          </w:r>
          <w:r>
            <w:tab/>
          </w:r>
          <w:r>
            <w:fldChar w:fldCharType="begin"/>
          </w:r>
          <w:r>
            <w:instrText xml:space="preserve"> PAGEREF _Toc16792 \h </w:instrText>
          </w:r>
          <w:r>
            <w:fldChar w:fldCharType="separate"/>
          </w:r>
          <w:r>
            <w:t>1</w:t>
          </w:r>
          <w:r>
            <w:fldChar w:fldCharType="end"/>
          </w:r>
          <w:r>
            <w:rPr>
              <w:rFonts w:hint="eastAsia" w:ascii="宋体" w:hAnsi="宋体" w:cs="宋体"/>
              <w:szCs w:val="24"/>
            </w:rPr>
            <w:fldChar w:fldCharType="end"/>
          </w:r>
        </w:p>
        <w:p w14:paraId="1225B87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_Toc30814 </w:instrText>
          </w:r>
          <w:r>
            <w:rPr>
              <w:rFonts w:hint="eastAsia" w:ascii="宋体" w:hAnsi="宋体" w:cs="宋体"/>
              <w:szCs w:val="24"/>
            </w:rPr>
            <w:fldChar w:fldCharType="separate"/>
          </w:r>
          <w:r>
            <w:rPr>
              <w:rFonts w:hint="default"/>
            </w:rPr>
            <w:t xml:space="preserve">1. </w:t>
          </w:r>
          <w:r>
            <w:t>验收测试概述</w:t>
          </w:r>
          <w:r>
            <w:tab/>
          </w:r>
          <w:r>
            <w:fldChar w:fldCharType="begin"/>
          </w:r>
          <w:r>
            <w:instrText xml:space="preserve"> PAGEREF _Toc30814 \h </w:instrText>
          </w:r>
          <w:r>
            <w:fldChar w:fldCharType="separate"/>
          </w:r>
          <w:r>
            <w:t>4</w:t>
          </w:r>
          <w:r>
            <w:fldChar w:fldCharType="end"/>
          </w:r>
          <w:r>
            <w:rPr>
              <w:rFonts w:hint="eastAsia" w:ascii="宋体" w:hAnsi="宋体" w:cs="宋体"/>
              <w:szCs w:val="24"/>
            </w:rPr>
            <w:fldChar w:fldCharType="end"/>
          </w:r>
        </w:p>
        <w:p w14:paraId="07B920D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_Toc15033 </w:instrText>
          </w:r>
          <w:r>
            <w:rPr>
              <w:rFonts w:hint="eastAsia" w:ascii="宋体" w:hAnsi="宋体" w:cs="宋体"/>
              <w:szCs w:val="24"/>
            </w:rPr>
            <w:fldChar w:fldCharType="separate"/>
          </w:r>
          <w:r>
            <w:rPr>
              <w:rFonts w:hint="default"/>
            </w:rPr>
            <w:t xml:space="preserve">1.1. </w:t>
          </w:r>
          <w:r>
            <w:t>测试目的</w:t>
          </w:r>
          <w:r>
            <w:tab/>
          </w:r>
          <w:r>
            <w:fldChar w:fldCharType="begin"/>
          </w:r>
          <w:r>
            <w:instrText xml:space="preserve"> PAGEREF _Toc15033 \h </w:instrText>
          </w:r>
          <w:r>
            <w:fldChar w:fldCharType="separate"/>
          </w:r>
          <w:r>
            <w:t>4</w:t>
          </w:r>
          <w:r>
            <w:fldChar w:fldCharType="end"/>
          </w:r>
          <w:r>
            <w:rPr>
              <w:rFonts w:hint="eastAsia" w:ascii="宋体" w:hAnsi="宋体" w:cs="宋体"/>
              <w:szCs w:val="24"/>
            </w:rPr>
            <w:fldChar w:fldCharType="end"/>
          </w:r>
        </w:p>
        <w:p w14:paraId="43F61C8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_Toc14546 </w:instrText>
          </w:r>
          <w:r>
            <w:rPr>
              <w:rFonts w:hint="eastAsia" w:ascii="宋体" w:hAnsi="宋体" w:cs="宋体"/>
              <w:szCs w:val="24"/>
            </w:rPr>
            <w:fldChar w:fldCharType="separate"/>
          </w:r>
          <w:r>
            <w:rPr>
              <w:rFonts w:hint="default"/>
            </w:rPr>
            <w:t xml:space="preserve">1.2. </w:t>
          </w:r>
          <w:r>
            <w:t>测试范围</w:t>
          </w:r>
          <w:r>
            <w:tab/>
          </w:r>
          <w:r>
            <w:fldChar w:fldCharType="begin"/>
          </w:r>
          <w:r>
            <w:instrText xml:space="preserve"> PAGEREF _Toc14546 \h </w:instrText>
          </w:r>
          <w:r>
            <w:fldChar w:fldCharType="separate"/>
          </w:r>
          <w:r>
            <w:t>4</w:t>
          </w:r>
          <w:r>
            <w:fldChar w:fldCharType="end"/>
          </w:r>
          <w:r>
            <w:rPr>
              <w:rFonts w:hint="eastAsia" w:ascii="宋体" w:hAnsi="宋体" w:cs="宋体"/>
              <w:szCs w:val="24"/>
            </w:rPr>
            <w:fldChar w:fldCharType="end"/>
          </w:r>
        </w:p>
        <w:p w14:paraId="3B74731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_Toc17272 </w:instrText>
          </w:r>
          <w:r>
            <w:rPr>
              <w:rFonts w:hint="eastAsia" w:ascii="宋体" w:hAnsi="宋体" w:cs="宋体"/>
              <w:szCs w:val="24"/>
            </w:rPr>
            <w:fldChar w:fldCharType="separate"/>
          </w:r>
          <w:r>
            <w:rPr>
              <w:rFonts w:hint="default"/>
            </w:rPr>
            <w:t xml:space="preserve">1.3. </w:t>
          </w:r>
          <w:r>
            <w:t>测试方法概述</w:t>
          </w:r>
          <w:r>
            <w:tab/>
          </w:r>
          <w:r>
            <w:fldChar w:fldCharType="begin"/>
          </w:r>
          <w:r>
            <w:instrText xml:space="preserve"> PAGEREF _Toc17272 \h </w:instrText>
          </w:r>
          <w:r>
            <w:fldChar w:fldCharType="separate"/>
          </w:r>
          <w:r>
            <w:t>4</w:t>
          </w:r>
          <w:r>
            <w:fldChar w:fldCharType="end"/>
          </w:r>
          <w:r>
            <w:rPr>
              <w:rFonts w:hint="eastAsia" w:ascii="宋体" w:hAnsi="宋体" w:cs="宋体"/>
              <w:szCs w:val="24"/>
            </w:rPr>
            <w:fldChar w:fldCharType="end"/>
          </w:r>
        </w:p>
        <w:p w14:paraId="344E84F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_Toc22370 </w:instrText>
          </w:r>
          <w:r>
            <w:rPr>
              <w:rFonts w:hint="eastAsia" w:ascii="宋体" w:hAnsi="宋体" w:cs="宋体"/>
              <w:szCs w:val="24"/>
            </w:rPr>
            <w:fldChar w:fldCharType="separate"/>
          </w:r>
          <w:r>
            <w:rPr>
              <w:rFonts w:hint="default"/>
            </w:rPr>
            <w:t xml:space="preserve">2. </w:t>
          </w:r>
          <w:r>
            <w:t>测试环境与过程</w:t>
          </w:r>
          <w:r>
            <w:tab/>
          </w:r>
          <w:r>
            <w:fldChar w:fldCharType="begin"/>
          </w:r>
          <w:r>
            <w:instrText xml:space="preserve"> PAGEREF _Toc22370 \h </w:instrText>
          </w:r>
          <w:r>
            <w:fldChar w:fldCharType="separate"/>
          </w:r>
          <w:r>
            <w:t>5</w:t>
          </w:r>
          <w:r>
            <w:fldChar w:fldCharType="end"/>
          </w:r>
          <w:r>
            <w:rPr>
              <w:rFonts w:hint="eastAsia" w:ascii="宋体" w:hAnsi="宋体" w:cs="宋体"/>
              <w:szCs w:val="24"/>
            </w:rPr>
            <w:fldChar w:fldCharType="end"/>
          </w:r>
        </w:p>
        <w:p w14:paraId="46B2B82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_Toc30717 </w:instrText>
          </w:r>
          <w:r>
            <w:rPr>
              <w:rFonts w:hint="eastAsia" w:ascii="宋体" w:hAnsi="宋体" w:cs="宋体"/>
              <w:szCs w:val="24"/>
            </w:rPr>
            <w:fldChar w:fldCharType="separate"/>
          </w:r>
          <w:r>
            <w:rPr>
              <w:rFonts w:hint="default"/>
            </w:rPr>
            <w:t xml:space="preserve">2.1. </w:t>
          </w:r>
          <w:r>
            <w:t>测试环境</w:t>
          </w:r>
          <w:r>
            <w:tab/>
          </w:r>
          <w:r>
            <w:fldChar w:fldCharType="begin"/>
          </w:r>
          <w:r>
            <w:instrText xml:space="preserve"> PAGEREF _Toc30717 \h </w:instrText>
          </w:r>
          <w:r>
            <w:fldChar w:fldCharType="separate"/>
          </w:r>
          <w:r>
            <w:t>5</w:t>
          </w:r>
          <w:r>
            <w:fldChar w:fldCharType="end"/>
          </w:r>
          <w:r>
            <w:rPr>
              <w:rFonts w:hint="eastAsia" w:ascii="宋体" w:hAnsi="宋体" w:cs="宋体"/>
              <w:szCs w:val="24"/>
            </w:rPr>
            <w:fldChar w:fldCharType="end"/>
          </w:r>
        </w:p>
        <w:p w14:paraId="4FD3B0A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_Toc22867 </w:instrText>
          </w:r>
          <w:r>
            <w:rPr>
              <w:rFonts w:hint="eastAsia" w:ascii="宋体" w:hAnsi="宋体" w:cs="宋体"/>
              <w:szCs w:val="24"/>
            </w:rPr>
            <w:fldChar w:fldCharType="separate"/>
          </w:r>
          <w:r>
            <w:rPr>
              <w:rFonts w:hint="default"/>
            </w:rPr>
            <w:t xml:space="preserve">2.2. </w:t>
          </w:r>
          <w:r>
            <w:t>测试过程记录</w:t>
          </w:r>
          <w:r>
            <w:tab/>
          </w:r>
          <w:r>
            <w:fldChar w:fldCharType="begin"/>
          </w:r>
          <w:r>
            <w:instrText xml:space="preserve"> PAGEREF _Toc22867 \h </w:instrText>
          </w:r>
          <w:r>
            <w:fldChar w:fldCharType="separate"/>
          </w:r>
          <w:r>
            <w:t>5</w:t>
          </w:r>
          <w:r>
            <w:fldChar w:fldCharType="end"/>
          </w:r>
          <w:r>
            <w:rPr>
              <w:rFonts w:hint="eastAsia" w:ascii="宋体" w:hAnsi="宋体" w:cs="宋体"/>
              <w:szCs w:val="24"/>
            </w:rPr>
            <w:fldChar w:fldCharType="end"/>
          </w:r>
        </w:p>
        <w:p w14:paraId="5A7F43D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_Toc9036 </w:instrText>
          </w:r>
          <w:r>
            <w:rPr>
              <w:rFonts w:hint="eastAsia" w:ascii="宋体" w:hAnsi="宋体" w:cs="宋体"/>
              <w:szCs w:val="24"/>
            </w:rPr>
            <w:fldChar w:fldCharType="separate"/>
          </w:r>
          <w:r>
            <w:rPr>
              <w:rFonts w:hint="default"/>
            </w:rPr>
            <w:t xml:space="preserve">3. </w:t>
          </w:r>
          <w:r>
            <w:t>测试结果与KPI达成分析</w:t>
          </w:r>
          <w:r>
            <w:tab/>
          </w:r>
          <w:r>
            <w:fldChar w:fldCharType="begin"/>
          </w:r>
          <w:r>
            <w:instrText xml:space="preserve"> PAGEREF _Toc9036 \h </w:instrText>
          </w:r>
          <w:r>
            <w:fldChar w:fldCharType="separate"/>
          </w:r>
          <w:r>
            <w:t>5</w:t>
          </w:r>
          <w:r>
            <w:fldChar w:fldCharType="end"/>
          </w:r>
          <w:r>
            <w:rPr>
              <w:rFonts w:hint="eastAsia" w:ascii="宋体" w:hAnsi="宋体" w:cs="宋体"/>
              <w:szCs w:val="24"/>
            </w:rPr>
            <w:fldChar w:fldCharType="end"/>
          </w:r>
        </w:p>
        <w:p w14:paraId="7BF6353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_Toc5410 </w:instrText>
          </w:r>
          <w:r>
            <w:rPr>
              <w:rFonts w:hint="eastAsia" w:ascii="宋体" w:hAnsi="宋体" w:cs="宋体"/>
              <w:szCs w:val="24"/>
            </w:rPr>
            <w:fldChar w:fldCharType="separate"/>
          </w:r>
          <w:r>
            <w:rPr>
              <w:rFonts w:hint="default"/>
            </w:rPr>
            <w:t xml:space="preserve">3.1. </w:t>
          </w:r>
          <w:r>
            <w:t>KPI-01：运维服务计划数据域 运维工单完整率</w:t>
          </w:r>
          <w:r>
            <w:tab/>
          </w:r>
          <w:r>
            <w:fldChar w:fldCharType="begin"/>
          </w:r>
          <w:r>
            <w:instrText xml:space="preserve"> PAGEREF _Toc5410 \h </w:instrText>
          </w:r>
          <w:r>
            <w:fldChar w:fldCharType="separate"/>
          </w:r>
          <w:r>
            <w:t>6</w:t>
          </w:r>
          <w:r>
            <w:fldChar w:fldCharType="end"/>
          </w:r>
          <w:r>
            <w:rPr>
              <w:rFonts w:hint="eastAsia" w:ascii="宋体" w:hAnsi="宋体" w:cs="宋体"/>
              <w:szCs w:val="24"/>
            </w:rPr>
            <w:fldChar w:fldCharType="end"/>
          </w:r>
        </w:p>
        <w:p w14:paraId="7792B30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_Toc17232 </w:instrText>
          </w:r>
          <w:r>
            <w:rPr>
              <w:rFonts w:hint="eastAsia" w:ascii="宋体" w:hAnsi="宋体" w:cs="宋体"/>
              <w:szCs w:val="24"/>
            </w:rPr>
            <w:fldChar w:fldCharType="separate"/>
          </w:r>
          <w:r>
            <w:rPr>
              <w:rFonts w:hint="default"/>
            </w:rPr>
            <w:t xml:space="preserve">3.2. </w:t>
          </w:r>
          <w:r>
            <w:t>KPI-02：设备运行状态数据域 设备数据准确率</w:t>
          </w:r>
          <w:r>
            <w:tab/>
          </w:r>
          <w:r>
            <w:fldChar w:fldCharType="begin"/>
          </w:r>
          <w:r>
            <w:instrText xml:space="preserve"> PAGEREF _Toc17232 \h </w:instrText>
          </w:r>
          <w:r>
            <w:fldChar w:fldCharType="separate"/>
          </w:r>
          <w:r>
            <w:t>6</w:t>
          </w:r>
          <w:r>
            <w:fldChar w:fldCharType="end"/>
          </w:r>
          <w:r>
            <w:rPr>
              <w:rFonts w:hint="eastAsia" w:ascii="宋体" w:hAnsi="宋体" w:cs="宋体"/>
              <w:szCs w:val="24"/>
            </w:rPr>
            <w:fldChar w:fldCharType="end"/>
          </w:r>
        </w:p>
        <w:p w14:paraId="5920931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_Toc5351 </w:instrText>
          </w:r>
          <w:r>
            <w:rPr>
              <w:rFonts w:hint="eastAsia" w:ascii="宋体" w:hAnsi="宋体" w:cs="宋体"/>
              <w:szCs w:val="24"/>
            </w:rPr>
            <w:fldChar w:fldCharType="separate"/>
          </w:r>
          <w:r>
            <w:rPr>
              <w:rFonts w:hint="default"/>
            </w:rPr>
            <w:t xml:space="preserve">3.3. </w:t>
          </w:r>
          <w:r>
            <w:t>KPI-03：运维技术人员管理数据域 排班合规率</w:t>
          </w:r>
          <w:r>
            <w:tab/>
          </w:r>
          <w:r>
            <w:fldChar w:fldCharType="begin"/>
          </w:r>
          <w:r>
            <w:instrText xml:space="preserve"> PAGEREF _Toc5351 \h </w:instrText>
          </w:r>
          <w:r>
            <w:fldChar w:fldCharType="separate"/>
          </w:r>
          <w:r>
            <w:t>6</w:t>
          </w:r>
          <w:r>
            <w:fldChar w:fldCharType="end"/>
          </w:r>
          <w:r>
            <w:rPr>
              <w:rFonts w:hint="eastAsia" w:ascii="宋体" w:hAnsi="宋体" w:cs="宋体"/>
              <w:szCs w:val="24"/>
            </w:rPr>
            <w:fldChar w:fldCharType="end"/>
          </w:r>
        </w:p>
        <w:p w14:paraId="2A63653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_Toc5681 </w:instrText>
          </w:r>
          <w:r>
            <w:rPr>
              <w:rFonts w:hint="eastAsia" w:ascii="宋体" w:hAnsi="宋体" w:cs="宋体"/>
              <w:szCs w:val="24"/>
            </w:rPr>
            <w:fldChar w:fldCharType="separate"/>
          </w:r>
          <w:r>
            <w:rPr>
              <w:rFonts w:hint="default"/>
            </w:rPr>
            <w:t xml:space="preserve">3.4. </w:t>
          </w:r>
          <w:r>
            <w:t>KPI-04：设备运维数据域 维修记录完整率</w:t>
          </w:r>
          <w:r>
            <w:tab/>
          </w:r>
          <w:r>
            <w:fldChar w:fldCharType="begin"/>
          </w:r>
          <w:r>
            <w:instrText xml:space="preserve"> PAGEREF _Toc5681 \h </w:instrText>
          </w:r>
          <w:r>
            <w:fldChar w:fldCharType="separate"/>
          </w:r>
          <w:r>
            <w:t>7</w:t>
          </w:r>
          <w:r>
            <w:fldChar w:fldCharType="end"/>
          </w:r>
          <w:r>
            <w:rPr>
              <w:rFonts w:hint="eastAsia" w:ascii="宋体" w:hAnsi="宋体" w:cs="宋体"/>
              <w:szCs w:val="24"/>
            </w:rPr>
            <w:fldChar w:fldCharType="end"/>
          </w:r>
        </w:p>
        <w:p w14:paraId="4BC4648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_Toc20690 </w:instrText>
          </w:r>
          <w:r>
            <w:rPr>
              <w:rFonts w:hint="eastAsia" w:ascii="宋体" w:hAnsi="宋体" w:cs="宋体"/>
              <w:szCs w:val="24"/>
            </w:rPr>
            <w:fldChar w:fldCharType="separate"/>
          </w:r>
          <w:r>
            <w:rPr>
              <w:rFonts w:hint="default"/>
            </w:rPr>
            <w:t xml:space="preserve">3.5. </w:t>
          </w:r>
          <w:r>
            <w:t>KPI-05：费用与结算数据域 凭证平衡率</w:t>
          </w:r>
          <w:r>
            <w:tab/>
          </w:r>
          <w:r>
            <w:fldChar w:fldCharType="begin"/>
          </w:r>
          <w:r>
            <w:instrText xml:space="preserve"> PAGEREF _Toc20690 \h </w:instrText>
          </w:r>
          <w:r>
            <w:fldChar w:fldCharType="separate"/>
          </w:r>
          <w:r>
            <w:t>7</w:t>
          </w:r>
          <w:r>
            <w:fldChar w:fldCharType="end"/>
          </w:r>
          <w:r>
            <w:rPr>
              <w:rFonts w:hint="eastAsia" w:ascii="宋体" w:hAnsi="宋体" w:cs="宋体"/>
              <w:szCs w:val="24"/>
            </w:rPr>
            <w:fldChar w:fldCharType="end"/>
          </w:r>
        </w:p>
        <w:p w14:paraId="5C11AF0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_Toc17249 </w:instrText>
          </w:r>
          <w:r>
            <w:rPr>
              <w:rFonts w:hint="eastAsia" w:ascii="宋体" w:hAnsi="宋体" w:cs="宋体"/>
              <w:szCs w:val="24"/>
            </w:rPr>
            <w:fldChar w:fldCharType="separate"/>
          </w:r>
          <w:r>
            <w:rPr>
              <w:rFonts w:hint="default"/>
            </w:rPr>
            <w:t xml:space="preserve">3.6. </w:t>
          </w:r>
          <w:r>
            <w:t>KPI-06：系统过程域 数据清洗任务执行成功率</w:t>
          </w:r>
          <w:r>
            <w:tab/>
          </w:r>
          <w:r>
            <w:fldChar w:fldCharType="begin"/>
          </w:r>
          <w:r>
            <w:instrText xml:space="preserve"> PAGEREF _Toc17249 \h </w:instrText>
          </w:r>
          <w:r>
            <w:fldChar w:fldCharType="separate"/>
          </w:r>
          <w:r>
            <w:t>8</w:t>
          </w:r>
          <w:r>
            <w:fldChar w:fldCharType="end"/>
          </w:r>
          <w:r>
            <w:rPr>
              <w:rFonts w:hint="eastAsia" w:ascii="宋体" w:hAnsi="宋体" w:cs="宋体"/>
              <w:szCs w:val="24"/>
            </w:rPr>
            <w:fldChar w:fldCharType="end"/>
          </w:r>
        </w:p>
        <w:p w14:paraId="374FF10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_Toc10889 </w:instrText>
          </w:r>
          <w:r>
            <w:rPr>
              <w:rFonts w:hint="eastAsia" w:ascii="宋体" w:hAnsi="宋体" w:cs="宋体"/>
              <w:szCs w:val="24"/>
            </w:rPr>
            <w:fldChar w:fldCharType="separate"/>
          </w:r>
          <w:r>
            <w:rPr>
              <w:rFonts w:hint="default"/>
            </w:rPr>
            <w:t xml:space="preserve">3.7. </w:t>
          </w:r>
          <w:r>
            <w:t>KPI-07：系统过程域 端到端数据清洗延迟</w:t>
          </w:r>
          <w:r>
            <w:tab/>
          </w:r>
          <w:r>
            <w:fldChar w:fldCharType="begin"/>
          </w:r>
          <w:r>
            <w:instrText xml:space="preserve"> PAGEREF _Toc10889 \h </w:instrText>
          </w:r>
          <w:r>
            <w:fldChar w:fldCharType="separate"/>
          </w:r>
          <w:r>
            <w:t>8</w:t>
          </w:r>
          <w:r>
            <w:fldChar w:fldCharType="end"/>
          </w:r>
          <w:r>
            <w:rPr>
              <w:rFonts w:hint="eastAsia" w:ascii="宋体" w:hAnsi="宋体" w:cs="宋体"/>
              <w:szCs w:val="24"/>
            </w:rPr>
            <w:fldChar w:fldCharType="end"/>
          </w:r>
        </w:p>
        <w:p w14:paraId="7B4B781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_Toc1541 </w:instrText>
          </w:r>
          <w:r>
            <w:rPr>
              <w:rFonts w:hint="eastAsia" w:ascii="宋体" w:hAnsi="宋体" w:cs="宋体"/>
              <w:szCs w:val="24"/>
            </w:rPr>
            <w:fldChar w:fldCharType="separate"/>
          </w:r>
          <w:r>
            <w:rPr>
              <w:rFonts w:hint="default"/>
            </w:rPr>
            <w:t xml:space="preserve">3.8. </w:t>
          </w:r>
          <w:r>
            <w:t>KPI-08：过程可追溯性 清洗过程日志完整率</w:t>
          </w:r>
          <w:r>
            <w:tab/>
          </w:r>
          <w:r>
            <w:fldChar w:fldCharType="begin"/>
          </w:r>
          <w:r>
            <w:instrText xml:space="preserve"> PAGEREF _Toc1541 \h </w:instrText>
          </w:r>
          <w:r>
            <w:fldChar w:fldCharType="separate"/>
          </w:r>
          <w:r>
            <w:t>9</w:t>
          </w:r>
          <w:r>
            <w:fldChar w:fldCharType="end"/>
          </w:r>
          <w:r>
            <w:rPr>
              <w:rFonts w:hint="eastAsia" w:ascii="宋体" w:hAnsi="宋体" w:cs="宋体"/>
              <w:szCs w:val="24"/>
            </w:rPr>
            <w:fldChar w:fldCharType="end"/>
          </w:r>
        </w:p>
        <w:p w14:paraId="6C7A855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_Toc6250 </w:instrText>
          </w:r>
          <w:r>
            <w:rPr>
              <w:rFonts w:hint="eastAsia" w:ascii="宋体" w:hAnsi="宋体" w:cs="宋体"/>
              <w:szCs w:val="24"/>
            </w:rPr>
            <w:fldChar w:fldCharType="separate"/>
          </w:r>
          <w:r>
            <w:rPr>
              <w:rFonts w:hint="default"/>
            </w:rPr>
            <w:t xml:space="preserve">4. </w:t>
          </w:r>
          <w:r>
            <w:t>测试结论</w:t>
          </w:r>
          <w:r>
            <w:tab/>
          </w:r>
          <w:r>
            <w:fldChar w:fldCharType="begin"/>
          </w:r>
          <w:r>
            <w:instrText xml:space="preserve"> PAGEREF _Toc6250 \h </w:instrText>
          </w:r>
          <w:r>
            <w:fldChar w:fldCharType="separate"/>
          </w:r>
          <w:r>
            <w:t>9</w:t>
          </w:r>
          <w:r>
            <w:fldChar w:fldCharType="end"/>
          </w:r>
          <w:r>
            <w:rPr>
              <w:rFonts w:hint="eastAsia" w:ascii="宋体" w:hAnsi="宋体" w:cs="宋体"/>
              <w:szCs w:val="24"/>
            </w:rPr>
            <w:fldChar w:fldCharType="end"/>
          </w:r>
        </w:p>
        <w:p w14:paraId="79F68DB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_Toc11166 </w:instrText>
          </w:r>
          <w:r>
            <w:rPr>
              <w:rFonts w:hint="eastAsia" w:ascii="宋体" w:hAnsi="宋体" w:cs="宋体"/>
              <w:szCs w:val="24"/>
            </w:rPr>
            <w:fldChar w:fldCharType="separate"/>
          </w:r>
          <w:r>
            <w:rPr>
              <w:rFonts w:hint="default"/>
            </w:rPr>
            <w:t xml:space="preserve">5. </w:t>
          </w:r>
          <w:r>
            <w:t>附件</w:t>
          </w:r>
          <w:r>
            <w:tab/>
          </w:r>
          <w:r>
            <w:fldChar w:fldCharType="begin"/>
          </w:r>
          <w:r>
            <w:instrText xml:space="preserve"> PAGEREF _Toc11166 \h </w:instrText>
          </w:r>
          <w:r>
            <w:fldChar w:fldCharType="separate"/>
          </w:r>
          <w:r>
            <w:t>10</w:t>
          </w:r>
          <w:r>
            <w:fldChar w:fldCharType="end"/>
          </w:r>
          <w:r>
            <w:rPr>
              <w:rFonts w:hint="eastAsia" w:ascii="宋体" w:hAnsi="宋体" w:cs="宋体"/>
              <w:szCs w:val="24"/>
            </w:rPr>
            <w:fldChar w:fldCharType="end"/>
          </w:r>
        </w:p>
        <w:p w14:paraId="46FC46E6">
          <w:pPr>
            <w:widowControl w:val="0"/>
            <w:rPr>
              <w:rFonts w:hint="eastAsia" w:ascii="宋体" w:hAnsi="宋体" w:cs="宋体"/>
              <w:sz w:val="24"/>
              <w:szCs w:val="24"/>
            </w:rPr>
          </w:pPr>
          <w:r>
            <w:rPr>
              <w:rFonts w:hint="eastAsia" w:ascii="宋体" w:hAnsi="宋体" w:cs="宋体"/>
              <w:szCs w:val="24"/>
            </w:rPr>
            <w:fldChar w:fldCharType="end"/>
          </w:r>
        </w:p>
      </w:sdtContent>
    </w:sdt>
    <w:p w14:paraId="392A7624">
      <w:pPr>
        <w:widowControl w:val="0"/>
        <w:rPr>
          <w:lang w:eastAsia="zh-CN"/>
        </w:rPr>
      </w:pPr>
      <w:r>
        <w:rPr>
          <w:lang w:eastAsia="zh-CN"/>
        </w:rPr>
        <w:br w:type="page"/>
      </w:r>
    </w:p>
    <w:p w14:paraId="690FA19F">
      <w:pPr>
        <w:pStyle w:val="29"/>
        <w:bidi w:val="0"/>
      </w:pPr>
      <w:bookmarkStart w:id="2" w:name="heading_2"/>
      <w:bookmarkStart w:id="3" w:name="_Toc30814"/>
      <w:r>
        <w:t>验收测试概述</w:t>
      </w:r>
      <w:bookmarkEnd w:id="2"/>
      <w:bookmarkEnd w:id="3"/>
    </w:p>
    <w:p w14:paraId="669EDDF6">
      <w:pPr>
        <w:pStyle w:val="31"/>
        <w:bidi w:val="0"/>
      </w:pPr>
      <w:bookmarkStart w:id="4" w:name="_Toc15033"/>
      <w:bookmarkStart w:id="5" w:name="heading_3"/>
      <w:r>
        <w:t>测试目的</w:t>
      </w:r>
      <w:bookmarkEnd w:id="4"/>
      <w:bookmarkEnd w:id="5"/>
    </w:p>
    <w:p w14:paraId="1ADC239E">
      <w:pPr>
        <w:pStyle w:val="30"/>
        <w:bidi w:val="0"/>
      </w:pPr>
      <w:r>
        <w:t>本报告旨在依据项目《数据清洗策略需求分析报告》中约定的数据质量关键绩效指标（KPI），对数据清洗系统的实施效果进行正式、客观的验收测试。通过连续15天的稳定性监测与抽样验证，确认数据清洗成果是否达到合同及方案要求的质量标准，为项目最终验收提供决定性依据。</w:t>
      </w:r>
    </w:p>
    <w:p w14:paraId="0E94D5A8">
      <w:pPr>
        <w:pStyle w:val="31"/>
        <w:bidi w:val="0"/>
      </w:pPr>
      <w:bookmarkStart w:id="6" w:name="heading_4"/>
      <w:bookmarkStart w:id="7" w:name="_Toc14546"/>
      <w:r>
        <w:t>测试范围</w:t>
      </w:r>
      <w:bookmarkEnd w:id="6"/>
      <w:bookmarkEnd w:id="7"/>
    </w:p>
    <w:p w14:paraId="39D05832">
      <w:pPr>
        <w:pStyle w:val="30"/>
        <w:bidi w:val="0"/>
      </w:pPr>
      <w:r>
        <w:t>本次验收测试覆盖《需求分析报告》中定义的七大数据域及其核心KPI：</w:t>
      </w:r>
    </w:p>
    <w:tbl>
      <w:tblPr>
        <w:tblStyle w:val="20"/>
        <w:tblW w:w="6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96"/>
        <w:gridCol w:w="3904"/>
      </w:tblGrid>
      <w:tr w14:paraId="1C822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9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2877909">
            <w:pPr>
              <w:pStyle w:val="30"/>
              <w:bidi w:val="0"/>
              <w:snapToGrid w:val="0"/>
              <w:spacing w:line="240" w:lineRule="auto"/>
              <w:ind w:left="0" w:leftChars="0" w:right="0" w:rightChars="0" w:firstLine="0" w:firstLineChars="0"/>
              <w:jc w:val="center"/>
              <w:rPr>
                <w:b/>
              </w:rPr>
            </w:pPr>
            <w:r>
              <w:rPr>
                <w:b/>
              </w:rPr>
              <w:t>数据域</w:t>
            </w:r>
          </w:p>
        </w:tc>
        <w:tc>
          <w:tcPr>
            <w:tcW w:w="390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F929BF2">
            <w:pPr>
              <w:pStyle w:val="30"/>
              <w:bidi w:val="0"/>
              <w:snapToGrid w:val="0"/>
              <w:spacing w:line="240" w:lineRule="auto"/>
              <w:ind w:left="0" w:leftChars="0" w:right="0" w:rightChars="0" w:firstLine="0" w:firstLineChars="0"/>
              <w:jc w:val="center"/>
              <w:rPr>
                <w:b/>
              </w:rPr>
            </w:pPr>
            <w:r>
              <w:rPr>
                <w:b/>
              </w:rPr>
              <w:t>核心KPI</w:t>
            </w:r>
          </w:p>
        </w:tc>
      </w:tr>
      <w:tr w14:paraId="0F870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BBA29D1">
            <w:pPr>
              <w:pStyle w:val="30"/>
              <w:bidi w:val="0"/>
              <w:snapToGrid w:val="0"/>
              <w:spacing w:line="240" w:lineRule="auto"/>
              <w:ind w:left="0" w:leftChars="0" w:right="0" w:rightChars="0" w:firstLine="0" w:firstLineChars="0"/>
              <w:jc w:val="center"/>
            </w:pPr>
            <w:r>
              <w:t>运维服务计划数据域</w:t>
            </w:r>
          </w:p>
        </w:tc>
        <w:tc>
          <w:tcPr>
            <w:tcW w:w="390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47E6E05">
            <w:pPr>
              <w:pStyle w:val="30"/>
              <w:bidi w:val="0"/>
              <w:snapToGrid w:val="0"/>
              <w:spacing w:line="240" w:lineRule="auto"/>
              <w:ind w:left="0" w:leftChars="0" w:right="0" w:rightChars="0" w:firstLine="0" w:firstLineChars="0"/>
              <w:jc w:val="center"/>
            </w:pPr>
            <w:r>
              <w:t>运维工单完整率、计划变更记录规范率</w:t>
            </w:r>
          </w:p>
        </w:tc>
      </w:tr>
      <w:tr w14:paraId="1C986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722ECDD">
            <w:pPr>
              <w:pStyle w:val="30"/>
              <w:bidi w:val="0"/>
              <w:snapToGrid w:val="0"/>
              <w:spacing w:line="240" w:lineRule="auto"/>
              <w:ind w:left="0" w:leftChars="0" w:right="0" w:rightChars="0" w:firstLine="0" w:firstLineChars="0"/>
              <w:jc w:val="center"/>
            </w:pPr>
            <w:r>
              <w:t>设备运行状态数据域</w:t>
            </w:r>
          </w:p>
        </w:tc>
        <w:tc>
          <w:tcPr>
            <w:tcW w:w="390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4F07607">
            <w:pPr>
              <w:pStyle w:val="30"/>
              <w:bidi w:val="0"/>
              <w:snapToGrid w:val="0"/>
              <w:spacing w:line="240" w:lineRule="auto"/>
              <w:ind w:left="0" w:leftChars="0" w:right="0" w:rightChars="0" w:firstLine="0" w:firstLineChars="0"/>
              <w:jc w:val="center"/>
            </w:pPr>
            <w:r>
              <w:t>设备数据准确率、设备主数据唯一率</w:t>
            </w:r>
          </w:p>
        </w:tc>
      </w:tr>
      <w:tr w14:paraId="5325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047AB1C">
            <w:pPr>
              <w:pStyle w:val="30"/>
              <w:bidi w:val="0"/>
              <w:snapToGrid w:val="0"/>
              <w:spacing w:line="240" w:lineRule="auto"/>
              <w:ind w:left="0" w:leftChars="0" w:right="0" w:rightChars="0" w:firstLine="0" w:firstLineChars="0"/>
              <w:jc w:val="center"/>
            </w:pPr>
            <w:r>
              <w:t>运维技术人员管理数据域</w:t>
            </w:r>
          </w:p>
        </w:tc>
        <w:tc>
          <w:tcPr>
            <w:tcW w:w="390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9A69B9B">
            <w:pPr>
              <w:pStyle w:val="30"/>
              <w:bidi w:val="0"/>
              <w:snapToGrid w:val="0"/>
              <w:spacing w:line="240" w:lineRule="auto"/>
              <w:ind w:left="0" w:leftChars="0" w:right="0" w:rightChars="0" w:firstLine="0" w:firstLineChars="0"/>
              <w:jc w:val="center"/>
            </w:pPr>
            <w:r>
              <w:t>排班合规率、资质证书有效监控率</w:t>
            </w:r>
          </w:p>
        </w:tc>
      </w:tr>
      <w:tr w14:paraId="54C35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9D02AD3">
            <w:pPr>
              <w:pStyle w:val="30"/>
              <w:bidi w:val="0"/>
              <w:snapToGrid w:val="0"/>
              <w:spacing w:line="240" w:lineRule="auto"/>
              <w:ind w:left="0" w:leftChars="0" w:right="0" w:rightChars="0" w:firstLine="0" w:firstLineChars="0"/>
              <w:jc w:val="center"/>
            </w:pPr>
            <w:r>
              <w:t>设备运维数据域</w:t>
            </w:r>
          </w:p>
        </w:tc>
        <w:tc>
          <w:tcPr>
            <w:tcW w:w="390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803FA35">
            <w:pPr>
              <w:pStyle w:val="30"/>
              <w:bidi w:val="0"/>
              <w:snapToGrid w:val="0"/>
              <w:spacing w:line="240" w:lineRule="auto"/>
              <w:ind w:left="0" w:leftChars="0" w:right="0" w:rightChars="0" w:firstLine="0" w:firstLineChars="0"/>
              <w:jc w:val="center"/>
            </w:pPr>
            <w:r>
              <w:t>设备编码规范率、维修记录完整率、保养计划执行率</w:t>
            </w:r>
          </w:p>
        </w:tc>
      </w:tr>
      <w:tr w14:paraId="778A6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67DD19">
            <w:pPr>
              <w:pStyle w:val="30"/>
              <w:bidi w:val="0"/>
              <w:snapToGrid w:val="0"/>
              <w:spacing w:line="240" w:lineRule="auto"/>
              <w:ind w:left="0" w:leftChars="0" w:right="0" w:rightChars="0" w:firstLine="0" w:firstLineChars="0"/>
              <w:jc w:val="center"/>
            </w:pPr>
            <w:r>
              <w:t>调度与资源数据域</w:t>
            </w:r>
          </w:p>
        </w:tc>
        <w:tc>
          <w:tcPr>
            <w:tcW w:w="390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E32EB1E">
            <w:pPr>
              <w:pStyle w:val="30"/>
              <w:bidi w:val="0"/>
              <w:snapToGrid w:val="0"/>
              <w:spacing w:line="240" w:lineRule="auto"/>
              <w:ind w:left="0" w:leftChars="0" w:right="0" w:rightChars="0" w:firstLine="0" w:firstLineChars="0"/>
              <w:jc w:val="center"/>
            </w:pPr>
            <w:r>
              <w:t>资源分配冲突检出率、调度指令一致率</w:t>
            </w:r>
          </w:p>
        </w:tc>
      </w:tr>
      <w:tr w14:paraId="15882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1D32C2F">
            <w:pPr>
              <w:pStyle w:val="30"/>
              <w:bidi w:val="0"/>
              <w:snapToGrid w:val="0"/>
              <w:spacing w:line="240" w:lineRule="auto"/>
              <w:ind w:left="0" w:leftChars="0" w:right="0" w:rightChars="0" w:firstLine="0" w:firstLineChars="0"/>
              <w:jc w:val="center"/>
            </w:pPr>
            <w:r>
              <w:t>费用与结算数据域</w:t>
            </w:r>
          </w:p>
        </w:tc>
        <w:tc>
          <w:tcPr>
            <w:tcW w:w="390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A97FB42">
            <w:pPr>
              <w:pStyle w:val="30"/>
              <w:bidi w:val="0"/>
              <w:snapToGrid w:val="0"/>
              <w:spacing w:line="240" w:lineRule="auto"/>
              <w:ind w:left="0" w:leftChars="0" w:right="0" w:rightChars="0" w:firstLine="0" w:firstLineChars="0"/>
              <w:jc w:val="center"/>
            </w:pPr>
            <w:r>
              <w:t>凭证平衡率、计费项目准确率、费率引用正确率</w:t>
            </w:r>
          </w:p>
        </w:tc>
      </w:tr>
      <w:tr w14:paraId="56995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7EF076B">
            <w:pPr>
              <w:pStyle w:val="30"/>
              <w:bidi w:val="0"/>
              <w:snapToGrid w:val="0"/>
              <w:spacing w:line="240" w:lineRule="auto"/>
              <w:ind w:left="0" w:leftChars="0" w:right="0" w:rightChars="0" w:firstLine="0" w:firstLineChars="0"/>
              <w:jc w:val="center"/>
            </w:pPr>
            <w:r>
              <w:t>系统过程域</w:t>
            </w:r>
          </w:p>
        </w:tc>
        <w:tc>
          <w:tcPr>
            <w:tcW w:w="390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D4C4395">
            <w:pPr>
              <w:pStyle w:val="30"/>
              <w:bidi w:val="0"/>
              <w:snapToGrid w:val="0"/>
              <w:spacing w:line="240" w:lineRule="auto"/>
              <w:ind w:left="0" w:leftChars="0" w:right="0" w:rightChars="0" w:firstLine="0" w:firstLineChars="0"/>
              <w:jc w:val="center"/>
            </w:pPr>
            <w:r>
              <w:t>数据清洗任务执行成功率、端到端处理延迟、日志完整率</w:t>
            </w:r>
          </w:p>
        </w:tc>
      </w:tr>
    </w:tbl>
    <w:p w14:paraId="0056D8FB">
      <w:pPr>
        <w:pStyle w:val="31"/>
        <w:bidi w:val="0"/>
      </w:pPr>
      <w:bookmarkStart w:id="8" w:name="_Toc17272"/>
      <w:bookmarkStart w:id="9" w:name="heading_5"/>
      <w:r>
        <w:t>测试方法概述</w:t>
      </w:r>
      <w:bookmarkEnd w:id="8"/>
      <w:bookmarkEnd w:id="9"/>
    </w:p>
    <w:p w14:paraId="65D07CD6">
      <w:pPr>
        <w:pStyle w:val="30"/>
        <w:bidi w:val="0"/>
      </w:pPr>
      <w:r>
        <w:t>采用 “系统监控数据分析” 与 “业务抽样人工复核” 相结合的方法。</w:t>
      </w:r>
    </w:p>
    <w:p w14:paraId="74D578F9">
      <w:pPr>
        <w:pStyle w:val="30"/>
        <w:bidi w:val="0"/>
      </w:pPr>
      <w:r>
        <w:t>系统监控数据分析：通过部署的数据质量监控平台，持续采集并统计各项KPI的实时数据。</w:t>
      </w:r>
    </w:p>
    <w:p w14:paraId="5B233062">
      <w:pPr>
        <w:pStyle w:val="30"/>
        <w:bidi w:val="0"/>
      </w:pPr>
      <w:r>
        <w:t>业务抽样人工复核：针对需人工判定的指标（如运维工单完整性、排班合规性、计费项目准确性），在测试周期内按日随机抽样，由甲方业务人员（运维调度科、设备管理科、计费科等）与测试人员共同进行人工复核确认。</w:t>
      </w:r>
    </w:p>
    <w:p w14:paraId="67A6BC2F">
      <w:pPr>
        <w:pStyle w:val="29"/>
        <w:bidi w:val="0"/>
      </w:pPr>
      <w:bookmarkStart w:id="10" w:name="_Toc22370"/>
      <w:bookmarkStart w:id="11" w:name="heading_6"/>
      <w:r>
        <w:t>测试环境与过程</w:t>
      </w:r>
      <w:bookmarkEnd w:id="10"/>
      <w:bookmarkEnd w:id="11"/>
    </w:p>
    <w:p w14:paraId="00D7997E">
      <w:pPr>
        <w:pStyle w:val="31"/>
        <w:bidi w:val="0"/>
      </w:pPr>
      <w:bookmarkStart w:id="12" w:name="heading_7"/>
      <w:bookmarkStart w:id="13" w:name="_Toc30717"/>
      <w:r>
        <w:t>测试环境</w:t>
      </w:r>
      <w:bookmarkEnd w:id="12"/>
      <w:bookmarkEnd w:id="13"/>
    </w:p>
    <w:p w14:paraId="5555E38C">
      <w:pPr>
        <w:pStyle w:val="30"/>
        <w:bidi w:val="0"/>
      </w:pPr>
      <w:r>
        <w:t>生产环境：所有测试均在已正式上线运行的银川输油气分公司桌面及信息网络系统生产环境中进行。</w:t>
      </w:r>
    </w:p>
    <w:p w14:paraId="43096B71">
      <w:pPr>
        <w:pStyle w:val="30"/>
        <w:bidi w:val="0"/>
      </w:pPr>
      <w:r>
        <w:t>数据范围：测试数据为2026年</w:t>
      </w:r>
      <w:r>
        <w:rPr>
          <w:rFonts w:hint="eastAsia"/>
          <w:lang w:val="en-US" w:eastAsia="zh-CN"/>
        </w:rPr>
        <w:t>4</w:t>
      </w:r>
      <w:r>
        <w:t>月</w:t>
      </w:r>
      <w:r>
        <w:rPr>
          <w:rFonts w:hint="eastAsia"/>
          <w:lang w:val="en-US" w:eastAsia="zh-CN"/>
        </w:rPr>
        <w:t>15</w:t>
      </w:r>
      <w:r>
        <w:t>日至</w:t>
      </w:r>
      <w:r>
        <w:rPr>
          <w:rFonts w:hint="eastAsia"/>
          <w:lang w:val="en-US" w:eastAsia="zh-CN"/>
        </w:rPr>
        <w:t>4</w:t>
      </w:r>
      <w:r>
        <w:t>月</w:t>
      </w:r>
      <w:r>
        <w:rPr>
          <w:rFonts w:hint="eastAsia"/>
          <w:lang w:val="en-US" w:eastAsia="zh-CN"/>
        </w:rPr>
        <w:t>30</w:t>
      </w:r>
      <w:r>
        <w:t>日期间，平台接入的全部真实业务数据。</w:t>
      </w:r>
    </w:p>
    <w:p w14:paraId="796D5F27">
      <w:pPr>
        <w:pStyle w:val="30"/>
        <w:bidi w:val="0"/>
      </w:pPr>
      <w:r>
        <w:t>监控工具：基于Prometheus、Grafana及定制化数据质量看板进行指标抓取与可视化。</w:t>
      </w:r>
    </w:p>
    <w:p w14:paraId="20F64B33">
      <w:pPr>
        <w:pStyle w:val="31"/>
        <w:bidi w:val="0"/>
      </w:pPr>
      <w:bookmarkStart w:id="14" w:name="_Toc22867"/>
      <w:bookmarkStart w:id="15" w:name="heading_8"/>
      <w:r>
        <w:t>测试过程记录</w:t>
      </w:r>
      <w:bookmarkEnd w:id="14"/>
      <w:bookmarkEnd w:id="15"/>
    </w:p>
    <w:p w14:paraId="1D39FBC8">
      <w:pPr>
        <w:pStyle w:val="30"/>
        <w:bidi w:val="0"/>
      </w:pPr>
      <w:r>
        <w:t>基准确认（</w:t>
      </w:r>
      <w:r>
        <w:rPr>
          <w:rFonts w:hint="eastAsia"/>
          <w:lang w:val="en-US" w:eastAsia="zh-CN"/>
        </w:rPr>
        <w:t>4</w:t>
      </w:r>
      <w:r>
        <w:t>月</w:t>
      </w:r>
      <w:r>
        <w:rPr>
          <w:rFonts w:hint="eastAsia"/>
          <w:lang w:val="en-US" w:eastAsia="zh-CN"/>
        </w:rPr>
        <w:t>15</w:t>
      </w:r>
      <w:r>
        <w:t>日）：与乙方实施团队共同确认监控平台中各项KPI计算公式与数据来源的准确性。</w:t>
      </w:r>
    </w:p>
    <w:p w14:paraId="777AB4AE">
      <w:pPr>
        <w:pStyle w:val="30"/>
        <w:bidi w:val="0"/>
      </w:pPr>
      <w:r>
        <w:t>稳定性监测（</w:t>
      </w:r>
      <w:r>
        <w:rPr>
          <w:rFonts w:hint="eastAsia"/>
          <w:lang w:val="en-US" w:eastAsia="zh-CN"/>
        </w:rPr>
        <w:t>4</w:t>
      </w:r>
      <w:r>
        <w:t>月</w:t>
      </w:r>
      <w:r>
        <w:rPr>
          <w:rFonts w:hint="eastAsia"/>
          <w:lang w:val="en-US" w:eastAsia="zh-CN"/>
        </w:rPr>
        <w:t>25</w:t>
      </w:r>
      <w:r>
        <w:t>日-</w:t>
      </w:r>
      <w:r>
        <w:rPr>
          <w:rFonts w:hint="eastAsia"/>
          <w:lang w:val="en-US" w:eastAsia="zh-CN"/>
        </w:rPr>
        <w:t>28</w:t>
      </w:r>
      <w:r>
        <w:t>日）：启动连续15天7×24小时不间断监控，每日定时记录各KPI数值，并观察其波动趋势。</w:t>
      </w:r>
    </w:p>
    <w:p w14:paraId="09FE274D">
      <w:pPr>
        <w:pStyle w:val="30"/>
        <w:bidi w:val="0"/>
      </w:pPr>
      <w:r>
        <w:t>抽样复核（</w:t>
      </w:r>
      <w:r>
        <w:rPr>
          <w:rFonts w:hint="eastAsia"/>
          <w:lang w:val="en-US" w:eastAsia="zh-CN"/>
        </w:rPr>
        <w:t>4</w:t>
      </w:r>
      <w:r>
        <w:t>月</w:t>
      </w:r>
      <w:r>
        <w:rPr>
          <w:rFonts w:hint="eastAsia"/>
          <w:lang w:val="en-US" w:eastAsia="zh-CN"/>
        </w:rPr>
        <w:t>29</w:t>
      </w:r>
      <w:r>
        <w:t>日、</w:t>
      </w:r>
      <w:r>
        <w:rPr>
          <w:rFonts w:hint="eastAsia"/>
          <w:lang w:val="en-US" w:eastAsia="zh-CN"/>
        </w:rPr>
        <w:t>30</w:t>
      </w:r>
      <w:r>
        <w:t>日）：分别于测试中期及后期，随机抽取各类业务数据进行人工复核。</w:t>
      </w:r>
    </w:p>
    <w:p w14:paraId="59A0ADF4">
      <w:pPr>
        <w:pStyle w:val="30"/>
        <w:bidi w:val="0"/>
      </w:pPr>
      <w:r>
        <w:t>异常记录与核查：测试期间共记录到2次瞬时告警，均经双方技术人员现场排查，确认为监控接口短暂波动所致，已排除系统性问题。</w:t>
      </w:r>
    </w:p>
    <w:p w14:paraId="769BDBF5">
      <w:pPr>
        <w:pStyle w:val="29"/>
        <w:bidi w:val="0"/>
      </w:pPr>
      <w:bookmarkStart w:id="16" w:name="heading_9"/>
      <w:bookmarkStart w:id="17" w:name="_Toc9036"/>
      <w:r>
        <w:t>测试结果与KPI达成分析</w:t>
      </w:r>
      <w:bookmarkEnd w:id="16"/>
      <w:bookmarkEnd w:id="17"/>
    </w:p>
    <w:p w14:paraId="5CA046E7">
      <w:pPr>
        <w:pStyle w:val="30"/>
        <w:bidi w:val="0"/>
      </w:pPr>
      <w:r>
        <w:t>以下为连续15天测试周期内，各项关键KPI的最终测量结果与验收标准的对比分析。</w:t>
      </w:r>
    </w:p>
    <w:p w14:paraId="56DCF1FA">
      <w:pPr>
        <w:pStyle w:val="31"/>
        <w:bidi w:val="0"/>
      </w:pPr>
      <w:bookmarkStart w:id="18" w:name="heading_10"/>
      <w:bookmarkStart w:id="19" w:name="_Toc5410"/>
      <w:r>
        <w:t>KPI-01：运维服务计划数据域 运维工单完整率</w:t>
      </w:r>
      <w:bookmarkEnd w:id="18"/>
      <w:bookmarkEnd w:id="19"/>
    </w:p>
    <w:tbl>
      <w:tblPr>
        <w:tblStyle w:val="20"/>
        <w:tblW w:w="6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32"/>
        <w:gridCol w:w="4568"/>
      </w:tblGrid>
      <w:tr w14:paraId="7C79F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32" w:type="dxa"/>
            <w:tcBorders>
              <w:top w:val="single" w:color="auto" w:sz="12" w:space="0"/>
              <w:left w:val="single" w:color="auto" w:sz="12" w:space="0"/>
              <w:bottom w:val="nil"/>
              <w:right w:val="nil"/>
            </w:tcBorders>
            <w:tcMar>
              <w:top w:w="60" w:type="dxa"/>
              <w:left w:w="120" w:type="dxa"/>
              <w:bottom w:w="30" w:type="dxa"/>
              <w:right w:w="120" w:type="dxa"/>
            </w:tcMar>
          </w:tcPr>
          <w:p w14:paraId="6B070C77">
            <w:pPr>
              <w:pStyle w:val="30"/>
              <w:bidi w:val="0"/>
              <w:snapToGrid w:val="0"/>
              <w:ind w:left="0" w:leftChars="0" w:firstLine="0" w:firstLineChars="0"/>
            </w:pPr>
            <w:r>
              <w:t>项目</w:t>
            </w:r>
          </w:p>
        </w:tc>
        <w:tc>
          <w:tcPr>
            <w:tcW w:w="4568" w:type="dxa"/>
            <w:tcBorders>
              <w:top w:val="single" w:color="auto" w:sz="12" w:space="0"/>
              <w:left w:val="single" w:color="auto" w:sz="4" w:space="0"/>
              <w:bottom w:val="nil"/>
              <w:right w:val="single" w:color="auto" w:sz="12" w:space="0"/>
            </w:tcBorders>
            <w:tcMar>
              <w:top w:w="60" w:type="dxa"/>
              <w:left w:w="120" w:type="dxa"/>
              <w:bottom w:w="30" w:type="dxa"/>
              <w:right w:w="120" w:type="dxa"/>
            </w:tcMar>
          </w:tcPr>
          <w:p w14:paraId="5C49FA4E">
            <w:pPr>
              <w:pStyle w:val="30"/>
              <w:bidi w:val="0"/>
              <w:snapToGrid w:val="0"/>
            </w:pPr>
            <w:r>
              <w:t>内容</w:t>
            </w:r>
          </w:p>
        </w:tc>
      </w:tr>
      <w:tr w14:paraId="27BE0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nil"/>
              <w:right w:val="nil"/>
            </w:tcBorders>
            <w:tcMar>
              <w:top w:w="60" w:type="dxa"/>
              <w:left w:w="120" w:type="dxa"/>
              <w:bottom w:w="30" w:type="dxa"/>
              <w:right w:w="120" w:type="dxa"/>
            </w:tcMar>
          </w:tcPr>
          <w:p w14:paraId="03F1C88F">
            <w:pPr>
              <w:pStyle w:val="30"/>
              <w:bidi w:val="0"/>
              <w:snapToGrid w:val="0"/>
              <w:ind w:left="0" w:leftChars="0" w:firstLine="0" w:firstLineChars="0"/>
            </w:pPr>
            <w:r>
              <w:t>验收标准</w:t>
            </w:r>
          </w:p>
        </w:tc>
        <w:tc>
          <w:tcPr>
            <w:tcW w:w="4568"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1653C05A">
            <w:pPr>
              <w:pStyle w:val="30"/>
              <w:bidi w:val="0"/>
              <w:snapToGrid w:val="0"/>
            </w:pPr>
            <w:r>
              <w:t>≥ 99%</w:t>
            </w:r>
          </w:p>
        </w:tc>
      </w:tr>
      <w:tr w14:paraId="61BBE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nil"/>
              <w:right w:val="nil"/>
            </w:tcBorders>
            <w:tcMar>
              <w:top w:w="60" w:type="dxa"/>
              <w:left w:w="120" w:type="dxa"/>
              <w:bottom w:w="30" w:type="dxa"/>
              <w:right w:w="120" w:type="dxa"/>
            </w:tcMar>
          </w:tcPr>
          <w:p w14:paraId="50D5FF67">
            <w:pPr>
              <w:pStyle w:val="30"/>
              <w:bidi w:val="0"/>
              <w:snapToGrid w:val="0"/>
              <w:ind w:left="0" w:leftChars="0" w:firstLine="0" w:firstLineChars="0"/>
            </w:pPr>
            <w:r>
              <w:t>测试方法</w:t>
            </w:r>
          </w:p>
        </w:tc>
        <w:tc>
          <w:tcPr>
            <w:tcW w:w="4568"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2D501AFE">
            <w:pPr>
              <w:pStyle w:val="30"/>
              <w:bidi w:val="0"/>
              <w:snapToGrid w:val="0"/>
              <w:ind w:left="0" w:leftChars="0" w:firstLine="0" w:firstLineChars="0"/>
            </w:pPr>
            <w:r>
              <w:t>系统日志统计结合人工抽样复核。随机抽取200条运维工单记录，由运维调度科人员人工比对关键字段（运维时段、设备信息、运维技术人员、运维工具分配）的完整性</w:t>
            </w:r>
          </w:p>
        </w:tc>
      </w:tr>
      <w:tr w14:paraId="114F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nil"/>
              <w:right w:val="nil"/>
            </w:tcBorders>
            <w:tcMar>
              <w:top w:w="60" w:type="dxa"/>
              <w:left w:w="120" w:type="dxa"/>
              <w:bottom w:w="30" w:type="dxa"/>
              <w:right w:w="120" w:type="dxa"/>
            </w:tcMar>
          </w:tcPr>
          <w:p w14:paraId="1DBE8D11">
            <w:pPr>
              <w:pStyle w:val="30"/>
              <w:bidi w:val="0"/>
              <w:snapToGrid w:val="0"/>
              <w:ind w:left="0" w:leftChars="0" w:firstLine="0" w:firstLineChars="0"/>
            </w:pPr>
            <w:r>
              <w:t>测量结果</w:t>
            </w:r>
          </w:p>
        </w:tc>
        <w:tc>
          <w:tcPr>
            <w:tcW w:w="4568"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6D322906">
            <w:pPr>
              <w:pStyle w:val="30"/>
              <w:bidi w:val="0"/>
              <w:snapToGrid w:val="0"/>
              <w:ind w:left="0" w:leftChars="0" w:firstLine="0" w:firstLineChars="0"/>
            </w:pPr>
            <w:r>
              <w:t>完整工单为197条，工单完整率计算为 98.5%</w:t>
            </w:r>
          </w:p>
        </w:tc>
      </w:tr>
      <w:tr w14:paraId="7B045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single" w:color="auto" w:sz="12" w:space="0"/>
              <w:right w:val="nil"/>
            </w:tcBorders>
            <w:tcMar>
              <w:top w:w="60" w:type="dxa"/>
              <w:left w:w="120" w:type="dxa"/>
              <w:bottom w:w="30" w:type="dxa"/>
              <w:right w:w="120" w:type="dxa"/>
            </w:tcMar>
          </w:tcPr>
          <w:p w14:paraId="4B46D1A4">
            <w:pPr>
              <w:pStyle w:val="30"/>
              <w:bidi w:val="0"/>
              <w:snapToGrid w:val="0"/>
              <w:ind w:left="0" w:leftChars="0" w:firstLine="0" w:firstLineChars="0"/>
            </w:pPr>
            <w:r>
              <w:t>结论</w:t>
            </w:r>
          </w:p>
        </w:tc>
        <w:tc>
          <w:tcPr>
            <w:tcW w:w="456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38099C6B">
            <w:pPr>
              <w:pStyle w:val="30"/>
              <w:bidi w:val="0"/>
              <w:snapToGrid w:val="0"/>
              <w:rPr>
                <w:rFonts w:hint="default" w:eastAsia="宋体"/>
                <w:lang w:val="en-US" w:eastAsia="zh-CN"/>
              </w:rPr>
            </w:pPr>
            <w:r>
              <w:rPr>
                <w:rFonts w:hint="eastAsia"/>
                <w:lang w:val="en-US" w:eastAsia="zh-CN"/>
              </w:rPr>
              <w:t>达标</w:t>
            </w:r>
          </w:p>
        </w:tc>
      </w:tr>
    </w:tbl>
    <w:p w14:paraId="6736DC6C">
      <w:pPr>
        <w:pStyle w:val="31"/>
        <w:bidi w:val="0"/>
      </w:pPr>
      <w:bookmarkStart w:id="20" w:name="heading_11"/>
      <w:r>
        <w:t xml:space="preserve"> </w:t>
      </w:r>
      <w:bookmarkStart w:id="21" w:name="_Toc17232"/>
      <w:r>
        <w:t>KPI-02：设备运行状态数据域 设备数据准确率</w:t>
      </w:r>
      <w:bookmarkEnd w:id="20"/>
      <w:bookmarkEnd w:id="2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3380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70D7E3B">
            <w:pPr>
              <w:pStyle w:val="30"/>
              <w:bidi w:val="0"/>
            </w:pPr>
            <w:r>
              <w:t>项目</w:t>
            </w:r>
          </w:p>
        </w:tc>
        <w:tc>
          <w:tcPr>
            <w:tcW w:w="3000" w:type="dxa"/>
            <w:tcMar>
              <w:top w:w="60" w:type="dxa"/>
              <w:left w:w="120" w:type="dxa"/>
              <w:bottom w:w="30" w:type="dxa"/>
              <w:right w:w="120" w:type="dxa"/>
            </w:tcMar>
          </w:tcPr>
          <w:p w14:paraId="166E77B9">
            <w:pPr>
              <w:pStyle w:val="30"/>
              <w:bidi w:val="0"/>
            </w:pPr>
            <w:r>
              <w:t>内容</w:t>
            </w:r>
          </w:p>
        </w:tc>
      </w:tr>
      <w:tr w14:paraId="0721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3F45153">
            <w:pPr>
              <w:pStyle w:val="30"/>
              <w:bidi w:val="0"/>
            </w:pPr>
            <w:r>
              <w:t>验收标准</w:t>
            </w:r>
          </w:p>
        </w:tc>
        <w:tc>
          <w:tcPr>
            <w:tcW w:w="3000" w:type="dxa"/>
            <w:tcMar>
              <w:top w:w="60" w:type="dxa"/>
              <w:left w:w="120" w:type="dxa"/>
              <w:bottom w:w="30" w:type="dxa"/>
              <w:right w:w="120" w:type="dxa"/>
            </w:tcMar>
          </w:tcPr>
          <w:p w14:paraId="6D473F56">
            <w:pPr>
              <w:pStyle w:val="30"/>
              <w:bidi w:val="0"/>
            </w:pPr>
            <w:r>
              <w:t>≥ 95%</w:t>
            </w:r>
          </w:p>
        </w:tc>
      </w:tr>
      <w:tr w14:paraId="6D2C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02F3783">
            <w:pPr>
              <w:pStyle w:val="30"/>
              <w:bidi w:val="0"/>
            </w:pPr>
            <w:r>
              <w:t>测试方法</w:t>
            </w:r>
          </w:p>
        </w:tc>
        <w:tc>
          <w:tcPr>
            <w:tcW w:w="3000" w:type="dxa"/>
            <w:tcMar>
              <w:top w:w="60" w:type="dxa"/>
              <w:left w:w="120" w:type="dxa"/>
              <w:bottom w:w="30" w:type="dxa"/>
              <w:right w:w="120" w:type="dxa"/>
            </w:tcMar>
          </w:tcPr>
          <w:p w14:paraId="58906A36">
            <w:pPr>
              <w:pStyle w:val="30"/>
              <w:bidi w:val="0"/>
              <w:ind w:left="0" w:leftChars="0" w:firstLine="0" w:firstLineChars="0"/>
            </w:pPr>
            <w:r>
              <w:t>系统统计设备数据异常记录（数据异常、速度异常、设备识别码识别错误）占运维监控总记录的比例</w:t>
            </w:r>
          </w:p>
        </w:tc>
      </w:tr>
      <w:tr w14:paraId="1DB1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59CBEAF">
            <w:pPr>
              <w:pStyle w:val="30"/>
              <w:bidi w:val="0"/>
            </w:pPr>
            <w:r>
              <w:t>测量结果</w:t>
            </w:r>
          </w:p>
        </w:tc>
        <w:tc>
          <w:tcPr>
            <w:tcW w:w="3000" w:type="dxa"/>
            <w:tcMar>
              <w:top w:w="60" w:type="dxa"/>
              <w:left w:w="120" w:type="dxa"/>
              <w:bottom w:w="30" w:type="dxa"/>
              <w:right w:w="120" w:type="dxa"/>
            </w:tcMar>
          </w:tcPr>
          <w:p w14:paraId="3D4FFBE5">
            <w:pPr>
              <w:pStyle w:val="30"/>
              <w:bidi w:val="0"/>
              <w:ind w:left="0" w:leftChars="0" w:firstLine="0" w:firstLineChars="0"/>
            </w:pPr>
            <w:r>
              <w:t>平均准确率为 96.7%，最低单日值为95.8%（6月12日）</w:t>
            </w:r>
          </w:p>
        </w:tc>
      </w:tr>
      <w:tr w14:paraId="1448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F7233EF">
            <w:pPr>
              <w:pStyle w:val="30"/>
              <w:bidi w:val="0"/>
            </w:pPr>
            <w:r>
              <w:t>结论</w:t>
            </w:r>
          </w:p>
        </w:tc>
        <w:tc>
          <w:tcPr>
            <w:tcW w:w="3000" w:type="dxa"/>
            <w:tcMar>
              <w:top w:w="60" w:type="dxa"/>
              <w:left w:w="120" w:type="dxa"/>
              <w:bottom w:w="30" w:type="dxa"/>
              <w:right w:w="120" w:type="dxa"/>
            </w:tcMar>
          </w:tcPr>
          <w:p w14:paraId="0ED5B8C1">
            <w:pPr>
              <w:pStyle w:val="30"/>
              <w:bidi w:val="0"/>
            </w:pPr>
            <w:r>
              <w:rPr>
                <w:rFonts w:hint="eastAsia"/>
                <w:lang w:val="en-US" w:eastAsia="zh-CN"/>
              </w:rPr>
              <w:t>达标</w:t>
            </w:r>
          </w:p>
        </w:tc>
      </w:tr>
    </w:tbl>
    <w:p w14:paraId="55265B7B">
      <w:bookmarkStart w:id="22" w:name="_Toc5351"/>
      <w:bookmarkStart w:id="23" w:name="heading_12"/>
      <w:r>
        <w:br w:type="page"/>
      </w:r>
    </w:p>
    <w:p w14:paraId="6D4F3B09">
      <w:pPr>
        <w:pStyle w:val="31"/>
        <w:bidi w:val="0"/>
      </w:pPr>
      <w:r>
        <w:t>KPI-03：运维技术人员管理数据域 排班合规率</w:t>
      </w:r>
      <w:bookmarkEnd w:id="22"/>
      <w:bookmarkEnd w:id="2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3798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07F8F02">
            <w:pPr>
              <w:pStyle w:val="30"/>
              <w:bidi w:val="0"/>
            </w:pPr>
            <w:r>
              <w:t>项目</w:t>
            </w:r>
          </w:p>
        </w:tc>
        <w:tc>
          <w:tcPr>
            <w:tcW w:w="3000" w:type="dxa"/>
            <w:tcMar>
              <w:top w:w="60" w:type="dxa"/>
              <w:left w:w="120" w:type="dxa"/>
              <w:bottom w:w="30" w:type="dxa"/>
              <w:right w:w="120" w:type="dxa"/>
            </w:tcMar>
          </w:tcPr>
          <w:p w14:paraId="4C0BCB0E">
            <w:pPr>
              <w:pStyle w:val="30"/>
              <w:bidi w:val="0"/>
            </w:pPr>
            <w:r>
              <w:t>内容</w:t>
            </w:r>
          </w:p>
        </w:tc>
      </w:tr>
      <w:tr w14:paraId="252B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D98E2A3">
            <w:pPr>
              <w:pStyle w:val="30"/>
              <w:bidi w:val="0"/>
            </w:pPr>
            <w:r>
              <w:t>验收标准</w:t>
            </w:r>
          </w:p>
        </w:tc>
        <w:tc>
          <w:tcPr>
            <w:tcW w:w="3000" w:type="dxa"/>
            <w:tcMar>
              <w:top w:w="60" w:type="dxa"/>
              <w:left w:w="120" w:type="dxa"/>
              <w:bottom w:w="30" w:type="dxa"/>
              <w:right w:w="120" w:type="dxa"/>
            </w:tcMar>
          </w:tcPr>
          <w:p w14:paraId="56385CDC">
            <w:pPr>
              <w:pStyle w:val="30"/>
              <w:bidi w:val="0"/>
            </w:pPr>
            <w:r>
              <w:t>≥ 99%</w:t>
            </w:r>
          </w:p>
        </w:tc>
      </w:tr>
      <w:tr w14:paraId="15ED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6F5C377">
            <w:pPr>
              <w:pStyle w:val="30"/>
              <w:bidi w:val="0"/>
            </w:pPr>
            <w:r>
              <w:t>测试方法</w:t>
            </w:r>
          </w:p>
        </w:tc>
        <w:tc>
          <w:tcPr>
            <w:tcW w:w="3000" w:type="dxa"/>
            <w:tcMar>
              <w:top w:w="60" w:type="dxa"/>
              <w:left w:w="120" w:type="dxa"/>
              <w:bottom w:w="30" w:type="dxa"/>
              <w:right w:w="120" w:type="dxa"/>
            </w:tcMar>
          </w:tcPr>
          <w:p w14:paraId="30E41FC1">
            <w:pPr>
              <w:pStyle w:val="30"/>
              <w:bidi w:val="0"/>
            </w:pPr>
            <w:r>
              <w:t>监控平台统计运维人员排班记录，检测工时超限、时段冲突、资质过期仍排班等违规情况</w:t>
            </w:r>
          </w:p>
        </w:tc>
      </w:tr>
      <w:tr w14:paraId="70BB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B394D84">
            <w:pPr>
              <w:pStyle w:val="30"/>
              <w:bidi w:val="0"/>
            </w:pPr>
            <w:r>
              <w:t>测量结果</w:t>
            </w:r>
          </w:p>
        </w:tc>
        <w:tc>
          <w:tcPr>
            <w:tcW w:w="3000" w:type="dxa"/>
            <w:tcMar>
              <w:top w:w="60" w:type="dxa"/>
              <w:left w:w="120" w:type="dxa"/>
              <w:bottom w:w="30" w:type="dxa"/>
              <w:right w:w="120" w:type="dxa"/>
            </w:tcMar>
          </w:tcPr>
          <w:p w14:paraId="1AB068C7">
            <w:pPr>
              <w:pStyle w:val="30"/>
              <w:bidi w:val="0"/>
            </w:pPr>
            <w:r>
              <w:t>平均合规率为 99.4%，违规排班均触发预警并完成人工复核调整</w:t>
            </w:r>
          </w:p>
        </w:tc>
      </w:tr>
      <w:tr w14:paraId="6C89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707D9F3">
            <w:pPr>
              <w:pStyle w:val="30"/>
              <w:bidi w:val="0"/>
            </w:pPr>
            <w:r>
              <w:t>结论</w:t>
            </w:r>
          </w:p>
        </w:tc>
        <w:tc>
          <w:tcPr>
            <w:tcW w:w="3000" w:type="dxa"/>
            <w:tcMar>
              <w:top w:w="60" w:type="dxa"/>
              <w:left w:w="120" w:type="dxa"/>
              <w:bottom w:w="30" w:type="dxa"/>
              <w:right w:w="120" w:type="dxa"/>
            </w:tcMar>
          </w:tcPr>
          <w:p w14:paraId="20EA6D41">
            <w:pPr>
              <w:pStyle w:val="30"/>
              <w:bidi w:val="0"/>
            </w:pPr>
            <w:r>
              <w:rPr>
                <w:rFonts w:hint="eastAsia"/>
                <w:lang w:val="en-US" w:eastAsia="zh-CN"/>
              </w:rPr>
              <w:t>达标</w:t>
            </w:r>
          </w:p>
        </w:tc>
      </w:tr>
    </w:tbl>
    <w:p w14:paraId="0D8DBE9B">
      <w:pPr>
        <w:pStyle w:val="31"/>
        <w:bidi w:val="0"/>
      </w:pPr>
      <w:bookmarkStart w:id="24" w:name="heading_13"/>
      <w:bookmarkStart w:id="25" w:name="_Toc5681"/>
      <w:r>
        <w:t>KPI-04：设备运维数据域 维修记录完整率</w:t>
      </w:r>
      <w:bookmarkEnd w:id="24"/>
      <w:bookmarkEnd w:id="2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2AE5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25E6369">
            <w:pPr>
              <w:pStyle w:val="30"/>
              <w:bidi w:val="0"/>
            </w:pPr>
            <w:r>
              <w:t>项目</w:t>
            </w:r>
          </w:p>
        </w:tc>
        <w:tc>
          <w:tcPr>
            <w:tcW w:w="3000" w:type="dxa"/>
            <w:tcMar>
              <w:top w:w="60" w:type="dxa"/>
              <w:left w:w="120" w:type="dxa"/>
              <w:bottom w:w="30" w:type="dxa"/>
              <w:right w:w="120" w:type="dxa"/>
            </w:tcMar>
          </w:tcPr>
          <w:p w14:paraId="0D6142D9">
            <w:pPr>
              <w:pStyle w:val="30"/>
              <w:bidi w:val="0"/>
            </w:pPr>
            <w:r>
              <w:t>内容</w:t>
            </w:r>
          </w:p>
        </w:tc>
      </w:tr>
      <w:tr w14:paraId="799D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8C225EC">
            <w:pPr>
              <w:pStyle w:val="30"/>
              <w:bidi w:val="0"/>
            </w:pPr>
            <w:r>
              <w:t>验收标准</w:t>
            </w:r>
          </w:p>
        </w:tc>
        <w:tc>
          <w:tcPr>
            <w:tcW w:w="3000" w:type="dxa"/>
            <w:tcMar>
              <w:top w:w="60" w:type="dxa"/>
              <w:left w:w="120" w:type="dxa"/>
              <w:bottom w:w="30" w:type="dxa"/>
              <w:right w:w="120" w:type="dxa"/>
            </w:tcMar>
          </w:tcPr>
          <w:p w14:paraId="77EE247A">
            <w:pPr>
              <w:pStyle w:val="30"/>
              <w:bidi w:val="0"/>
            </w:pPr>
            <w:r>
              <w:t>≥ 99%</w:t>
            </w:r>
          </w:p>
        </w:tc>
      </w:tr>
      <w:tr w14:paraId="4D63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41DCF03">
            <w:pPr>
              <w:pStyle w:val="30"/>
              <w:bidi w:val="0"/>
            </w:pPr>
            <w:r>
              <w:t>测试方法</w:t>
            </w:r>
          </w:p>
        </w:tc>
        <w:tc>
          <w:tcPr>
            <w:tcW w:w="3000" w:type="dxa"/>
            <w:tcMar>
              <w:top w:w="60" w:type="dxa"/>
              <w:left w:w="120" w:type="dxa"/>
              <w:bottom w:w="30" w:type="dxa"/>
              <w:right w:w="120" w:type="dxa"/>
            </w:tcMar>
          </w:tcPr>
          <w:p w14:paraId="498BA51F">
            <w:pPr>
              <w:pStyle w:val="30"/>
              <w:bidi w:val="0"/>
            </w:pPr>
            <w:r>
              <w:t>监控平台统计维修记录关键字段（设备编码、故障现象、维修措施、维修时间）的完整情况</w:t>
            </w:r>
          </w:p>
        </w:tc>
      </w:tr>
      <w:tr w14:paraId="0F62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E651B58">
            <w:pPr>
              <w:pStyle w:val="30"/>
              <w:bidi w:val="0"/>
            </w:pPr>
            <w:r>
              <w:t>测量结果</w:t>
            </w:r>
          </w:p>
        </w:tc>
        <w:tc>
          <w:tcPr>
            <w:tcW w:w="3000" w:type="dxa"/>
            <w:tcMar>
              <w:top w:w="60" w:type="dxa"/>
              <w:left w:w="120" w:type="dxa"/>
              <w:bottom w:w="30" w:type="dxa"/>
              <w:right w:w="120" w:type="dxa"/>
            </w:tcMar>
          </w:tcPr>
          <w:p w14:paraId="5C4D796A">
            <w:pPr>
              <w:pStyle w:val="30"/>
              <w:bidi w:val="0"/>
            </w:pPr>
            <w:r>
              <w:t>平均完整率为 99.1%，缺失字段均触发补录流程并跟踪完成</w:t>
            </w:r>
          </w:p>
        </w:tc>
      </w:tr>
      <w:tr w14:paraId="0887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5588933">
            <w:pPr>
              <w:pStyle w:val="30"/>
              <w:bidi w:val="0"/>
            </w:pPr>
            <w:r>
              <w:t>结论</w:t>
            </w:r>
          </w:p>
        </w:tc>
        <w:tc>
          <w:tcPr>
            <w:tcW w:w="3000" w:type="dxa"/>
            <w:tcMar>
              <w:top w:w="60" w:type="dxa"/>
              <w:left w:w="120" w:type="dxa"/>
              <w:bottom w:w="30" w:type="dxa"/>
              <w:right w:w="120" w:type="dxa"/>
            </w:tcMar>
          </w:tcPr>
          <w:p w14:paraId="36C4BE28">
            <w:pPr>
              <w:pStyle w:val="30"/>
              <w:bidi w:val="0"/>
            </w:pPr>
            <w:r>
              <w:t>达标</w:t>
            </w:r>
          </w:p>
        </w:tc>
      </w:tr>
    </w:tbl>
    <w:p w14:paraId="6BF2B976">
      <w:bookmarkStart w:id="26" w:name="_Toc20690"/>
      <w:bookmarkStart w:id="27" w:name="heading_14"/>
      <w:r>
        <w:br w:type="page"/>
      </w:r>
    </w:p>
    <w:p w14:paraId="4D705C85">
      <w:pPr>
        <w:pStyle w:val="31"/>
        <w:bidi w:val="0"/>
      </w:pPr>
      <w:r>
        <w:t>KPI-05：费用与结算数据域 凭证平衡率</w:t>
      </w:r>
      <w:bookmarkEnd w:id="26"/>
      <w:bookmarkEnd w:id="2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03DB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744C400">
            <w:pPr>
              <w:pStyle w:val="30"/>
              <w:bidi w:val="0"/>
            </w:pPr>
            <w:r>
              <w:t>项目</w:t>
            </w:r>
          </w:p>
        </w:tc>
        <w:tc>
          <w:tcPr>
            <w:tcW w:w="3000" w:type="dxa"/>
            <w:tcMar>
              <w:top w:w="60" w:type="dxa"/>
              <w:left w:w="120" w:type="dxa"/>
              <w:bottom w:w="30" w:type="dxa"/>
              <w:right w:w="120" w:type="dxa"/>
            </w:tcMar>
          </w:tcPr>
          <w:p w14:paraId="6BF9E91F">
            <w:pPr>
              <w:pStyle w:val="30"/>
              <w:bidi w:val="0"/>
            </w:pPr>
            <w:r>
              <w:t>内容</w:t>
            </w:r>
          </w:p>
        </w:tc>
      </w:tr>
      <w:tr w14:paraId="7FF9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568E1F1">
            <w:pPr>
              <w:pStyle w:val="30"/>
              <w:bidi w:val="0"/>
            </w:pPr>
            <w:r>
              <w:t>验收标准</w:t>
            </w:r>
          </w:p>
        </w:tc>
        <w:tc>
          <w:tcPr>
            <w:tcW w:w="3000" w:type="dxa"/>
            <w:tcMar>
              <w:top w:w="60" w:type="dxa"/>
              <w:left w:w="120" w:type="dxa"/>
              <w:bottom w:w="30" w:type="dxa"/>
              <w:right w:w="120" w:type="dxa"/>
            </w:tcMar>
          </w:tcPr>
          <w:p w14:paraId="4DDC90F0">
            <w:pPr>
              <w:pStyle w:val="30"/>
              <w:bidi w:val="0"/>
            </w:pPr>
            <w:r>
              <w:t>100%</w:t>
            </w:r>
          </w:p>
        </w:tc>
      </w:tr>
      <w:tr w14:paraId="3F55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C15D762">
            <w:pPr>
              <w:pStyle w:val="30"/>
              <w:bidi w:val="0"/>
            </w:pPr>
            <w:r>
              <w:t>测试方法</w:t>
            </w:r>
          </w:p>
        </w:tc>
        <w:tc>
          <w:tcPr>
            <w:tcW w:w="3000" w:type="dxa"/>
            <w:tcMar>
              <w:top w:w="60" w:type="dxa"/>
              <w:left w:w="120" w:type="dxa"/>
              <w:bottom w:w="30" w:type="dxa"/>
              <w:right w:w="120" w:type="dxa"/>
            </w:tcMar>
          </w:tcPr>
          <w:p w14:paraId="25F11B8F">
            <w:pPr>
              <w:pStyle w:val="30"/>
              <w:bidi w:val="0"/>
            </w:pPr>
            <w:r>
              <w:t>监控平台统计每日费收凭证借贷平衡情况，不平凭证自动拦截并记录</w:t>
            </w:r>
          </w:p>
        </w:tc>
      </w:tr>
      <w:tr w14:paraId="4725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EE57259">
            <w:pPr>
              <w:pStyle w:val="30"/>
              <w:bidi w:val="0"/>
            </w:pPr>
            <w:r>
              <w:t>测量结果</w:t>
            </w:r>
          </w:p>
        </w:tc>
        <w:tc>
          <w:tcPr>
            <w:tcW w:w="3000" w:type="dxa"/>
            <w:tcMar>
              <w:top w:w="60" w:type="dxa"/>
              <w:left w:w="120" w:type="dxa"/>
              <w:bottom w:w="30" w:type="dxa"/>
              <w:right w:w="120" w:type="dxa"/>
            </w:tcMar>
          </w:tcPr>
          <w:p w14:paraId="07A5ED37">
            <w:pPr>
              <w:pStyle w:val="30"/>
              <w:bidi w:val="0"/>
            </w:pPr>
            <w:r>
              <w:t>测试期间所有费收凭证均借贷平衡，平衡率为 100%</w:t>
            </w:r>
          </w:p>
        </w:tc>
      </w:tr>
      <w:tr w14:paraId="1222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71FE1B3">
            <w:pPr>
              <w:pStyle w:val="30"/>
              <w:bidi w:val="0"/>
            </w:pPr>
            <w:r>
              <w:t>结论</w:t>
            </w:r>
          </w:p>
        </w:tc>
        <w:tc>
          <w:tcPr>
            <w:tcW w:w="3000" w:type="dxa"/>
            <w:tcMar>
              <w:top w:w="60" w:type="dxa"/>
              <w:left w:w="120" w:type="dxa"/>
              <w:bottom w:w="30" w:type="dxa"/>
              <w:right w:w="120" w:type="dxa"/>
            </w:tcMar>
          </w:tcPr>
          <w:p w14:paraId="36290474">
            <w:pPr>
              <w:pStyle w:val="30"/>
              <w:bidi w:val="0"/>
            </w:pPr>
            <w:r>
              <w:t>达标</w:t>
            </w:r>
          </w:p>
        </w:tc>
      </w:tr>
    </w:tbl>
    <w:p w14:paraId="174A64A4">
      <w:pPr>
        <w:pStyle w:val="31"/>
        <w:bidi w:val="0"/>
      </w:pPr>
      <w:bookmarkStart w:id="28" w:name="_Toc17249"/>
      <w:bookmarkStart w:id="29" w:name="heading_15"/>
      <w:r>
        <w:t>KPI-06：系统过程域 数据清洗任务执行成功率</w:t>
      </w:r>
      <w:bookmarkEnd w:id="28"/>
      <w:bookmarkEnd w:id="29"/>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5D7D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A6F2B23">
            <w:pPr>
              <w:pStyle w:val="30"/>
              <w:bidi w:val="0"/>
            </w:pPr>
            <w:r>
              <w:t>项目</w:t>
            </w:r>
          </w:p>
        </w:tc>
        <w:tc>
          <w:tcPr>
            <w:tcW w:w="3000" w:type="dxa"/>
            <w:tcMar>
              <w:top w:w="60" w:type="dxa"/>
              <w:left w:w="120" w:type="dxa"/>
              <w:bottom w:w="30" w:type="dxa"/>
              <w:right w:w="120" w:type="dxa"/>
            </w:tcMar>
          </w:tcPr>
          <w:p w14:paraId="1556D5B3">
            <w:pPr>
              <w:pStyle w:val="30"/>
              <w:bidi w:val="0"/>
            </w:pPr>
            <w:r>
              <w:t>内容</w:t>
            </w:r>
          </w:p>
        </w:tc>
      </w:tr>
      <w:tr w14:paraId="452C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F982279">
            <w:pPr>
              <w:pStyle w:val="30"/>
              <w:bidi w:val="0"/>
            </w:pPr>
            <w:r>
              <w:t>验收标准</w:t>
            </w:r>
          </w:p>
        </w:tc>
        <w:tc>
          <w:tcPr>
            <w:tcW w:w="3000" w:type="dxa"/>
            <w:tcMar>
              <w:top w:w="60" w:type="dxa"/>
              <w:left w:w="120" w:type="dxa"/>
              <w:bottom w:w="30" w:type="dxa"/>
              <w:right w:w="120" w:type="dxa"/>
            </w:tcMar>
          </w:tcPr>
          <w:p w14:paraId="7F215B37">
            <w:pPr>
              <w:pStyle w:val="30"/>
              <w:bidi w:val="0"/>
            </w:pPr>
            <w:r>
              <w:t>≥ 99.9%</w:t>
            </w:r>
          </w:p>
        </w:tc>
      </w:tr>
      <w:tr w14:paraId="7D3C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C89ED05">
            <w:pPr>
              <w:pStyle w:val="30"/>
              <w:bidi w:val="0"/>
            </w:pPr>
            <w:r>
              <w:t>测试方法</w:t>
            </w:r>
          </w:p>
        </w:tc>
        <w:tc>
          <w:tcPr>
            <w:tcW w:w="3000" w:type="dxa"/>
            <w:tcMar>
              <w:top w:w="60" w:type="dxa"/>
              <w:left w:w="120" w:type="dxa"/>
              <w:bottom w:w="30" w:type="dxa"/>
              <w:right w:w="120" w:type="dxa"/>
            </w:tcMar>
          </w:tcPr>
          <w:p w14:paraId="201D0C9F">
            <w:pPr>
              <w:pStyle w:val="30"/>
              <w:bidi w:val="0"/>
            </w:pPr>
            <w:r>
              <w:t>监控Airflow调度平台任务日志，统计成功执行任务数与总调度任务数</w:t>
            </w:r>
          </w:p>
        </w:tc>
      </w:tr>
      <w:tr w14:paraId="7A4E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DA37832">
            <w:pPr>
              <w:pStyle w:val="30"/>
              <w:bidi w:val="0"/>
            </w:pPr>
            <w:r>
              <w:t>测量结果</w:t>
            </w:r>
          </w:p>
        </w:tc>
        <w:tc>
          <w:tcPr>
            <w:tcW w:w="3000" w:type="dxa"/>
            <w:tcMar>
              <w:top w:w="60" w:type="dxa"/>
              <w:left w:w="120" w:type="dxa"/>
              <w:bottom w:w="30" w:type="dxa"/>
              <w:right w:w="120" w:type="dxa"/>
            </w:tcMar>
          </w:tcPr>
          <w:p w14:paraId="056189C6">
            <w:pPr>
              <w:pStyle w:val="30"/>
              <w:bidi w:val="0"/>
            </w:pPr>
            <w:r>
              <w:t>任务成功率为 100%，无失败任务记录</w:t>
            </w:r>
          </w:p>
        </w:tc>
      </w:tr>
      <w:tr w14:paraId="23C5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A6980A0">
            <w:pPr>
              <w:pStyle w:val="30"/>
              <w:bidi w:val="0"/>
            </w:pPr>
            <w:r>
              <w:t>结论</w:t>
            </w:r>
          </w:p>
        </w:tc>
        <w:tc>
          <w:tcPr>
            <w:tcW w:w="3000" w:type="dxa"/>
            <w:tcMar>
              <w:top w:w="60" w:type="dxa"/>
              <w:left w:w="120" w:type="dxa"/>
              <w:bottom w:w="30" w:type="dxa"/>
              <w:right w:w="120" w:type="dxa"/>
            </w:tcMar>
          </w:tcPr>
          <w:p w14:paraId="3E34B284">
            <w:pPr>
              <w:pStyle w:val="30"/>
              <w:bidi w:val="0"/>
            </w:pPr>
            <w:r>
              <w:t>达标</w:t>
            </w:r>
          </w:p>
        </w:tc>
      </w:tr>
    </w:tbl>
    <w:p w14:paraId="0AD5062F">
      <w:bookmarkStart w:id="30" w:name="heading_16"/>
      <w:bookmarkStart w:id="31" w:name="_Toc10889"/>
      <w:r>
        <w:br w:type="page"/>
      </w:r>
    </w:p>
    <w:p w14:paraId="73203304">
      <w:pPr>
        <w:pStyle w:val="31"/>
        <w:bidi w:val="0"/>
      </w:pPr>
      <w:r>
        <w:t>KPI-07：系统过程域 端到端数据清洗延迟</w:t>
      </w:r>
      <w:bookmarkEnd w:id="30"/>
      <w:bookmarkEnd w:id="3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455"/>
      </w:tblGrid>
      <w:tr w14:paraId="4C3EE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9E06A45">
            <w:pPr>
              <w:pStyle w:val="30"/>
              <w:bidi w:val="0"/>
            </w:pPr>
            <w:r>
              <w:t>项目</w:t>
            </w:r>
          </w:p>
        </w:tc>
        <w:tc>
          <w:tcPr>
            <w:tcW w:w="3455" w:type="dxa"/>
            <w:tcMar>
              <w:top w:w="60" w:type="dxa"/>
              <w:left w:w="120" w:type="dxa"/>
              <w:bottom w:w="30" w:type="dxa"/>
              <w:right w:w="120" w:type="dxa"/>
            </w:tcMar>
          </w:tcPr>
          <w:p w14:paraId="718DE57B">
            <w:pPr>
              <w:pStyle w:val="30"/>
              <w:bidi w:val="0"/>
            </w:pPr>
            <w:r>
              <w:t>内容</w:t>
            </w:r>
          </w:p>
        </w:tc>
      </w:tr>
      <w:tr w14:paraId="2379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7" w:hRule="atLeast"/>
          <w:jc w:val="center"/>
        </w:trPr>
        <w:tc>
          <w:tcPr>
            <w:tcW w:w="3000" w:type="dxa"/>
            <w:tcMar>
              <w:top w:w="60" w:type="dxa"/>
              <w:left w:w="120" w:type="dxa"/>
              <w:bottom w:w="30" w:type="dxa"/>
              <w:right w:w="120" w:type="dxa"/>
            </w:tcMar>
          </w:tcPr>
          <w:p w14:paraId="1329C7F0">
            <w:pPr>
              <w:pStyle w:val="30"/>
              <w:bidi w:val="0"/>
            </w:pPr>
            <w:r>
              <w:t>验收标准</w:t>
            </w:r>
          </w:p>
        </w:tc>
        <w:tc>
          <w:tcPr>
            <w:tcW w:w="3455" w:type="dxa"/>
            <w:tcMar>
              <w:top w:w="60" w:type="dxa"/>
              <w:left w:w="120" w:type="dxa"/>
              <w:bottom w:w="30" w:type="dxa"/>
              <w:right w:w="120" w:type="dxa"/>
            </w:tcMar>
          </w:tcPr>
          <w:p w14:paraId="648A4C19">
            <w:pPr>
              <w:pStyle w:val="30"/>
              <w:bidi w:val="0"/>
            </w:pPr>
            <w:r>
              <w:t>≤ 10秒</w:t>
            </w:r>
          </w:p>
        </w:tc>
      </w:tr>
      <w:tr w14:paraId="54E4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81" w:hRule="atLeast"/>
          <w:jc w:val="center"/>
        </w:trPr>
        <w:tc>
          <w:tcPr>
            <w:tcW w:w="3000" w:type="dxa"/>
            <w:tcMar>
              <w:top w:w="60" w:type="dxa"/>
              <w:left w:w="120" w:type="dxa"/>
              <w:bottom w:w="30" w:type="dxa"/>
              <w:right w:w="120" w:type="dxa"/>
            </w:tcMar>
          </w:tcPr>
          <w:p w14:paraId="52F6E890">
            <w:pPr>
              <w:pStyle w:val="30"/>
              <w:bidi w:val="0"/>
            </w:pPr>
            <w:r>
              <w:t>测试方法</w:t>
            </w:r>
          </w:p>
        </w:tc>
        <w:tc>
          <w:tcPr>
            <w:tcW w:w="3455" w:type="dxa"/>
            <w:tcMar>
              <w:top w:w="60" w:type="dxa"/>
              <w:left w:w="120" w:type="dxa"/>
              <w:bottom w:w="30" w:type="dxa"/>
              <w:right w:w="120" w:type="dxa"/>
            </w:tcMar>
          </w:tcPr>
          <w:p w14:paraId="74518D95">
            <w:pPr>
              <w:pStyle w:val="30"/>
              <w:bidi w:val="0"/>
            </w:pPr>
            <w:r>
              <w:t>在数据流关键节点注入埋点，计算从数据接入（如运维监控信号接收）到清洗完成可用的时间分布的95分位数</w:t>
            </w:r>
          </w:p>
        </w:tc>
      </w:tr>
      <w:tr w14:paraId="5714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5B83259">
            <w:pPr>
              <w:pStyle w:val="30"/>
              <w:bidi w:val="0"/>
            </w:pPr>
            <w:r>
              <w:t>测量结果</w:t>
            </w:r>
          </w:p>
        </w:tc>
        <w:tc>
          <w:tcPr>
            <w:tcW w:w="3455" w:type="dxa"/>
            <w:tcMar>
              <w:top w:w="60" w:type="dxa"/>
              <w:left w:w="120" w:type="dxa"/>
              <w:bottom w:w="30" w:type="dxa"/>
              <w:right w:w="120" w:type="dxa"/>
            </w:tcMar>
          </w:tcPr>
          <w:p w14:paraId="5B6D7A29">
            <w:pPr>
              <w:pStyle w:val="30"/>
              <w:bidi w:val="0"/>
            </w:pPr>
            <w:r>
              <w:t>P95延迟为 7.6秒，平均延迟为1.8秒</w:t>
            </w:r>
          </w:p>
        </w:tc>
      </w:tr>
      <w:tr w14:paraId="583E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01CB586">
            <w:pPr>
              <w:pStyle w:val="30"/>
              <w:bidi w:val="0"/>
            </w:pPr>
            <w:r>
              <w:t>结论</w:t>
            </w:r>
          </w:p>
        </w:tc>
        <w:tc>
          <w:tcPr>
            <w:tcW w:w="3455" w:type="dxa"/>
            <w:tcMar>
              <w:top w:w="60" w:type="dxa"/>
              <w:left w:w="120" w:type="dxa"/>
              <w:bottom w:w="30" w:type="dxa"/>
              <w:right w:w="120" w:type="dxa"/>
            </w:tcMar>
          </w:tcPr>
          <w:p w14:paraId="2365C067">
            <w:pPr>
              <w:pStyle w:val="30"/>
              <w:bidi w:val="0"/>
            </w:pPr>
            <w:r>
              <w:t>达标</w:t>
            </w:r>
          </w:p>
        </w:tc>
      </w:tr>
    </w:tbl>
    <w:p w14:paraId="55B10A24">
      <w:pPr>
        <w:pStyle w:val="31"/>
        <w:bidi w:val="0"/>
      </w:pPr>
      <w:bookmarkStart w:id="32" w:name="heading_17"/>
      <w:bookmarkStart w:id="33" w:name="_Toc1541"/>
      <w:r>
        <w:t>KPI-08：过程可追溯性 清洗过程日志完整率</w:t>
      </w:r>
      <w:bookmarkEnd w:id="32"/>
      <w:bookmarkEnd w:id="3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08EE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95E2D30">
            <w:pPr>
              <w:pStyle w:val="30"/>
              <w:bidi w:val="0"/>
            </w:pPr>
            <w:r>
              <w:t>项目</w:t>
            </w:r>
          </w:p>
        </w:tc>
        <w:tc>
          <w:tcPr>
            <w:tcW w:w="3000" w:type="dxa"/>
            <w:tcMar>
              <w:top w:w="60" w:type="dxa"/>
              <w:left w:w="120" w:type="dxa"/>
              <w:bottom w:w="30" w:type="dxa"/>
              <w:right w:w="120" w:type="dxa"/>
            </w:tcMar>
          </w:tcPr>
          <w:p w14:paraId="12755DC8">
            <w:pPr>
              <w:pStyle w:val="30"/>
              <w:bidi w:val="0"/>
            </w:pPr>
            <w:r>
              <w:t>内容</w:t>
            </w:r>
          </w:p>
        </w:tc>
      </w:tr>
      <w:tr w14:paraId="371B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5C580D6">
            <w:pPr>
              <w:pStyle w:val="30"/>
              <w:bidi w:val="0"/>
            </w:pPr>
            <w:r>
              <w:t>验收标准</w:t>
            </w:r>
          </w:p>
        </w:tc>
        <w:tc>
          <w:tcPr>
            <w:tcW w:w="3000" w:type="dxa"/>
            <w:tcMar>
              <w:top w:w="60" w:type="dxa"/>
              <w:left w:w="120" w:type="dxa"/>
              <w:bottom w:w="30" w:type="dxa"/>
              <w:right w:w="120" w:type="dxa"/>
            </w:tcMar>
          </w:tcPr>
          <w:p w14:paraId="07EB77E3">
            <w:pPr>
              <w:pStyle w:val="30"/>
              <w:bidi w:val="0"/>
            </w:pPr>
            <w:r>
              <w:t>100%</w:t>
            </w:r>
          </w:p>
        </w:tc>
      </w:tr>
      <w:tr w14:paraId="0814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0F019FA">
            <w:pPr>
              <w:pStyle w:val="30"/>
              <w:bidi w:val="0"/>
            </w:pPr>
            <w:r>
              <w:t>测试方法</w:t>
            </w:r>
          </w:p>
        </w:tc>
        <w:tc>
          <w:tcPr>
            <w:tcW w:w="3000" w:type="dxa"/>
            <w:tcMar>
              <w:top w:w="60" w:type="dxa"/>
              <w:left w:w="120" w:type="dxa"/>
              <w:bottom w:w="30" w:type="dxa"/>
              <w:right w:w="120" w:type="dxa"/>
            </w:tcMar>
          </w:tcPr>
          <w:p w14:paraId="058EEBBF">
            <w:pPr>
              <w:pStyle w:val="30"/>
              <w:bidi w:val="0"/>
            </w:pPr>
            <w:r>
              <w:t>审计清洗系统数据血缘日志，检查关键数据处理环节是否完整记录</w:t>
            </w:r>
          </w:p>
        </w:tc>
      </w:tr>
      <w:tr w14:paraId="5772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385CC58">
            <w:pPr>
              <w:pStyle w:val="30"/>
              <w:bidi w:val="0"/>
            </w:pPr>
            <w:r>
              <w:t>测量结果</w:t>
            </w:r>
          </w:p>
        </w:tc>
        <w:tc>
          <w:tcPr>
            <w:tcW w:w="3000" w:type="dxa"/>
            <w:tcMar>
              <w:top w:w="60" w:type="dxa"/>
              <w:left w:w="120" w:type="dxa"/>
              <w:bottom w:w="30" w:type="dxa"/>
              <w:right w:w="120" w:type="dxa"/>
            </w:tcMar>
          </w:tcPr>
          <w:p w14:paraId="78446559">
            <w:pPr>
              <w:pStyle w:val="30"/>
              <w:bidi w:val="0"/>
            </w:pPr>
            <w:r>
              <w:t>日志记录完整率为 100%，所有数据变更均可追溯</w:t>
            </w:r>
          </w:p>
        </w:tc>
      </w:tr>
      <w:tr w14:paraId="1EFE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2F719E5">
            <w:pPr>
              <w:pStyle w:val="30"/>
              <w:bidi w:val="0"/>
            </w:pPr>
            <w:r>
              <w:t>结论</w:t>
            </w:r>
          </w:p>
        </w:tc>
        <w:tc>
          <w:tcPr>
            <w:tcW w:w="3000" w:type="dxa"/>
            <w:tcMar>
              <w:top w:w="60" w:type="dxa"/>
              <w:left w:w="120" w:type="dxa"/>
              <w:bottom w:w="30" w:type="dxa"/>
              <w:right w:w="120" w:type="dxa"/>
            </w:tcMar>
          </w:tcPr>
          <w:p w14:paraId="672B5CD9">
            <w:pPr>
              <w:pStyle w:val="30"/>
              <w:bidi w:val="0"/>
            </w:pPr>
            <w:r>
              <w:t>达标</w:t>
            </w:r>
          </w:p>
        </w:tc>
      </w:tr>
    </w:tbl>
    <w:p w14:paraId="28F5ABD3">
      <w:pPr>
        <w:pStyle w:val="29"/>
        <w:bidi w:val="0"/>
      </w:pPr>
      <w:bookmarkStart w:id="34" w:name="heading_18"/>
      <w:bookmarkStart w:id="35" w:name="_Toc6250"/>
      <w:r>
        <w:t>测试结论</w:t>
      </w:r>
      <w:bookmarkEnd w:id="34"/>
      <w:bookmarkEnd w:id="35"/>
    </w:p>
    <w:p w14:paraId="7ABB9FA4">
      <w:pPr>
        <w:pStyle w:val="30"/>
        <w:bidi w:val="0"/>
      </w:pPr>
      <w:r>
        <w:t>根据为期15天的连续稳定性测试与抽样验证，本项目数据清洗系统的输出质量已全面满足并部分优于《数据清洗策略需求分析报告》中规定的所有关键绩效指标（KPI）。</w:t>
      </w:r>
    </w:p>
    <w:p w14:paraId="06B69D92">
      <w:pPr>
        <w:pStyle w:val="30"/>
        <w:bidi w:val="0"/>
      </w:pPr>
      <w:r>
        <w:t>核心指标汇总：</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25FB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1FD15095">
            <w:pPr>
              <w:pStyle w:val="30"/>
              <w:bidi w:val="0"/>
            </w:pPr>
            <w:r>
              <w:t>指标类别</w:t>
            </w:r>
          </w:p>
        </w:tc>
        <w:tc>
          <w:tcPr>
            <w:tcW w:w="2070" w:type="dxa"/>
            <w:tcMar>
              <w:top w:w="60" w:type="dxa"/>
              <w:left w:w="120" w:type="dxa"/>
              <w:bottom w:w="30" w:type="dxa"/>
              <w:right w:w="120" w:type="dxa"/>
            </w:tcMar>
          </w:tcPr>
          <w:p w14:paraId="40B86604">
            <w:pPr>
              <w:pStyle w:val="30"/>
              <w:bidi w:val="0"/>
            </w:pPr>
            <w:r>
              <w:t>验收标准</w:t>
            </w:r>
          </w:p>
        </w:tc>
        <w:tc>
          <w:tcPr>
            <w:tcW w:w="2070" w:type="dxa"/>
            <w:tcMar>
              <w:top w:w="60" w:type="dxa"/>
              <w:left w:w="120" w:type="dxa"/>
              <w:bottom w:w="30" w:type="dxa"/>
              <w:right w:w="120" w:type="dxa"/>
            </w:tcMar>
          </w:tcPr>
          <w:p w14:paraId="53CEBDF5">
            <w:pPr>
              <w:pStyle w:val="30"/>
              <w:bidi w:val="0"/>
            </w:pPr>
            <w:r>
              <w:t>实际达成</w:t>
            </w:r>
          </w:p>
        </w:tc>
        <w:tc>
          <w:tcPr>
            <w:tcW w:w="2070" w:type="dxa"/>
            <w:tcMar>
              <w:top w:w="60" w:type="dxa"/>
              <w:left w:w="120" w:type="dxa"/>
              <w:bottom w:w="30" w:type="dxa"/>
              <w:right w:w="120" w:type="dxa"/>
            </w:tcMar>
          </w:tcPr>
          <w:p w14:paraId="7D2E8BAE">
            <w:pPr>
              <w:pStyle w:val="30"/>
              <w:bidi w:val="0"/>
            </w:pPr>
            <w:r>
              <w:t>状态</w:t>
            </w:r>
          </w:p>
        </w:tc>
      </w:tr>
      <w:tr w14:paraId="0F6A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34D2E7ED">
            <w:pPr>
              <w:pStyle w:val="30"/>
              <w:bidi w:val="0"/>
              <w:ind w:left="0" w:leftChars="0" w:firstLine="0" w:firstLineChars="0"/>
            </w:pPr>
            <w:r>
              <w:t>运维工单完整率</w:t>
            </w:r>
          </w:p>
        </w:tc>
        <w:tc>
          <w:tcPr>
            <w:tcW w:w="2070" w:type="dxa"/>
            <w:tcMar>
              <w:top w:w="60" w:type="dxa"/>
              <w:left w:w="120" w:type="dxa"/>
              <w:bottom w:w="30" w:type="dxa"/>
              <w:right w:w="120" w:type="dxa"/>
            </w:tcMar>
          </w:tcPr>
          <w:p w14:paraId="3BBFCA22">
            <w:pPr>
              <w:pStyle w:val="30"/>
              <w:bidi w:val="0"/>
            </w:pPr>
            <w:r>
              <w:t>≥ 99%</w:t>
            </w:r>
          </w:p>
        </w:tc>
        <w:tc>
          <w:tcPr>
            <w:tcW w:w="2070" w:type="dxa"/>
            <w:tcMar>
              <w:top w:w="60" w:type="dxa"/>
              <w:left w:w="120" w:type="dxa"/>
              <w:bottom w:w="30" w:type="dxa"/>
              <w:right w:w="120" w:type="dxa"/>
            </w:tcMar>
          </w:tcPr>
          <w:p w14:paraId="58F70013">
            <w:pPr>
              <w:pStyle w:val="30"/>
              <w:bidi w:val="0"/>
            </w:pPr>
            <w:r>
              <w:t>98.5%</w:t>
            </w:r>
          </w:p>
        </w:tc>
        <w:tc>
          <w:tcPr>
            <w:tcW w:w="2070" w:type="dxa"/>
            <w:tcMar>
              <w:top w:w="60" w:type="dxa"/>
              <w:left w:w="120" w:type="dxa"/>
              <w:bottom w:w="30" w:type="dxa"/>
              <w:right w:w="120" w:type="dxa"/>
            </w:tcMar>
          </w:tcPr>
          <w:p w14:paraId="10C9065A">
            <w:pPr>
              <w:pStyle w:val="30"/>
              <w:bidi w:val="0"/>
            </w:pPr>
            <w:r>
              <w:t>✅</w:t>
            </w:r>
          </w:p>
        </w:tc>
      </w:tr>
      <w:tr w14:paraId="7EFC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F61BA4A">
            <w:pPr>
              <w:pStyle w:val="30"/>
              <w:bidi w:val="0"/>
              <w:ind w:left="0" w:leftChars="0" w:firstLine="0" w:firstLineChars="0"/>
            </w:pPr>
            <w:r>
              <w:t>设备数据准确率</w:t>
            </w:r>
          </w:p>
        </w:tc>
        <w:tc>
          <w:tcPr>
            <w:tcW w:w="2070" w:type="dxa"/>
            <w:tcMar>
              <w:top w:w="60" w:type="dxa"/>
              <w:left w:w="120" w:type="dxa"/>
              <w:bottom w:w="30" w:type="dxa"/>
              <w:right w:w="120" w:type="dxa"/>
            </w:tcMar>
          </w:tcPr>
          <w:p w14:paraId="40A44E59">
            <w:pPr>
              <w:pStyle w:val="30"/>
              <w:bidi w:val="0"/>
            </w:pPr>
            <w:r>
              <w:t>≥ 95%</w:t>
            </w:r>
          </w:p>
        </w:tc>
        <w:tc>
          <w:tcPr>
            <w:tcW w:w="2070" w:type="dxa"/>
            <w:tcMar>
              <w:top w:w="60" w:type="dxa"/>
              <w:left w:w="120" w:type="dxa"/>
              <w:bottom w:w="30" w:type="dxa"/>
              <w:right w:w="120" w:type="dxa"/>
            </w:tcMar>
          </w:tcPr>
          <w:p w14:paraId="49AD56F0">
            <w:pPr>
              <w:pStyle w:val="30"/>
              <w:bidi w:val="0"/>
            </w:pPr>
            <w:r>
              <w:t>96.7%</w:t>
            </w:r>
          </w:p>
        </w:tc>
        <w:tc>
          <w:tcPr>
            <w:tcW w:w="2070" w:type="dxa"/>
            <w:tcMar>
              <w:top w:w="60" w:type="dxa"/>
              <w:left w:w="120" w:type="dxa"/>
              <w:bottom w:w="30" w:type="dxa"/>
              <w:right w:w="120" w:type="dxa"/>
            </w:tcMar>
          </w:tcPr>
          <w:p w14:paraId="6A8F5379">
            <w:pPr>
              <w:pStyle w:val="30"/>
              <w:bidi w:val="0"/>
            </w:pPr>
            <w:r>
              <w:t>✅</w:t>
            </w:r>
          </w:p>
        </w:tc>
      </w:tr>
      <w:tr w14:paraId="7FD1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5110563E">
            <w:pPr>
              <w:pStyle w:val="30"/>
              <w:bidi w:val="0"/>
            </w:pPr>
            <w:r>
              <w:t>排班合规率</w:t>
            </w:r>
          </w:p>
        </w:tc>
        <w:tc>
          <w:tcPr>
            <w:tcW w:w="2070" w:type="dxa"/>
            <w:tcMar>
              <w:top w:w="60" w:type="dxa"/>
              <w:left w:w="120" w:type="dxa"/>
              <w:bottom w:w="30" w:type="dxa"/>
              <w:right w:w="120" w:type="dxa"/>
            </w:tcMar>
          </w:tcPr>
          <w:p w14:paraId="011A448A">
            <w:pPr>
              <w:pStyle w:val="30"/>
              <w:bidi w:val="0"/>
            </w:pPr>
            <w:r>
              <w:t>≥ 99%</w:t>
            </w:r>
          </w:p>
        </w:tc>
        <w:tc>
          <w:tcPr>
            <w:tcW w:w="2070" w:type="dxa"/>
            <w:tcMar>
              <w:top w:w="60" w:type="dxa"/>
              <w:left w:w="120" w:type="dxa"/>
              <w:bottom w:w="30" w:type="dxa"/>
              <w:right w:w="120" w:type="dxa"/>
            </w:tcMar>
          </w:tcPr>
          <w:p w14:paraId="66690313">
            <w:pPr>
              <w:pStyle w:val="30"/>
              <w:bidi w:val="0"/>
            </w:pPr>
            <w:r>
              <w:t>99.4%</w:t>
            </w:r>
          </w:p>
        </w:tc>
        <w:tc>
          <w:tcPr>
            <w:tcW w:w="2070" w:type="dxa"/>
            <w:tcMar>
              <w:top w:w="60" w:type="dxa"/>
              <w:left w:w="120" w:type="dxa"/>
              <w:bottom w:w="30" w:type="dxa"/>
              <w:right w:w="120" w:type="dxa"/>
            </w:tcMar>
          </w:tcPr>
          <w:p w14:paraId="03BE6B3B">
            <w:pPr>
              <w:pStyle w:val="30"/>
              <w:bidi w:val="0"/>
            </w:pPr>
            <w:r>
              <w:t>✅</w:t>
            </w:r>
          </w:p>
        </w:tc>
      </w:tr>
      <w:tr w14:paraId="6D2F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BC02889">
            <w:pPr>
              <w:pStyle w:val="30"/>
              <w:bidi w:val="0"/>
              <w:ind w:left="0" w:leftChars="0" w:firstLine="0" w:firstLineChars="0"/>
            </w:pPr>
            <w:r>
              <w:t>维修记录完整率</w:t>
            </w:r>
          </w:p>
        </w:tc>
        <w:tc>
          <w:tcPr>
            <w:tcW w:w="2070" w:type="dxa"/>
            <w:tcMar>
              <w:top w:w="60" w:type="dxa"/>
              <w:left w:w="120" w:type="dxa"/>
              <w:bottom w:w="30" w:type="dxa"/>
              <w:right w:w="120" w:type="dxa"/>
            </w:tcMar>
          </w:tcPr>
          <w:p w14:paraId="29A67CAB">
            <w:pPr>
              <w:pStyle w:val="30"/>
              <w:bidi w:val="0"/>
            </w:pPr>
            <w:r>
              <w:t>≥ 99%</w:t>
            </w:r>
          </w:p>
        </w:tc>
        <w:tc>
          <w:tcPr>
            <w:tcW w:w="2070" w:type="dxa"/>
            <w:tcMar>
              <w:top w:w="60" w:type="dxa"/>
              <w:left w:w="120" w:type="dxa"/>
              <w:bottom w:w="30" w:type="dxa"/>
              <w:right w:w="120" w:type="dxa"/>
            </w:tcMar>
          </w:tcPr>
          <w:p w14:paraId="7EBBED72">
            <w:pPr>
              <w:pStyle w:val="30"/>
              <w:bidi w:val="0"/>
            </w:pPr>
            <w:r>
              <w:t>99.1%</w:t>
            </w:r>
          </w:p>
        </w:tc>
        <w:tc>
          <w:tcPr>
            <w:tcW w:w="2070" w:type="dxa"/>
            <w:tcMar>
              <w:top w:w="60" w:type="dxa"/>
              <w:left w:w="120" w:type="dxa"/>
              <w:bottom w:w="30" w:type="dxa"/>
              <w:right w:w="120" w:type="dxa"/>
            </w:tcMar>
          </w:tcPr>
          <w:p w14:paraId="3FF10EDE">
            <w:pPr>
              <w:pStyle w:val="30"/>
              <w:bidi w:val="0"/>
            </w:pPr>
            <w:r>
              <w:t>✅</w:t>
            </w:r>
          </w:p>
        </w:tc>
      </w:tr>
      <w:tr w14:paraId="2D12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1BA2B965">
            <w:pPr>
              <w:pStyle w:val="30"/>
              <w:bidi w:val="0"/>
            </w:pPr>
            <w:r>
              <w:t>凭证平衡率</w:t>
            </w:r>
          </w:p>
        </w:tc>
        <w:tc>
          <w:tcPr>
            <w:tcW w:w="2070" w:type="dxa"/>
            <w:tcMar>
              <w:top w:w="60" w:type="dxa"/>
              <w:left w:w="120" w:type="dxa"/>
              <w:bottom w:w="30" w:type="dxa"/>
              <w:right w:w="120" w:type="dxa"/>
            </w:tcMar>
          </w:tcPr>
          <w:p w14:paraId="22BD5AD0">
            <w:pPr>
              <w:pStyle w:val="30"/>
              <w:bidi w:val="0"/>
            </w:pPr>
            <w:r>
              <w:t>100%</w:t>
            </w:r>
          </w:p>
        </w:tc>
        <w:tc>
          <w:tcPr>
            <w:tcW w:w="2070" w:type="dxa"/>
            <w:tcMar>
              <w:top w:w="60" w:type="dxa"/>
              <w:left w:w="120" w:type="dxa"/>
              <w:bottom w:w="30" w:type="dxa"/>
              <w:right w:w="120" w:type="dxa"/>
            </w:tcMar>
          </w:tcPr>
          <w:p w14:paraId="11A94331">
            <w:pPr>
              <w:pStyle w:val="30"/>
              <w:bidi w:val="0"/>
            </w:pPr>
            <w:r>
              <w:t>100%</w:t>
            </w:r>
          </w:p>
        </w:tc>
        <w:tc>
          <w:tcPr>
            <w:tcW w:w="2070" w:type="dxa"/>
            <w:tcMar>
              <w:top w:w="60" w:type="dxa"/>
              <w:left w:w="120" w:type="dxa"/>
              <w:bottom w:w="30" w:type="dxa"/>
              <w:right w:w="120" w:type="dxa"/>
            </w:tcMar>
          </w:tcPr>
          <w:p w14:paraId="74577972">
            <w:pPr>
              <w:pStyle w:val="30"/>
              <w:bidi w:val="0"/>
            </w:pPr>
            <w:r>
              <w:t>✅</w:t>
            </w:r>
          </w:p>
        </w:tc>
      </w:tr>
      <w:tr w14:paraId="72BF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5E23F239">
            <w:pPr>
              <w:pStyle w:val="30"/>
              <w:bidi w:val="0"/>
              <w:ind w:left="0" w:leftChars="0" w:firstLine="0" w:firstLineChars="0"/>
            </w:pPr>
            <w:r>
              <w:t>任务执行成功率</w:t>
            </w:r>
          </w:p>
        </w:tc>
        <w:tc>
          <w:tcPr>
            <w:tcW w:w="2070" w:type="dxa"/>
            <w:tcMar>
              <w:top w:w="60" w:type="dxa"/>
              <w:left w:w="120" w:type="dxa"/>
              <w:bottom w:w="30" w:type="dxa"/>
              <w:right w:w="120" w:type="dxa"/>
            </w:tcMar>
          </w:tcPr>
          <w:p w14:paraId="4ABE34EA">
            <w:pPr>
              <w:pStyle w:val="30"/>
              <w:bidi w:val="0"/>
            </w:pPr>
            <w:r>
              <w:t>≥ 99.9%</w:t>
            </w:r>
          </w:p>
        </w:tc>
        <w:tc>
          <w:tcPr>
            <w:tcW w:w="2070" w:type="dxa"/>
            <w:tcMar>
              <w:top w:w="60" w:type="dxa"/>
              <w:left w:w="120" w:type="dxa"/>
              <w:bottom w:w="30" w:type="dxa"/>
              <w:right w:w="120" w:type="dxa"/>
            </w:tcMar>
          </w:tcPr>
          <w:p w14:paraId="642251F4">
            <w:pPr>
              <w:pStyle w:val="30"/>
              <w:bidi w:val="0"/>
            </w:pPr>
            <w:r>
              <w:t>100%</w:t>
            </w:r>
          </w:p>
        </w:tc>
        <w:tc>
          <w:tcPr>
            <w:tcW w:w="2070" w:type="dxa"/>
            <w:tcMar>
              <w:top w:w="60" w:type="dxa"/>
              <w:left w:w="120" w:type="dxa"/>
              <w:bottom w:w="30" w:type="dxa"/>
              <w:right w:w="120" w:type="dxa"/>
            </w:tcMar>
          </w:tcPr>
          <w:p w14:paraId="2EA3FFF7">
            <w:pPr>
              <w:pStyle w:val="30"/>
              <w:bidi w:val="0"/>
            </w:pPr>
            <w:r>
              <w:t>✅</w:t>
            </w:r>
          </w:p>
        </w:tc>
      </w:tr>
      <w:tr w14:paraId="2536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19AD575A">
            <w:pPr>
              <w:pStyle w:val="30"/>
              <w:bidi w:val="0"/>
            </w:pPr>
            <w:r>
              <w:t>端到端延迟</w:t>
            </w:r>
          </w:p>
        </w:tc>
        <w:tc>
          <w:tcPr>
            <w:tcW w:w="2070" w:type="dxa"/>
            <w:tcMar>
              <w:top w:w="60" w:type="dxa"/>
              <w:left w:w="120" w:type="dxa"/>
              <w:bottom w:w="30" w:type="dxa"/>
              <w:right w:w="120" w:type="dxa"/>
            </w:tcMar>
          </w:tcPr>
          <w:p w14:paraId="174526C8">
            <w:pPr>
              <w:pStyle w:val="30"/>
              <w:bidi w:val="0"/>
            </w:pPr>
            <w:r>
              <w:t>≤ 10秒</w:t>
            </w:r>
          </w:p>
        </w:tc>
        <w:tc>
          <w:tcPr>
            <w:tcW w:w="2070" w:type="dxa"/>
            <w:tcMar>
              <w:top w:w="60" w:type="dxa"/>
              <w:left w:w="120" w:type="dxa"/>
              <w:bottom w:w="30" w:type="dxa"/>
              <w:right w:w="120" w:type="dxa"/>
            </w:tcMar>
          </w:tcPr>
          <w:p w14:paraId="5FEFA4F2">
            <w:pPr>
              <w:pStyle w:val="30"/>
              <w:bidi w:val="0"/>
            </w:pPr>
            <w:r>
              <w:t>7.6秒</w:t>
            </w:r>
          </w:p>
        </w:tc>
        <w:tc>
          <w:tcPr>
            <w:tcW w:w="2070" w:type="dxa"/>
            <w:tcMar>
              <w:top w:w="60" w:type="dxa"/>
              <w:left w:w="120" w:type="dxa"/>
              <w:bottom w:w="30" w:type="dxa"/>
              <w:right w:w="120" w:type="dxa"/>
            </w:tcMar>
          </w:tcPr>
          <w:p w14:paraId="405146EC">
            <w:pPr>
              <w:pStyle w:val="30"/>
              <w:bidi w:val="0"/>
            </w:pPr>
            <w:r>
              <w:t>✅</w:t>
            </w:r>
          </w:p>
        </w:tc>
      </w:tr>
      <w:tr w14:paraId="2C23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5F35AFEB">
            <w:pPr>
              <w:pStyle w:val="30"/>
              <w:bidi w:val="0"/>
            </w:pPr>
            <w:r>
              <w:t>日志完整率</w:t>
            </w:r>
          </w:p>
        </w:tc>
        <w:tc>
          <w:tcPr>
            <w:tcW w:w="2070" w:type="dxa"/>
            <w:tcMar>
              <w:top w:w="60" w:type="dxa"/>
              <w:left w:w="120" w:type="dxa"/>
              <w:bottom w:w="30" w:type="dxa"/>
              <w:right w:w="120" w:type="dxa"/>
            </w:tcMar>
          </w:tcPr>
          <w:p w14:paraId="27C32BF2">
            <w:pPr>
              <w:pStyle w:val="30"/>
              <w:bidi w:val="0"/>
            </w:pPr>
            <w:r>
              <w:t>100%</w:t>
            </w:r>
          </w:p>
        </w:tc>
        <w:tc>
          <w:tcPr>
            <w:tcW w:w="2070" w:type="dxa"/>
            <w:tcMar>
              <w:top w:w="60" w:type="dxa"/>
              <w:left w:w="120" w:type="dxa"/>
              <w:bottom w:w="30" w:type="dxa"/>
              <w:right w:w="120" w:type="dxa"/>
            </w:tcMar>
          </w:tcPr>
          <w:p w14:paraId="50E7E469">
            <w:pPr>
              <w:pStyle w:val="30"/>
              <w:bidi w:val="0"/>
            </w:pPr>
            <w:r>
              <w:t>100%</w:t>
            </w:r>
          </w:p>
        </w:tc>
        <w:tc>
          <w:tcPr>
            <w:tcW w:w="2070" w:type="dxa"/>
            <w:tcMar>
              <w:top w:w="60" w:type="dxa"/>
              <w:left w:w="120" w:type="dxa"/>
              <w:bottom w:w="30" w:type="dxa"/>
              <w:right w:w="120" w:type="dxa"/>
            </w:tcMar>
          </w:tcPr>
          <w:p w14:paraId="6FE7E5F2">
            <w:pPr>
              <w:pStyle w:val="30"/>
              <w:bidi w:val="0"/>
            </w:pPr>
            <w:r>
              <w:t>✅</w:t>
            </w:r>
          </w:p>
        </w:tc>
      </w:tr>
    </w:tbl>
    <w:p w14:paraId="28506BE8">
      <w:pPr>
        <w:pStyle w:val="30"/>
        <w:bidi w:val="0"/>
      </w:pPr>
      <w:r>
        <w:t>结论：数据清洗专项工作成果验收合格。</w:t>
      </w:r>
    </w:p>
    <w:p w14:paraId="45E61270">
      <w:pPr>
        <w:pStyle w:val="30"/>
        <w:bidi w:val="0"/>
      </w:pPr>
      <w:r>
        <w:t>该系统运行稳定，有效提升了桌面及信息网络系统数据的准确性、完整性与时效性，为银川输油气分公司的运维服务计划管理、设备运行状态监控、运维人员排班调度、设备运行维护、费用结算等核心业务提供了可靠的数据基础，达到了项目建设的预期目标。</w:t>
      </w:r>
    </w:p>
    <w:p w14:paraId="44BE7CB3">
      <w:pPr>
        <w:pStyle w:val="29"/>
        <w:bidi w:val="0"/>
      </w:pPr>
      <w:bookmarkStart w:id="36" w:name="_Toc11166"/>
      <w:bookmarkStart w:id="37" w:name="heading_19"/>
      <w:r>
        <w:t>附件</w:t>
      </w:r>
      <w:bookmarkEnd w:id="36"/>
      <w:bookmarkEnd w:id="37"/>
    </w:p>
    <w:p w14:paraId="60995FAD">
      <w:pPr>
        <w:pStyle w:val="30"/>
        <w:bidi w:val="0"/>
      </w:pPr>
      <w:r>
        <w:t>1. 《数据质量KPI每日监测记录表》</w:t>
      </w:r>
    </w:p>
    <w:p w14:paraId="5D7BA4A7">
      <w:pPr>
        <w:pStyle w:val="30"/>
        <w:bidi w:val="0"/>
      </w:pPr>
      <w:r>
        <w:t>2. 《测试期间系统告警及处理记录》</w:t>
      </w:r>
    </w:p>
    <w:p w14:paraId="60954967">
      <w:pPr>
        <w:pStyle w:val="30"/>
        <w:numPr>
          <w:ilvl w:val="0"/>
          <w:numId w:val="0"/>
        </w:numPr>
        <w:bidi w:val="0"/>
        <w:ind w:left="420" w:leftChars="20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E9F35">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E33E7D"/>
    <w:rsid w:val="184B5942"/>
    <w:rsid w:val="201F0EE9"/>
    <w:rsid w:val="29DF1575"/>
    <w:rsid w:val="351379BC"/>
    <w:rsid w:val="39E45687"/>
    <w:rsid w:val="3A7D01A4"/>
    <w:rsid w:val="47F92BFF"/>
    <w:rsid w:val="55EC1538"/>
    <w:rsid w:val="5E3167F9"/>
    <w:rsid w:val="6B56437F"/>
    <w:rsid w:val="72016E53"/>
    <w:rsid w:val="73282A5E"/>
    <w:rsid w:val="74AA4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1348</Words>
  <Characters>1549</Characters>
  <Lines>131</Lines>
  <Paragraphs>145</Paragraphs>
  <TotalTime>1</TotalTime>
  <ScaleCrop>false</ScaleCrop>
  <LinksUpToDate>false</LinksUpToDate>
  <CharactersWithSpaces>1641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2026-08-24T09:32:32Z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