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2CB31">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文件编号：ITSS-09-02-07</w:t>
      </w:r>
    </w:p>
    <w:p w14:paraId="52CEA6B5">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1CC000F5">
      <w:pPr>
        <w:pStyle w:val="25"/>
        <w:widowControl w:val="0"/>
        <w:spacing w:after="1872"/>
        <w:rPr>
          <w:lang w:eastAsia="zh-CN"/>
        </w:rPr>
      </w:pPr>
      <w:bookmarkStart w:id="0" w:name="_Toc14603"/>
      <w:r>
        <w:rPr>
          <w:lang w:eastAsia="zh-CN"/>
        </w:rPr>
        <w:t>西安泽玺信息科技有限公司</w:t>
      </w:r>
      <w:bookmarkEnd w:id="0"/>
    </w:p>
    <w:p w14:paraId="3F2343B9">
      <w:pPr>
        <w:pStyle w:val="26"/>
        <w:bidi w:val="0"/>
        <w:rPr>
          <w:rFonts w:hint="default"/>
          <w:sz w:val="28"/>
          <w:szCs w:val="28"/>
          <w:lang w:val="en-US" w:eastAsia="zh-CN"/>
        </w:rPr>
      </w:pPr>
      <w:bookmarkStart w:id="1" w:name="_Toc9575"/>
      <w:bookmarkStart w:id="2" w:name="_Toc13283"/>
      <w:r>
        <w:rPr>
          <w:rFonts w:hint="eastAsia"/>
          <w:sz w:val="28"/>
          <w:szCs w:val="28"/>
          <w:lang w:eastAsia="zh-CN"/>
        </w:rPr>
        <w:t>银川输油气分公司2026年度桌面及信息网络综合运维技术服务项目</w:t>
      </w:r>
      <w:r>
        <w:rPr>
          <w:rFonts w:hint="eastAsia"/>
          <w:sz w:val="28"/>
          <w:szCs w:val="28"/>
          <w:lang w:eastAsia="zh-CN"/>
        </w:rPr>
        <w:br w:type="textWrapping"/>
      </w:r>
      <w:r>
        <w:rPr>
          <w:rFonts w:hint="eastAsia"/>
          <w:sz w:val="28"/>
          <w:szCs w:val="28"/>
          <w:lang w:val="en-US" w:eastAsia="zh-CN"/>
        </w:rPr>
        <w:t>2026年第二季度</w:t>
      </w:r>
      <w:r>
        <w:rPr>
          <w:rFonts w:hint="eastAsia"/>
          <w:sz w:val="28"/>
          <w:szCs w:val="28"/>
          <w:lang w:eastAsia="zh-CN"/>
        </w:rPr>
        <w:t>阶段性总结报告</w:t>
      </w:r>
      <w:bookmarkEnd w:id="1"/>
    </w:p>
    <w:bookmarkEnd w:id="2"/>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208CC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vAlign w:val="top"/>
          </w:tcPr>
          <w:p w14:paraId="1D9497C5">
            <w:pPr>
              <w:pStyle w:val="30"/>
              <w:widowControl w:val="0"/>
              <w:ind w:firstLine="0" w:firstLineChars="0"/>
              <w:jc w:val="both"/>
              <w:rPr>
                <w:rFonts w:hint="eastAsia" w:ascii="宋体" w:hAnsi="宋体" w:eastAsia="宋体" w:cs="宋体"/>
                <w:sz w:val="21"/>
                <w:lang w:eastAsia="zh-CN"/>
              </w:rPr>
            </w:pPr>
            <w:r>
              <w:rPr>
                <w:rFonts w:hint="eastAsia" w:ascii="宋体" w:hAnsi="宋体" w:cs="宋体"/>
                <w:sz w:val="21"/>
              </w:rPr>
              <w:t>编制人:</w:t>
            </w:r>
            <w:r>
              <w:rPr>
                <w:rFonts w:hint="eastAsia" w:ascii="宋体" w:hAnsi="宋体" w:cs="宋体"/>
                <w:sz w:val="21"/>
                <w:u w:val="single"/>
              </w:rPr>
              <w:t>丁嘉涛</w:t>
            </w:r>
          </w:p>
        </w:tc>
        <w:tc>
          <w:tcPr>
            <w:tcW w:w="4261" w:type="dxa"/>
            <w:vAlign w:val="top"/>
          </w:tcPr>
          <w:p w14:paraId="083F04B0">
            <w:pPr>
              <w:pStyle w:val="30"/>
              <w:keepLines w:val="0"/>
              <w:pageBreakBefore w:val="0"/>
              <w:widowControl w:val="0"/>
              <w:wordWrap/>
              <w:overflowPunct/>
              <w:topLinePunct w:val="0"/>
              <w:bidi w:val="0"/>
              <w:ind w:firstLine="420" w:firstLineChars="200"/>
              <w:jc w:val="both"/>
              <w:rPr>
                <w:rFonts w:hint="default" w:ascii="宋体" w:hAnsi="宋体" w:eastAsia="宋体" w:cs="宋体"/>
                <w:sz w:val="21"/>
                <w:lang w:val="en-US" w:eastAsia="zh-CN"/>
              </w:rPr>
            </w:pPr>
            <w:r>
              <w:rPr>
                <w:rFonts w:hint="eastAsia" w:ascii="宋体" w:hAnsi="宋体" w:cs="宋体"/>
                <w:sz w:val="21"/>
              </w:rPr>
              <w:t>编制时间:</w:t>
            </w:r>
            <w:r>
              <w:rPr>
                <w:rFonts w:hint="eastAsia" w:ascii="宋体" w:hAnsi="宋体" w:cs="宋体"/>
                <w:sz w:val="21"/>
                <w:u w:val="single"/>
              </w:rPr>
              <w:t>2026.6.</w:t>
            </w:r>
            <w:r>
              <w:rPr>
                <w:rFonts w:hint="eastAsia" w:ascii="宋体" w:hAnsi="宋体" w:cs="宋体"/>
                <w:sz w:val="21"/>
                <w:u w:val="single"/>
                <w:lang w:val="en-US" w:eastAsia="zh-CN"/>
              </w:rPr>
              <w:t>30</w:t>
            </w:r>
          </w:p>
        </w:tc>
      </w:tr>
      <w:tr w14:paraId="6F700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vAlign w:val="top"/>
          </w:tcPr>
          <w:p w14:paraId="1681BE1A">
            <w:pPr>
              <w:pStyle w:val="30"/>
              <w:widowControl w:val="0"/>
              <w:ind w:firstLine="0" w:firstLineChars="0"/>
              <w:jc w:val="both"/>
              <w:rPr>
                <w:rFonts w:hint="eastAsia" w:ascii="宋体" w:hAnsi="宋体" w:eastAsia="宋体" w:cs="宋体"/>
                <w:sz w:val="21"/>
                <w:lang w:val="en-US" w:eastAsia="zh-CN"/>
              </w:rPr>
            </w:pPr>
            <w:r>
              <w:rPr>
                <w:rFonts w:hint="eastAsia" w:ascii="宋体" w:hAnsi="宋体" w:cs="宋体"/>
                <w:sz w:val="21"/>
              </w:rPr>
              <w:t>审核人:</w:t>
            </w:r>
            <w:r>
              <w:rPr>
                <w:rFonts w:hint="eastAsia" w:ascii="宋体" w:hAnsi="宋体" w:cs="宋体"/>
                <w:sz w:val="21"/>
                <w:u w:val="single"/>
              </w:rPr>
              <w:t>孙晓玲</w:t>
            </w:r>
          </w:p>
        </w:tc>
        <w:tc>
          <w:tcPr>
            <w:tcW w:w="4261" w:type="dxa"/>
            <w:vAlign w:val="top"/>
          </w:tcPr>
          <w:p w14:paraId="0A9C7864">
            <w:pPr>
              <w:pStyle w:val="30"/>
              <w:keepLines w:val="0"/>
              <w:pageBreakBefore w:val="0"/>
              <w:widowControl w:val="0"/>
              <w:wordWrap/>
              <w:overflowPunct/>
              <w:topLinePunct w:val="0"/>
              <w:bidi w:val="0"/>
              <w:ind w:firstLine="420" w:firstLineChars="200"/>
              <w:jc w:val="both"/>
              <w:rPr>
                <w:rFonts w:hint="default" w:ascii="宋体" w:hAnsi="宋体" w:eastAsia="宋体" w:cs="宋体"/>
                <w:sz w:val="21"/>
                <w:lang w:val="en-US" w:eastAsia="zh-CN"/>
              </w:rPr>
            </w:pPr>
            <w:r>
              <w:rPr>
                <w:rFonts w:hint="eastAsia" w:ascii="宋体" w:hAnsi="宋体" w:cs="宋体"/>
                <w:sz w:val="21"/>
                <w:lang w:val="en-US" w:eastAsia="zh-CN"/>
              </w:rPr>
              <w:t>审核</w:t>
            </w:r>
            <w:r>
              <w:rPr>
                <w:rFonts w:hint="eastAsia" w:ascii="宋体" w:hAnsi="宋体" w:cs="宋体"/>
                <w:sz w:val="21"/>
              </w:rPr>
              <w:t>时间:</w:t>
            </w:r>
            <w:r>
              <w:rPr>
                <w:rFonts w:hint="eastAsia" w:ascii="宋体" w:hAnsi="宋体" w:cs="宋体"/>
                <w:sz w:val="21"/>
                <w:u w:val="single"/>
              </w:rPr>
              <w:t>2026.6.</w:t>
            </w:r>
            <w:r>
              <w:rPr>
                <w:rFonts w:hint="eastAsia" w:ascii="宋体" w:hAnsi="宋体" w:cs="宋体"/>
                <w:sz w:val="21"/>
                <w:u w:val="single"/>
                <w:lang w:val="en-US" w:eastAsia="zh-CN"/>
              </w:rPr>
              <w:t>30</w:t>
            </w:r>
          </w:p>
        </w:tc>
      </w:tr>
      <w:tr w14:paraId="5AD9F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vAlign w:val="top"/>
          </w:tcPr>
          <w:p w14:paraId="7185FBC5">
            <w:pPr>
              <w:pStyle w:val="30"/>
              <w:keepLines w:val="0"/>
              <w:pageBreakBefore w:val="0"/>
              <w:widowControl w:val="0"/>
              <w:wordWrap/>
              <w:overflowPunct/>
              <w:topLinePunct w:val="0"/>
              <w:bidi w:val="0"/>
              <w:ind w:firstLine="0" w:firstLineChars="0"/>
              <w:jc w:val="both"/>
              <w:rPr>
                <w:rFonts w:hint="eastAsia" w:ascii="宋体" w:hAnsi="宋体" w:cs="宋体"/>
                <w:sz w:val="21"/>
              </w:rPr>
            </w:pPr>
            <w:r>
              <w:rPr>
                <w:rFonts w:hint="eastAsia" w:ascii="宋体" w:hAnsi="宋体" w:cs="宋体"/>
                <w:sz w:val="21"/>
              </w:rPr>
              <w:t>批准人:</w:t>
            </w:r>
            <w:r>
              <w:rPr>
                <w:rFonts w:hint="eastAsia" w:ascii="宋体" w:hAnsi="宋体" w:cs="宋体"/>
                <w:sz w:val="21"/>
                <w:u w:val="single"/>
              </w:rPr>
              <w:t>冯建东</w:t>
            </w:r>
          </w:p>
        </w:tc>
        <w:tc>
          <w:tcPr>
            <w:tcW w:w="4261" w:type="dxa"/>
            <w:vAlign w:val="top"/>
          </w:tcPr>
          <w:p w14:paraId="15A0B5CF">
            <w:pPr>
              <w:pStyle w:val="30"/>
              <w:keepLines w:val="0"/>
              <w:pageBreakBefore w:val="0"/>
              <w:widowControl w:val="0"/>
              <w:wordWrap/>
              <w:overflowPunct/>
              <w:topLinePunct w:val="0"/>
              <w:bidi w:val="0"/>
              <w:ind w:firstLine="420" w:firstLineChars="200"/>
              <w:jc w:val="both"/>
              <w:rPr>
                <w:rFonts w:hint="default" w:ascii="宋体" w:hAnsi="宋体" w:eastAsia="宋体" w:cs="宋体"/>
                <w:sz w:val="21"/>
                <w:lang w:val="en-US" w:eastAsia="zh-CN"/>
              </w:rPr>
            </w:pPr>
            <w:r>
              <w:rPr>
                <w:rFonts w:hint="eastAsia" w:ascii="宋体" w:hAnsi="宋体" w:cs="宋体"/>
                <w:sz w:val="21"/>
              </w:rPr>
              <w:t>审批时间:</w:t>
            </w:r>
            <w:r>
              <w:rPr>
                <w:rFonts w:hint="eastAsia" w:ascii="宋体" w:hAnsi="宋体" w:cs="宋体"/>
                <w:sz w:val="21"/>
                <w:u w:val="single"/>
              </w:rPr>
              <w:t>2026.6.</w:t>
            </w:r>
            <w:r>
              <w:rPr>
                <w:rFonts w:hint="eastAsia" w:ascii="宋体" w:hAnsi="宋体" w:cs="宋体"/>
                <w:sz w:val="21"/>
                <w:u w:val="single"/>
                <w:lang w:val="en-US" w:eastAsia="zh-CN"/>
              </w:rPr>
              <w:t>30</w:t>
            </w:r>
          </w:p>
        </w:tc>
      </w:tr>
    </w:tbl>
    <w:p w14:paraId="58BAECC3">
      <w:pPr>
        <w:rPr>
          <w:rFonts w:ascii="宋体" w:hAnsi="宋体" w:cs="宋体"/>
          <w:b/>
          <w:bCs/>
          <w:spacing w:val="4"/>
          <w:sz w:val="31"/>
          <w:szCs w:val="31"/>
        </w:rPr>
      </w:pPr>
      <w:r>
        <w:rPr>
          <w:rFonts w:ascii="宋体" w:hAnsi="宋体" w:cs="宋体"/>
          <w:b/>
          <w:bCs/>
          <w:spacing w:val="4"/>
          <w:sz w:val="31"/>
          <w:szCs w:val="31"/>
        </w:rPr>
        <w:br w:type="page"/>
      </w:r>
    </w:p>
    <w:p w14:paraId="167033F8">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7"/>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3D0918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47CF28B9">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62EFC876">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0F57140C">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35783AC3">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5238A728">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3E8CC7FD">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5E206E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112B35A">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2026.6.30</w:t>
            </w:r>
          </w:p>
        </w:tc>
        <w:tc>
          <w:tcPr>
            <w:tcW w:w="919" w:type="dxa"/>
          </w:tcPr>
          <w:p w14:paraId="357F0DF4">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5987BC43">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563443C9">
            <w:pPr>
              <w:widowControl w:val="0"/>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09F2BEE4">
            <w:pPr>
              <w:widowControl w:val="0"/>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58F1537C">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0D6891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430CEC2">
            <w:pPr>
              <w:pStyle w:val="28"/>
              <w:widowControl w:val="0"/>
              <w:rPr>
                <w:rFonts w:hint="eastAsia"/>
              </w:rPr>
            </w:pPr>
          </w:p>
        </w:tc>
        <w:tc>
          <w:tcPr>
            <w:tcW w:w="919" w:type="dxa"/>
          </w:tcPr>
          <w:p w14:paraId="1A0B6904">
            <w:pPr>
              <w:pStyle w:val="28"/>
              <w:widowControl w:val="0"/>
              <w:rPr>
                <w:rFonts w:hint="eastAsia"/>
              </w:rPr>
            </w:pPr>
          </w:p>
        </w:tc>
        <w:tc>
          <w:tcPr>
            <w:tcW w:w="2289" w:type="dxa"/>
          </w:tcPr>
          <w:p w14:paraId="16FAB05D">
            <w:pPr>
              <w:pStyle w:val="28"/>
              <w:widowControl w:val="0"/>
              <w:rPr>
                <w:rFonts w:hint="eastAsia"/>
              </w:rPr>
            </w:pPr>
          </w:p>
        </w:tc>
        <w:tc>
          <w:tcPr>
            <w:tcW w:w="1148" w:type="dxa"/>
          </w:tcPr>
          <w:p w14:paraId="10213736">
            <w:pPr>
              <w:widowControl w:val="0"/>
              <w:spacing w:before="172" w:line="228" w:lineRule="auto"/>
              <w:ind w:left="313"/>
            </w:pPr>
          </w:p>
        </w:tc>
        <w:tc>
          <w:tcPr>
            <w:tcW w:w="1150" w:type="dxa"/>
          </w:tcPr>
          <w:p w14:paraId="08F0AE03">
            <w:pPr>
              <w:widowControl w:val="0"/>
              <w:spacing w:before="172" w:line="228" w:lineRule="auto"/>
              <w:ind w:left="313"/>
            </w:pPr>
          </w:p>
        </w:tc>
        <w:tc>
          <w:tcPr>
            <w:tcW w:w="1240" w:type="dxa"/>
          </w:tcPr>
          <w:p w14:paraId="789F3108">
            <w:pPr>
              <w:pStyle w:val="28"/>
              <w:widowControl w:val="0"/>
              <w:rPr>
                <w:rFonts w:hint="eastAsia"/>
              </w:rPr>
            </w:pPr>
          </w:p>
        </w:tc>
      </w:tr>
      <w:tr w14:paraId="450C8B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ACED20D">
            <w:pPr>
              <w:pStyle w:val="28"/>
              <w:widowControl w:val="0"/>
              <w:rPr>
                <w:rFonts w:hint="eastAsia"/>
              </w:rPr>
            </w:pPr>
          </w:p>
        </w:tc>
        <w:tc>
          <w:tcPr>
            <w:tcW w:w="919" w:type="dxa"/>
          </w:tcPr>
          <w:p w14:paraId="5423D6C7">
            <w:pPr>
              <w:pStyle w:val="28"/>
              <w:widowControl w:val="0"/>
              <w:rPr>
                <w:rFonts w:hint="eastAsia"/>
              </w:rPr>
            </w:pPr>
          </w:p>
        </w:tc>
        <w:tc>
          <w:tcPr>
            <w:tcW w:w="2289" w:type="dxa"/>
          </w:tcPr>
          <w:p w14:paraId="312B4C61">
            <w:pPr>
              <w:pStyle w:val="28"/>
              <w:widowControl w:val="0"/>
              <w:rPr>
                <w:rFonts w:hint="eastAsia"/>
              </w:rPr>
            </w:pPr>
          </w:p>
        </w:tc>
        <w:tc>
          <w:tcPr>
            <w:tcW w:w="1148" w:type="dxa"/>
          </w:tcPr>
          <w:p w14:paraId="245F7462">
            <w:pPr>
              <w:widowControl w:val="0"/>
              <w:spacing w:before="173" w:line="229" w:lineRule="auto"/>
              <w:ind w:left="314"/>
            </w:pPr>
          </w:p>
        </w:tc>
        <w:tc>
          <w:tcPr>
            <w:tcW w:w="1150" w:type="dxa"/>
          </w:tcPr>
          <w:p w14:paraId="72156F34">
            <w:pPr>
              <w:widowControl w:val="0"/>
              <w:spacing w:before="173" w:line="229" w:lineRule="auto"/>
              <w:ind w:left="314"/>
            </w:pPr>
          </w:p>
        </w:tc>
        <w:tc>
          <w:tcPr>
            <w:tcW w:w="1240" w:type="dxa"/>
          </w:tcPr>
          <w:p w14:paraId="4FE6A491">
            <w:pPr>
              <w:pStyle w:val="28"/>
              <w:widowControl w:val="0"/>
              <w:rPr>
                <w:rFonts w:hint="eastAsia"/>
              </w:rPr>
            </w:pPr>
          </w:p>
        </w:tc>
      </w:tr>
      <w:tr w14:paraId="78DEA1D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1C83240A">
            <w:pPr>
              <w:pStyle w:val="28"/>
              <w:widowControl w:val="0"/>
              <w:rPr>
                <w:rFonts w:hint="eastAsia"/>
              </w:rPr>
            </w:pPr>
          </w:p>
        </w:tc>
        <w:tc>
          <w:tcPr>
            <w:tcW w:w="919" w:type="dxa"/>
          </w:tcPr>
          <w:p w14:paraId="600048C1">
            <w:pPr>
              <w:pStyle w:val="28"/>
              <w:widowControl w:val="0"/>
              <w:rPr>
                <w:rFonts w:hint="eastAsia"/>
              </w:rPr>
            </w:pPr>
          </w:p>
        </w:tc>
        <w:tc>
          <w:tcPr>
            <w:tcW w:w="2289" w:type="dxa"/>
          </w:tcPr>
          <w:p w14:paraId="24ED58CB">
            <w:pPr>
              <w:pStyle w:val="28"/>
              <w:widowControl w:val="0"/>
              <w:rPr>
                <w:rFonts w:hint="eastAsia"/>
              </w:rPr>
            </w:pPr>
          </w:p>
        </w:tc>
        <w:tc>
          <w:tcPr>
            <w:tcW w:w="1148" w:type="dxa"/>
          </w:tcPr>
          <w:p w14:paraId="658FB17A">
            <w:pPr>
              <w:pStyle w:val="28"/>
              <w:widowControl w:val="0"/>
              <w:rPr>
                <w:rFonts w:hint="eastAsia"/>
              </w:rPr>
            </w:pPr>
          </w:p>
        </w:tc>
        <w:tc>
          <w:tcPr>
            <w:tcW w:w="1150" w:type="dxa"/>
          </w:tcPr>
          <w:p w14:paraId="67683D56">
            <w:pPr>
              <w:pStyle w:val="28"/>
              <w:widowControl w:val="0"/>
              <w:rPr>
                <w:rFonts w:hint="eastAsia"/>
              </w:rPr>
            </w:pPr>
          </w:p>
        </w:tc>
        <w:tc>
          <w:tcPr>
            <w:tcW w:w="1240" w:type="dxa"/>
          </w:tcPr>
          <w:p w14:paraId="13D1DB8B">
            <w:pPr>
              <w:pStyle w:val="28"/>
              <w:widowControl w:val="0"/>
              <w:rPr>
                <w:rFonts w:hint="eastAsia"/>
              </w:rPr>
            </w:pPr>
          </w:p>
        </w:tc>
      </w:tr>
      <w:tr w14:paraId="7164DE0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F7C17C7">
            <w:pPr>
              <w:pStyle w:val="28"/>
              <w:widowControl w:val="0"/>
              <w:rPr>
                <w:rFonts w:hint="eastAsia"/>
              </w:rPr>
            </w:pPr>
          </w:p>
        </w:tc>
        <w:tc>
          <w:tcPr>
            <w:tcW w:w="919" w:type="dxa"/>
          </w:tcPr>
          <w:p w14:paraId="09C670DE">
            <w:pPr>
              <w:pStyle w:val="28"/>
              <w:widowControl w:val="0"/>
              <w:rPr>
                <w:rFonts w:hint="eastAsia"/>
              </w:rPr>
            </w:pPr>
          </w:p>
        </w:tc>
        <w:tc>
          <w:tcPr>
            <w:tcW w:w="2289" w:type="dxa"/>
          </w:tcPr>
          <w:p w14:paraId="50A57C57">
            <w:pPr>
              <w:pStyle w:val="28"/>
              <w:widowControl w:val="0"/>
              <w:rPr>
                <w:rFonts w:hint="eastAsia"/>
              </w:rPr>
            </w:pPr>
          </w:p>
        </w:tc>
        <w:tc>
          <w:tcPr>
            <w:tcW w:w="1148" w:type="dxa"/>
          </w:tcPr>
          <w:p w14:paraId="185F31FB">
            <w:pPr>
              <w:pStyle w:val="28"/>
              <w:widowControl w:val="0"/>
              <w:rPr>
                <w:rFonts w:hint="eastAsia"/>
              </w:rPr>
            </w:pPr>
          </w:p>
        </w:tc>
        <w:tc>
          <w:tcPr>
            <w:tcW w:w="1150" w:type="dxa"/>
          </w:tcPr>
          <w:p w14:paraId="42EE9345">
            <w:pPr>
              <w:pStyle w:val="28"/>
              <w:widowControl w:val="0"/>
              <w:rPr>
                <w:rFonts w:hint="eastAsia"/>
              </w:rPr>
            </w:pPr>
          </w:p>
        </w:tc>
        <w:tc>
          <w:tcPr>
            <w:tcW w:w="1240" w:type="dxa"/>
          </w:tcPr>
          <w:p w14:paraId="5B2FAEDD">
            <w:pPr>
              <w:pStyle w:val="28"/>
              <w:widowControl w:val="0"/>
              <w:rPr>
                <w:rFonts w:hint="eastAsia"/>
              </w:rPr>
            </w:pPr>
          </w:p>
        </w:tc>
      </w:tr>
      <w:tr w14:paraId="5A49AF9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0A7C3B7E">
            <w:pPr>
              <w:pStyle w:val="28"/>
              <w:widowControl w:val="0"/>
              <w:rPr>
                <w:rFonts w:hint="eastAsia"/>
              </w:rPr>
            </w:pPr>
          </w:p>
        </w:tc>
        <w:tc>
          <w:tcPr>
            <w:tcW w:w="919" w:type="dxa"/>
          </w:tcPr>
          <w:p w14:paraId="772FF522">
            <w:pPr>
              <w:pStyle w:val="28"/>
              <w:widowControl w:val="0"/>
              <w:rPr>
                <w:rFonts w:hint="eastAsia"/>
              </w:rPr>
            </w:pPr>
          </w:p>
        </w:tc>
        <w:tc>
          <w:tcPr>
            <w:tcW w:w="2289" w:type="dxa"/>
          </w:tcPr>
          <w:p w14:paraId="7C73F1B3">
            <w:pPr>
              <w:pStyle w:val="28"/>
              <w:widowControl w:val="0"/>
              <w:rPr>
                <w:rFonts w:hint="eastAsia"/>
              </w:rPr>
            </w:pPr>
          </w:p>
        </w:tc>
        <w:tc>
          <w:tcPr>
            <w:tcW w:w="1148" w:type="dxa"/>
          </w:tcPr>
          <w:p w14:paraId="5C208A04">
            <w:pPr>
              <w:pStyle w:val="28"/>
              <w:widowControl w:val="0"/>
              <w:rPr>
                <w:rFonts w:hint="eastAsia"/>
              </w:rPr>
            </w:pPr>
          </w:p>
        </w:tc>
        <w:tc>
          <w:tcPr>
            <w:tcW w:w="1150" w:type="dxa"/>
          </w:tcPr>
          <w:p w14:paraId="02CBF376">
            <w:pPr>
              <w:pStyle w:val="28"/>
              <w:widowControl w:val="0"/>
              <w:rPr>
                <w:rFonts w:hint="eastAsia"/>
              </w:rPr>
            </w:pPr>
          </w:p>
        </w:tc>
        <w:tc>
          <w:tcPr>
            <w:tcW w:w="1240" w:type="dxa"/>
          </w:tcPr>
          <w:p w14:paraId="0B3D9D3D">
            <w:pPr>
              <w:pStyle w:val="28"/>
              <w:widowControl w:val="0"/>
              <w:rPr>
                <w:rFonts w:hint="eastAsia"/>
              </w:rPr>
            </w:pPr>
          </w:p>
        </w:tc>
      </w:tr>
    </w:tbl>
    <w:p w14:paraId="6ADFB393">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60DE5A8B">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675F29B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_Toc14603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_Toc14603 \h </w:instrText>
          </w:r>
          <w:r>
            <w:fldChar w:fldCharType="separate"/>
          </w:r>
          <w:r>
            <w:t>1</w:t>
          </w:r>
          <w:r>
            <w:fldChar w:fldCharType="end"/>
          </w:r>
          <w:r>
            <w:rPr>
              <w:rFonts w:hint="eastAsia" w:ascii="宋体" w:hAnsi="宋体" w:eastAsia="宋体" w:cs="宋体"/>
              <w:szCs w:val="24"/>
            </w:rPr>
            <w:fldChar w:fldCharType="end"/>
          </w:r>
        </w:p>
        <w:p w14:paraId="6FAA1061">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_Toc13283 </w:instrText>
          </w:r>
          <w:r>
            <w:rPr>
              <w:rFonts w:hint="eastAsia" w:ascii="宋体" w:hAnsi="宋体" w:cs="宋体"/>
              <w:szCs w:val="24"/>
            </w:rPr>
            <w:fldChar w:fldCharType="separate"/>
          </w:r>
          <w:r>
            <w:rPr>
              <w:rFonts w:hint="eastAsia"/>
              <w:szCs w:val="36"/>
              <w:lang w:eastAsia="zh-CN"/>
            </w:rPr>
            <w:t xml:space="preserve">银川输油气分公司2026年度桌面及信息网络综合运维技术服务项目阶段性总结报告 </w:t>
          </w:r>
          <w:r>
            <w:rPr>
              <w:rFonts w:hint="eastAsia"/>
              <w:szCs w:val="36"/>
              <w:lang w:val="en-US" w:eastAsia="zh-CN"/>
            </w:rPr>
            <w:t>(截止2026年6月)</w:t>
          </w:r>
          <w:r>
            <w:tab/>
          </w:r>
          <w:r>
            <w:fldChar w:fldCharType="begin"/>
          </w:r>
          <w:r>
            <w:instrText xml:space="preserve"> PAGEREF _Toc13283 \h </w:instrText>
          </w:r>
          <w:r>
            <w:fldChar w:fldCharType="separate"/>
          </w:r>
          <w:r>
            <w:t>1</w:t>
          </w:r>
          <w:r>
            <w:fldChar w:fldCharType="end"/>
          </w:r>
          <w:r>
            <w:rPr>
              <w:rFonts w:hint="eastAsia" w:ascii="宋体" w:hAnsi="宋体" w:cs="宋体"/>
              <w:szCs w:val="24"/>
            </w:rPr>
            <w:fldChar w:fldCharType="end"/>
          </w:r>
        </w:p>
        <w:p w14:paraId="1880A70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_Toc6799 </w:instrText>
          </w:r>
          <w:r>
            <w:rPr>
              <w:rFonts w:hint="eastAsia" w:ascii="宋体" w:hAnsi="宋体" w:cs="宋体"/>
              <w:szCs w:val="24"/>
            </w:rPr>
            <w:fldChar w:fldCharType="separate"/>
          </w:r>
          <w:r>
            <w:rPr>
              <w:rFonts w:hint="default"/>
            </w:rPr>
            <w:t xml:space="preserve">1. </w:t>
          </w:r>
          <w:r>
            <w:t>阶段概述与目标回顾</w:t>
          </w:r>
          <w:r>
            <w:tab/>
          </w:r>
          <w:r>
            <w:fldChar w:fldCharType="begin"/>
          </w:r>
          <w:r>
            <w:instrText xml:space="preserve"> PAGEREF _Toc6799 \h </w:instrText>
          </w:r>
          <w:r>
            <w:fldChar w:fldCharType="separate"/>
          </w:r>
          <w:r>
            <w:t>4</w:t>
          </w:r>
          <w:r>
            <w:fldChar w:fldCharType="end"/>
          </w:r>
          <w:r>
            <w:rPr>
              <w:rFonts w:hint="eastAsia" w:ascii="宋体" w:hAnsi="宋体" w:cs="宋体"/>
              <w:szCs w:val="24"/>
            </w:rPr>
            <w:fldChar w:fldCharType="end"/>
          </w:r>
        </w:p>
        <w:p w14:paraId="4BB7DE5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_Toc31262 </w:instrText>
          </w:r>
          <w:r>
            <w:rPr>
              <w:rFonts w:hint="eastAsia" w:ascii="宋体" w:hAnsi="宋体" w:cs="宋体"/>
              <w:szCs w:val="24"/>
            </w:rPr>
            <w:fldChar w:fldCharType="separate"/>
          </w:r>
          <w:r>
            <w:rPr>
              <w:rFonts w:hint="default"/>
            </w:rPr>
            <w:t xml:space="preserve">2. </w:t>
          </w:r>
          <w:r>
            <w:t>主要工作成果与完成情况</w:t>
          </w:r>
          <w:r>
            <w:tab/>
          </w:r>
          <w:r>
            <w:fldChar w:fldCharType="begin"/>
          </w:r>
          <w:r>
            <w:instrText xml:space="preserve"> PAGEREF _Toc31262 \h </w:instrText>
          </w:r>
          <w:r>
            <w:fldChar w:fldCharType="separate"/>
          </w:r>
          <w:r>
            <w:t>4</w:t>
          </w:r>
          <w:r>
            <w:fldChar w:fldCharType="end"/>
          </w:r>
          <w:r>
            <w:rPr>
              <w:rFonts w:hint="eastAsia" w:ascii="宋体" w:hAnsi="宋体" w:cs="宋体"/>
              <w:szCs w:val="24"/>
            </w:rPr>
            <w:fldChar w:fldCharType="end"/>
          </w:r>
        </w:p>
        <w:p w14:paraId="1500B2F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_Toc5417 </w:instrText>
          </w:r>
          <w:r>
            <w:rPr>
              <w:rFonts w:hint="eastAsia" w:ascii="宋体" w:hAnsi="宋体" w:cs="宋体"/>
              <w:szCs w:val="24"/>
            </w:rPr>
            <w:fldChar w:fldCharType="separate"/>
          </w:r>
          <w:r>
            <w:rPr>
              <w:rFonts w:hint="default"/>
            </w:rPr>
            <w:t xml:space="preserve">2.1. </w:t>
          </w:r>
          <w:r>
            <w:t>服务部署与启动</w:t>
          </w:r>
          <w:r>
            <w:tab/>
          </w:r>
          <w:r>
            <w:fldChar w:fldCharType="begin"/>
          </w:r>
          <w:r>
            <w:instrText xml:space="preserve"> PAGEREF _Toc5417 \h </w:instrText>
          </w:r>
          <w:r>
            <w:fldChar w:fldCharType="separate"/>
          </w:r>
          <w:r>
            <w:t>4</w:t>
          </w:r>
          <w:r>
            <w:fldChar w:fldCharType="end"/>
          </w:r>
          <w:r>
            <w:rPr>
              <w:rFonts w:hint="eastAsia" w:ascii="宋体" w:hAnsi="宋体" w:cs="宋体"/>
              <w:szCs w:val="24"/>
            </w:rPr>
            <w:fldChar w:fldCharType="end"/>
          </w:r>
        </w:p>
        <w:p w14:paraId="53B6429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_Toc31118 </w:instrText>
          </w:r>
          <w:r>
            <w:rPr>
              <w:rFonts w:hint="eastAsia" w:ascii="宋体" w:hAnsi="宋体" w:cs="宋体"/>
              <w:szCs w:val="24"/>
            </w:rPr>
            <w:fldChar w:fldCharType="separate"/>
          </w:r>
          <w:r>
            <w:rPr>
              <w:rFonts w:hint="default"/>
            </w:rPr>
            <w:t xml:space="preserve">2.2. </w:t>
          </w:r>
          <w:r>
            <w:t>数据清洗专项工作</w:t>
          </w:r>
          <w:r>
            <w:tab/>
          </w:r>
          <w:r>
            <w:fldChar w:fldCharType="begin"/>
          </w:r>
          <w:r>
            <w:instrText xml:space="preserve"> PAGEREF _Toc31118 \h </w:instrText>
          </w:r>
          <w:r>
            <w:fldChar w:fldCharType="separate"/>
          </w:r>
          <w:r>
            <w:t>5</w:t>
          </w:r>
          <w:r>
            <w:fldChar w:fldCharType="end"/>
          </w:r>
          <w:r>
            <w:rPr>
              <w:rFonts w:hint="eastAsia" w:ascii="宋体" w:hAnsi="宋体" w:cs="宋体"/>
              <w:szCs w:val="24"/>
            </w:rPr>
            <w:fldChar w:fldCharType="end"/>
          </w:r>
        </w:p>
        <w:p w14:paraId="3D1E889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_Toc17344 </w:instrText>
          </w:r>
          <w:r>
            <w:rPr>
              <w:rFonts w:hint="eastAsia" w:ascii="宋体" w:hAnsi="宋体" w:cs="宋体"/>
              <w:szCs w:val="24"/>
            </w:rPr>
            <w:fldChar w:fldCharType="separate"/>
          </w:r>
          <w:r>
            <w:rPr>
              <w:rFonts w:hint="default"/>
            </w:rPr>
            <w:t xml:space="preserve">2.3. </w:t>
          </w:r>
          <w:r>
            <w:t>日常响应与问题处理</w:t>
          </w:r>
          <w:r>
            <w:tab/>
          </w:r>
          <w:r>
            <w:fldChar w:fldCharType="begin"/>
          </w:r>
          <w:r>
            <w:instrText xml:space="preserve"> PAGEREF _Toc17344 \h </w:instrText>
          </w:r>
          <w:r>
            <w:fldChar w:fldCharType="separate"/>
          </w:r>
          <w:r>
            <w:t>5</w:t>
          </w:r>
          <w:r>
            <w:fldChar w:fldCharType="end"/>
          </w:r>
          <w:r>
            <w:rPr>
              <w:rFonts w:hint="eastAsia" w:ascii="宋体" w:hAnsi="宋体" w:cs="宋体"/>
              <w:szCs w:val="24"/>
            </w:rPr>
            <w:fldChar w:fldCharType="end"/>
          </w:r>
        </w:p>
        <w:p w14:paraId="165EC770">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_Toc30522 </w:instrText>
          </w:r>
          <w:r>
            <w:rPr>
              <w:rFonts w:hint="eastAsia" w:ascii="宋体" w:hAnsi="宋体" w:cs="宋体"/>
              <w:szCs w:val="24"/>
            </w:rPr>
            <w:fldChar w:fldCharType="separate"/>
          </w:r>
          <w:r>
            <w:rPr>
              <w:rFonts w:hint="default"/>
            </w:rPr>
            <w:t xml:space="preserve">2.4. </w:t>
          </w:r>
          <w:r>
            <w:t>系统优化与培训</w:t>
          </w:r>
          <w:r>
            <w:tab/>
          </w:r>
          <w:r>
            <w:fldChar w:fldCharType="begin"/>
          </w:r>
          <w:r>
            <w:instrText xml:space="preserve"> PAGEREF _Toc30522 \h </w:instrText>
          </w:r>
          <w:r>
            <w:fldChar w:fldCharType="separate"/>
          </w:r>
          <w:r>
            <w:t>6</w:t>
          </w:r>
          <w:r>
            <w:fldChar w:fldCharType="end"/>
          </w:r>
          <w:r>
            <w:rPr>
              <w:rFonts w:hint="eastAsia" w:ascii="宋体" w:hAnsi="宋体" w:cs="宋体"/>
              <w:szCs w:val="24"/>
            </w:rPr>
            <w:fldChar w:fldCharType="end"/>
          </w:r>
        </w:p>
        <w:p w14:paraId="147BC99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_Toc32270 </w:instrText>
          </w:r>
          <w:r>
            <w:rPr>
              <w:rFonts w:hint="eastAsia" w:ascii="宋体" w:hAnsi="宋体" w:cs="宋体"/>
              <w:szCs w:val="24"/>
            </w:rPr>
            <w:fldChar w:fldCharType="separate"/>
          </w:r>
          <w:r>
            <w:rPr>
              <w:rFonts w:hint="default"/>
            </w:rPr>
            <w:t xml:space="preserve">3. </w:t>
          </w:r>
          <w:r>
            <w:t>关键绩效指标与交付物达成情况</w:t>
          </w:r>
          <w:r>
            <w:tab/>
          </w:r>
          <w:r>
            <w:fldChar w:fldCharType="begin"/>
          </w:r>
          <w:r>
            <w:instrText xml:space="preserve"> PAGEREF _Toc32270 \h </w:instrText>
          </w:r>
          <w:r>
            <w:fldChar w:fldCharType="separate"/>
          </w:r>
          <w:r>
            <w:t>6</w:t>
          </w:r>
          <w:r>
            <w:fldChar w:fldCharType="end"/>
          </w:r>
          <w:r>
            <w:rPr>
              <w:rFonts w:hint="eastAsia" w:ascii="宋体" w:hAnsi="宋体" w:cs="宋体"/>
              <w:szCs w:val="24"/>
            </w:rPr>
            <w:fldChar w:fldCharType="end"/>
          </w:r>
        </w:p>
        <w:p w14:paraId="7F5742E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_Toc16250 </w:instrText>
          </w:r>
          <w:r>
            <w:rPr>
              <w:rFonts w:hint="eastAsia" w:ascii="宋体" w:hAnsi="宋体" w:cs="宋体"/>
              <w:szCs w:val="24"/>
            </w:rPr>
            <w:fldChar w:fldCharType="separate"/>
          </w:r>
          <w:r>
            <w:rPr>
              <w:rFonts w:hint="default"/>
            </w:rPr>
            <w:t xml:space="preserve">3.1. </w:t>
          </w:r>
          <w:r>
            <w:t>关键绩效指标达成情况</w:t>
          </w:r>
          <w:r>
            <w:tab/>
          </w:r>
          <w:r>
            <w:fldChar w:fldCharType="begin"/>
          </w:r>
          <w:r>
            <w:instrText xml:space="preserve"> PAGEREF _Toc16250 \h </w:instrText>
          </w:r>
          <w:r>
            <w:fldChar w:fldCharType="separate"/>
          </w:r>
          <w:r>
            <w:t>6</w:t>
          </w:r>
          <w:r>
            <w:fldChar w:fldCharType="end"/>
          </w:r>
          <w:r>
            <w:rPr>
              <w:rFonts w:hint="eastAsia" w:ascii="宋体" w:hAnsi="宋体" w:cs="宋体"/>
              <w:szCs w:val="24"/>
            </w:rPr>
            <w:fldChar w:fldCharType="end"/>
          </w:r>
        </w:p>
        <w:p w14:paraId="15CA1C9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_Toc3182 </w:instrText>
          </w:r>
          <w:r>
            <w:rPr>
              <w:rFonts w:hint="eastAsia" w:ascii="宋体" w:hAnsi="宋体" w:cs="宋体"/>
              <w:szCs w:val="24"/>
            </w:rPr>
            <w:fldChar w:fldCharType="separate"/>
          </w:r>
          <w:r>
            <w:rPr>
              <w:rFonts w:hint="default"/>
            </w:rPr>
            <w:t xml:space="preserve">3.2. </w:t>
          </w:r>
          <w:r>
            <w:t>关键交付物完成情况</w:t>
          </w:r>
          <w:r>
            <w:tab/>
          </w:r>
          <w:r>
            <w:fldChar w:fldCharType="begin"/>
          </w:r>
          <w:r>
            <w:instrText xml:space="preserve"> PAGEREF _Toc3182 \h </w:instrText>
          </w:r>
          <w:r>
            <w:fldChar w:fldCharType="separate"/>
          </w:r>
          <w:r>
            <w:t>7</w:t>
          </w:r>
          <w:r>
            <w:fldChar w:fldCharType="end"/>
          </w:r>
          <w:r>
            <w:rPr>
              <w:rFonts w:hint="eastAsia" w:ascii="宋体" w:hAnsi="宋体" w:cs="宋体"/>
              <w:szCs w:val="24"/>
            </w:rPr>
            <w:fldChar w:fldCharType="end"/>
          </w:r>
        </w:p>
        <w:p w14:paraId="03E3A8D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_Toc31001 </w:instrText>
          </w:r>
          <w:r>
            <w:rPr>
              <w:rFonts w:hint="eastAsia" w:ascii="宋体" w:hAnsi="宋体" w:cs="宋体"/>
              <w:szCs w:val="24"/>
            </w:rPr>
            <w:fldChar w:fldCharType="separate"/>
          </w:r>
          <w:r>
            <w:rPr>
              <w:rFonts w:hint="default"/>
            </w:rPr>
            <w:t xml:space="preserve">4. </w:t>
          </w:r>
          <w:r>
            <w:t>遇到的问题、解决方案与经验总结</w:t>
          </w:r>
          <w:r>
            <w:tab/>
          </w:r>
          <w:r>
            <w:fldChar w:fldCharType="begin"/>
          </w:r>
          <w:r>
            <w:instrText xml:space="preserve"> PAGEREF _Toc31001 \h </w:instrText>
          </w:r>
          <w:r>
            <w:fldChar w:fldCharType="separate"/>
          </w:r>
          <w:r>
            <w:t>7</w:t>
          </w:r>
          <w:r>
            <w:fldChar w:fldCharType="end"/>
          </w:r>
          <w:r>
            <w:rPr>
              <w:rFonts w:hint="eastAsia" w:ascii="宋体" w:hAnsi="宋体" w:cs="宋体"/>
              <w:szCs w:val="24"/>
            </w:rPr>
            <w:fldChar w:fldCharType="end"/>
          </w:r>
        </w:p>
        <w:p w14:paraId="5A4710A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_Toc25328 </w:instrText>
          </w:r>
          <w:r>
            <w:rPr>
              <w:rFonts w:hint="eastAsia" w:ascii="宋体" w:hAnsi="宋体" w:cs="宋体"/>
              <w:szCs w:val="24"/>
            </w:rPr>
            <w:fldChar w:fldCharType="separate"/>
          </w:r>
          <w:r>
            <w:rPr>
              <w:rFonts w:hint="default"/>
            </w:rPr>
            <w:t xml:space="preserve">4.1. </w:t>
          </w:r>
          <w:r>
            <w:t>主要问题与挑战</w:t>
          </w:r>
          <w:r>
            <w:tab/>
          </w:r>
          <w:r>
            <w:fldChar w:fldCharType="begin"/>
          </w:r>
          <w:r>
            <w:instrText xml:space="preserve"> PAGEREF _Toc25328 \h </w:instrText>
          </w:r>
          <w:r>
            <w:fldChar w:fldCharType="separate"/>
          </w:r>
          <w:r>
            <w:t>7</w:t>
          </w:r>
          <w:r>
            <w:fldChar w:fldCharType="end"/>
          </w:r>
          <w:r>
            <w:rPr>
              <w:rFonts w:hint="eastAsia" w:ascii="宋体" w:hAnsi="宋体" w:cs="宋体"/>
              <w:szCs w:val="24"/>
            </w:rPr>
            <w:fldChar w:fldCharType="end"/>
          </w:r>
        </w:p>
        <w:p w14:paraId="55E77D55">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_Toc22164 </w:instrText>
          </w:r>
          <w:r>
            <w:rPr>
              <w:rFonts w:hint="eastAsia" w:ascii="宋体" w:hAnsi="宋体" w:cs="宋体"/>
              <w:szCs w:val="24"/>
            </w:rPr>
            <w:fldChar w:fldCharType="separate"/>
          </w:r>
          <w:r>
            <w:rPr>
              <w:rFonts w:hint="default"/>
            </w:rPr>
            <w:t xml:space="preserve">4.2. </w:t>
          </w:r>
          <w:r>
            <w:t>解决方案与措施</w:t>
          </w:r>
          <w:r>
            <w:tab/>
          </w:r>
          <w:r>
            <w:fldChar w:fldCharType="begin"/>
          </w:r>
          <w:r>
            <w:instrText xml:space="preserve"> PAGEREF _Toc22164 \h </w:instrText>
          </w:r>
          <w:r>
            <w:fldChar w:fldCharType="separate"/>
          </w:r>
          <w:r>
            <w:t>8</w:t>
          </w:r>
          <w:r>
            <w:fldChar w:fldCharType="end"/>
          </w:r>
          <w:r>
            <w:rPr>
              <w:rFonts w:hint="eastAsia" w:ascii="宋体" w:hAnsi="宋体" w:cs="宋体"/>
              <w:szCs w:val="24"/>
            </w:rPr>
            <w:fldChar w:fldCharType="end"/>
          </w:r>
        </w:p>
        <w:p w14:paraId="56B77975">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_Toc26148 </w:instrText>
          </w:r>
          <w:r>
            <w:rPr>
              <w:rFonts w:hint="eastAsia" w:ascii="宋体" w:hAnsi="宋体" w:cs="宋体"/>
              <w:szCs w:val="24"/>
            </w:rPr>
            <w:fldChar w:fldCharType="separate"/>
          </w:r>
          <w:r>
            <w:rPr>
              <w:rFonts w:hint="default"/>
            </w:rPr>
            <w:t xml:space="preserve">4.2.1. </w:t>
          </w:r>
          <w:r>
            <w:t>问题一：监控接口数据偶发延迟</w:t>
          </w:r>
          <w:r>
            <w:tab/>
          </w:r>
          <w:r>
            <w:fldChar w:fldCharType="begin"/>
          </w:r>
          <w:r>
            <w:instrText xml:space="preserve"> PAGEREF _Toc26148 \h </w:instrText>
          </w:r>
          <w:r>
            <w:fldChar w:fldCharType="separate"/>
          </w:r>
          <w:r>
            <w:t>8</w:t>
          </w:r>
          <w:r>
            <w:fldChar w:fldCharType="end"/>
          </w:r>
          <w:r>
            <w:rPr>
              <w:rFonts w:hint="eastAsia" w:ascii="宋体" w:hAnsi="宋体" w:cs="宋体"/>
              <w:szCs w:val="24"/>
            </w:rPr>
            <w:fldChar w:fldCharType="end"/>
          </w:r>
        </w:p>
        <w:p w14:paraId="4D5D684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_Toc15920 </w:instrText>
          </w:r>
          <w:r>
            <w:rPr>
              <w:rFonts w:hint="eastAsia" w:ascii="宋体" w:hAnsi="宋体" w:cs="宋体"/>
              <w:szCs w:val="24"/>
            </w:rPr>
            <w:fldChar w:fldCharType="separate"/>
          </w:r>
          <w:r>
            <w:rPr>
              <w:rFonts w:hint="default"/>
            </w:rPr>
            <w:t xml:space="preserve">4.2.2. </w:t>
          </w:r>
          <w:r>
            <w:t>问题二：运维人员排班规则初始配置不完整</w:t>
          </w:r>
          <w:r>
            <w:tab/>
          </w:r>
          <w:r>
            <w:fldChar w:fldCharType="begin"/>
          </w:r>
          <w:r>
            <w:instrText xml:space="preserve"> PAGEREF _Toc15920 \h </w:instrText>
          </w:r>
          <w:r>
            <w:fldChar w:fldCharType="separate"/>
          </w:r>
          <w:r>
            <w:t>8</w:t>
          </w:r>
          <w:r>
            <w:fldChar w:fldCharType="end"/>
          </w:r>
          <w:r>
            <w:rPr>
              <w:rFonts w:hint="eastAsia" w:ascii="宋体" w:hAnsi="宋体" w:cs="宋体"/>
              <w:szCs w:val="24"/>
            </w:rPr>
            <w:fldChar w:fldCharType="end"/>
          </w:r>
        </w:p>
        <w:p w14:paraId="5722D558">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_Toc3908 </w:instrText>
          </w:r>
          <w:r>
            <w:rPr>
              <w:rFonts w:hint="eastAsia" w:ascii="宋体" w:hAnsi="宋体" w:cs="宋体"/>
              <w:szCs w:val="24"/>
            </w:rPr>
            <w:fldChar w:fldCharType="separate"/>
          </w:r>
          <w:r>
            <w:rPr>
              <w:rFonts w:hint="default"/>
            </w:rPr>
            <w:t xml:space="preserve">4.2.3. </w:t>
          </w:r>
          <w:r>
            <w:t>问题三：历史数据清洗规则迭代优化</w:t>
          </w:r>
          <w:r>
            <w:tab/>
          </w:r>
          <w:r>
            <w:fldChar w:fldCharType="begin"/>
          </w:r>
          <w:r>
            <w:instrText xml:space="preserve"> PAGEREF _Toc3908 \h </w:instrText>
          </w:r>
          <w:r>
            <w:fldChar w:fldCharType="separate"/>
          </w:r>
          <w:r>
            <w:t>8</w:t>
          </w:r>
          <w:r>
            <w:fldChar w:fldCharType="end"/>
          </w:r>
          <w:r>
            <w:rPr>
              <w:rFonts w:hint="eastAsia" w:ascii="宋体" w:hAnsi="宋体" w:cs="宋体"/>
              <w:szCs w:val="24"/>
            </w:rPr>
            <w:fldChar w:fldCharType="end"/>
          </w:r>
        </w:p>
        <w:p w14:paraId="420689DC">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_Toc2058 </w:instrText>
          </w:r>
          <w:r>
            <w:rPr>
              <w:rFonts w:hint="eastAsia" w:ascii="宋体" w:hAnsi="宋体" w:cs="宋体"/>
              <w:szCs w:val="24"/>
            </w:rPr>
            <w:fldChar w:fldCharType="separate"/>
          </w:r>
          <w:r>
            <w:rPr>
              <w:rFonts w:hint="default"/>
            </w:rPr>
            <w:t xml:space="preserve">4.3. </w:t>
          </w:r>
          <w:r>
            <w:t>经验总结</w:t>
          </w:r>
          <w:r>
            <w:tab/>
          </w:r>
          <w:r>
            <w:fldChar w:fldCharType="begin"/>
          </w:r>
          <w:r>
            <w:instrText xml:space="preserve"> PAGEREF _Toc2058 \h </w:instrText>
          </w:r>
          <w:r>
            <w:fldChar w:fldCharType="separate"/>
          </w:r>
          <w:r>
            <w:t>8</w:t>
          </w:r>
          <w:r>
            <w:fldChar w:fldCharType="end"/>
          </w:r>
          <w:r>
            <w:rPr>
              <w:rFonts w:hint="eastAsia" w:ascii="宋体" w:hAnsi="宋体" w:cs="宋体"/>
              <w:szCs w:val="24"/>
            </w:rPr>
            <w:fldChar w:fldCharType="end"/>
          </w:r>
        </w:p>
        <w:p w14:paraId="566E8F74">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_Toc12963 </w:instrText>
          </w:r>
          <w:r>
            <w:rPr>
              <w:rFonts w:hint="eastAsia" w:ascii="宋体" w:hAnsi="宋体" w:cs="宋体"/>
              <w:szCs w:val="24"/>
            </w:rPr>
            <w:fldChar w:fldCharType="separate"/>
          </w:r>
          <w:r>
            <w:rPr>
              <w:rFonts w:hint="default"/>
            </w:rPr>
            <w:t xml:space="preserve">5. </w:t>
          </w:r>
          <w:r>
            <w:t>下一阶段详细计划</w:t>
          </w:r>
          <w:r>
            <w:tab/>
          </w:r>
          <w:r>
            <w:fldChar w:fldCharType="begin"/>
          </w:r>
          <w:r>
            <w:instrText xml:space="preserve"> PAGEREF _Toc12963 \h </w:instrText>
          </w:r>
          <w:r>
            <w:fldChar w:fldCharType="separate"/>
          </w:r>
          <w:r>
            <w:t>8</w:t>
          </w:r>
          <w:r>
            <w:fldChar w:fldCharType="end"/>
          </w:r>
          <w:r>
            <w:rPr>
              <w:rFonts w:hint="eastAsia" w:ascii="宋体" w:hAnsi="宋体" w:cs="宋体"/>
              <w:szCs w:val="24"/>
            </w:rPr>
            <w:fldChar w:fldCharType="end"/>
          </w:r>
        </w:p>
        <w:p w14:paraId="43C90658">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_Toc10567 </w:instrText>
          </w:r>
          <w:r>
            <w:rPr>
              <w:rFonts w:hint="eastAsia" w:ascii="宋体" w:hAnsi="宋体" w:cs="宋体"/>
              <w:szCs w:val="24"/>
            </w:rPr>
            <w:fldChar w:fldCharType="separate"/>
          </w:r>
          <w:r>
            <w:rPr>
              <w:rFonts w:hint="default"/>
            </w:rPr>
            <w:t xml:space="preserve">6. </w:t>
          </w:r>
          <w:r>
            <w:t>当前主要风险评估与建议</w:t>
          </w:r>
          <w:r>
            <w:tab/>
          </w:r>
          <w:r>
            <w:fldChar w:fldCharType="begin"/>
          </w:r>
          <w:r>
            <w:instrText xml:space="preserve"> PAGEREF _Toc10567 \h </w:instrText>
          </w:r>
          <w:r>
            <w:fldChar w:fldCharType="separate"/>
          </w:r>
          <w:r>
            <w:t>9</w:t>
          </w:r>
          <w:r>
            <w:fldChar w:fldCharType="end"/>
          </w:r>
          <w:r>
            <w:rPr>
              <w:rFonts w:hint="eastAsia" w:ascii="宋体" w:hAnsi="宋体" w:cs="宋体"/>
              <w:szCs w:val="24"/>
            </w:rPr>
            <w:fldChar w:fldCharType="end"/>
          </w:r>
        </w:p>
        <w:p w14:paraId="67BF8FD6">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_Toc644 </w:instrText>
          </w:r>
          <w:r>
            <w:rPr>
              <w:rFonts w:hint="eastAsia" w:ascii="宋体" w:hAnsi="宋体" w:cs="宋体"/>
              <w:szCs w:val="24"/>
            </w:rPr>
            <w:fldChar w:fldCharType="separate"/>
          </w:r>
          <w:r>
            <w:rPr>
              <w:rFonts w:hint="default"/>
            </w:rPr>
            <w:t xml:space="preserve">7. </w:t>
          </w:r>
          <w:r>
            <w:t>结论与提请决策事项</w:t>
          </w:r>
          <w:r>
            <w:tab/>
          </w:r>
          <w:r>
            <w:fldChar w:fldCharType="begin"/>
          </w:r>
          <w:r>
            <w:instrText xml:space="preserve"> PAGEREF _Toc644 \h </w:instrText>
          </w:r>
          <w:r>
            <w:fldChar w:fldCharType="separate"/>
          </w:r>
          <w:r>
            <w:t>10</w:t>
          </w:r>
          <w:r>
            <w:fldChar w:fldCharType="end"/>
          </w:r>
          <w:r>
            <w:rPr>
              <w:rFonts w:hint="eastAsia" w:ascii="宋体" w:hAnsi="宋体" w:cs="宋体"/>
              <w:szCs w:val="24"/>
            </w:rPr>
            <w:fldChar w:fldCharType="end"/>
          </w:r>
        </w:p>
        <w:p w14:paraId="25AF3DC2">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_Toc7684 </w:instrText>
          </w:r>
          <w:r>
            <w:rPr>
              <w:rFonts w:hint="eastAsia" w:ascii="宋体" w:hAnsi="宋体" w:cs="宋体"/>
              <w:szCs w:val="24"/>
            </w:rPr>
            <w:fldChar w:fldCharType="separate"/>
          </w:r>
          <w:r>
            <w:rPr>
              <w:rFonts w:hint="default"/>
            </w:rPr>
            <w:t xml:space="preserve">7.1. </w:t>
          </w:r>
          <w:r>
            <w:t>结论</w:t>
          </w:r>
          <w:r>
            <w:tab/>
          </w:r>
          <w:r>
            <w:fldChar w:fldCharType="begin"/>
          </w:r>
          <w:r>
            <w:instrText xml:space="preserve"> PAGEREF _Toc7684 \h </w:instrText>
          </w:r>
          <w:r>
            <w:fldChar w:fldCharType="separate"/>
          </w:r>
          <w:r>
            <w:t>10</w:t>
          </w:r>
          <w:r>
            <w:fldChar w:fldCharType="end"/>
          </w:r>
          <w:r>
            <w:rPr>
              <w:rFonts w:hint="eastAsia" w:ascii="宋体" w:hAnsi="宋体" w:cs="宋体"/>
              <w:szCs w:val="24"/>
            </w:rPr>
            <w:fldChar w:fldCharType="end"/>
          </w:r>
        </w:p>
        <w:p w14:paraId="64D4CF0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_Toc31181 </w:instrText>
          </w:r>
          <w:r>
            <w:rPr>
              <w:rFonts w:hint="eastAsia" w:ascii="宋体" w:hAnsi="宋体" w:cs="宋体"/>
              <w:szCs w:val="24"/>
            </w:rPr>
            <w:fldChar w:fldCharType="separate"/>
          </w:r>
          <w:r>
            <w:rPr>
              <w:rFonts w:hint="default"/>
            </w:rPr>
            <w:t xml:space="preserve">7.2. </w:t>
          </w:r>
          <w:r>
            <w:t>提请决策事项</w:t>
          </w:r>
          <w:r>
            <w:tab/>
          </w:r>
          <w:r>
            <w:fldChar w:fldCharType="begin"/>
          </w:r>
          <w:r>
            <w:instrText xml:space="preserve"> PAGEREF _Toc31181 \h </w:instrText>
          </w:r>
          <w:r>
            <w:fldChar w:fldCharType="separate"/>
          </w:r>
          <w:r>
            <w:t>10</w:t>
          </w:r>
          <w:r>
            <w:fldChar w:fldCharType="end"/>
          </w:r>
          <w:r>
            <w:rPr>
              <w:rFonts w:hint="eastAsia" w:ascii="宋体" w:hAnsi="宋体" w:cs="宋体"/>
              <w:szCs w:val="24"/>
            </w:rPr>
            <w:fldChar w:fldCharType="end"/>
          </w:r>
        </w:p>
        <w:p w14:paraId="30C2BD13">
          <w:pPr>
            <w:widowControl w:val="0"/>
            <w:rPr>
              <w:rFonts w:hint="eastAsia" w:ascii="宋体" w:hAnsi="宋体" w:cs="宋体"/>
              <w:sz w:val="24"/>
              <w:szCs w:val="24"/>
            </w:rPr>
          </w:pPr>
          <w:r>
            <w:rPr>
              <w:rFonts w:hint="eastAsia" w:ascii="宋体" w:hAnsi="宋体" w:cs="宋体"/>
              <w:szCs w:val="24"/>
            </w:rPr>
            <w:fldChar w:fldCharType="end"/>
          </w:r>
        </w:p>
      </w:sdtContent>
    </w:sdt>
    <w:p w14:paraId="40B023CF">
      <w:pPr>
        <w:widowControl w:val="0"/>
        <w:rPr>
          <w:rFonts w:eastAsia="Arial"/>
        </w:rPr>
      </w:pPr>
      <w:r>
        <w:rPr>
          <w:rFonts w:eastAsia="Arial"/>
        </w:rPr>
        <w:br w:type="page"/>
      </w:r>
    </w:p>
    <w:p w14:paraId="799E5DC2">
      <w:pPr>
        <w:pStyle w:val="29"/>
        <w:bidi w:val="0"/>
      </w:pPr>
      <w:bookmarkStart w:id="3" w:name="_Toc6799"/>
      <w:bookmarkStart w:id="4" w:name="heading_1"/>
      <w:r>
        <w:t>阶段概述与目标回顾</w:t>
      </w:r>
      <w:bookmarkEnd w:id="3"/>
      <w:bookmarkEnd w:id="4"/>
    </w:p>
    <w:p w14:paraId="1C4FF910">
      <w:pPr>
        <w:pStyle w:val="30"/>
        <w:bidi w:val="0"/>
      </w:pPr>
      <w:r>
        <w:t>本报告覆盖2026年1月至2026年6月期间的项目执行情况，对应《总体交付方案》中规划的第一阶段（项目启动与现状调研）至第三阶段（系统优化与培训）的工作内容。</w:t>
      </w:r>
    </w:p>
    <w:p w14:paraId="49F8BB2A">
      <w:pPr>
        <w:pStyle w:val="30"/>
        <w:bidi w:val="0"/>
      </w:pPr>
      <w:r>
        <w:t>本阶段核心目标回顾：</w:t>
      </w:r>
    </w:p>
    <w:p w14:paraId="40CBD7D6">
      <w:pPr>
        <w:pStyle w:val="40"/>
        <w:numPr>
          <w:ilvl w:val="0"/>
          <w:numId w:val="2"/>
        </w:numPr>
        <w:bidi w:val="0"/>
        <w:ind w:left="425" w:leftChars="0" w:hanging="425" w:firstLineChars="0"/>
      </w:pPr>
      <w:r>
        <w:t>完成项目团队组建，与客户建立高效沟通机制</w:t>
      </w:r>
    </w:p>
    <w:p w14:paraId="761782FF">
      <w:pPr>
        <w:pStyle w:val="40"/>
        <w:numPr>
          <w:ilvl w:val="0"/>
          <w:numId w:val="2"/>
        </w:numPr>
        <w:bidi w:val="0"/>
        <w:ind w:left="425" w:leftChars="0" w:hanging="425" w:firstLineChars="0"/>
      </w:pPr>
      <w:r>
        <w:t>完成桌面及信息网络系统及设备的现状调研，全面掌握系统环境与设备状态</w:t>
      </w:r>
    </w:p>
    <w:p w14:paraId="50600188">
      <w:pPr>
        <w:pStyle w:val="40"/>
        <w:numPr>
          <w:ilvl w:val="0"/>
          <w:numId w:val="2"/>
        </w:numPr>
        <w:bidi w:val="0"/>
        <w:ind w:left="425" w:leftChars="0" w:hanging="425" w:firstLineChars="0"/>
      </w:pPr>
      <w:r>
        <w:t>部署系统运行监控平台，建立7×24小时监控机制</w:t>
      </w:r>
    </w:p>
    <w:p w14:paraId="3CD619B4">
      <w:pPr>
        <w:pStyle w:val="40"/>
        <w:numPr>
          <w:ilvl w:val="0"/>
          <w:numId w:val="2"/>
        </w:numPr>
        <w:bidi w:val="0"/>
        <w:ind w:left="425" w:leftChars="0" w:hanging="425" w:firstLineChars="0"/>
      </w:pPr>
      <w:r>
        <w:t>完成数据清洗规则开发、测试与上线，确保核心数据质量达标</w:t>
      </w:r>
    </w:p>
    <w:p w14:paraId="476A8C0A">
      <w:pPr>
        <w:pStyle w:val="40"/>
        <w:numPr>
          <w:ilvl w:val="0"/>
          <w:numId w:val="2"/>
        </w:numPr>
        <w:bidi w:val="0"/>
        <w:ind w:left="425" w:leftChars="0" w:hanging="425" w:firstLineChars="0"/>
      </w:pPr>
      <w:r>
        <w:t>建立常态化服务响应机制，按SLA要求及时响应客户请求</w:t>
      </w:r>
    </w:p>
    <w:p w14:paraId="4AF62A19">
      <w:pPr>
        <w:pStyle w:val="40"/>
        <w:numPr>
          <w:ilvl w:val="0"/>
          <w:numId w:val="2"/>
        </w:numPr>
        <w:bidi w:val="0"/>
        <w:ind w:left="425" w:leftChars="0" w:hanging="425" w:firstLineChars="0"/>
      </w:pPr>
      <w:r>
        <w:t>开展系统优化与客户培训，提升系统运行效率与客户团队能力</w:t>
      </w:r>
    </w:p>
    <w:p w14:paraId="5A535441">
      <w:pPr>
        <w:pStyle w:val="30"/>
        <w:bidi w:val="0"/>
      </w:pPr>
      <w:r>
        <w:t>截至本报告期末，上述目标已全面达成，项目整体进度符合预期，各项工作按计划有序推进。</w:t>
      </w:r>
    </w:p>
    <w:p w14:paraId="402FCA24">
      <w:pPr>
        <w:pStyle w:val="29"/>
        <w:bidi w:val="0"/>
      </w:pPr>
      <w:bookmarkStart w:id="5" w:name="heading_2"/>
      <w:bookmarkStart w:id="6" w:name="_Toc31262"/>
      <w:r>
        <w:t>主要工作成果与完成情况</w:t>
      </w:r>
      <w:bookmarkEnd w:id="5"/>
      <w:bookmarkEnd w:id="6"/>
    </w:p>
    <w:p w14:paraId="1B4C750E">
      <w:pPr>
        <w:pStyle w:val="31"/>
        <w:bidi w:val="0"/>
      </w:pPr>
      <w:bookmarkStart w:id="7" w:name="_Toc5417"/>
      <w:bookmarkStart w:id="8" w:name="heading_3"/>
      <w:r>
        <w:t>服务部署与启动</w:t>
      </w:r>
      <w:bookmarkEnd w:id="7"/>
      <w:bookmarkEnd w:id="8"/>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84"/>
        <w:gridCol w:w="1121"/>
        <w:gridCol w:w="4696"/>
      </w:tblGrid>
      <w:tr w14:paraId="592D2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48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6FEC3FE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112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6E808C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完成情况</w:t>
            </w:r>
          </w:p>
        </w:tc>
        <w:tc>
          <w:tcPr>
            <w:tcW w:w="469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5DCE740">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关键成果</w:t>
            </w:r>
          </w:p>
        </w:tc>
      </w:tr>
      <w:tr w14:paraId="06382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2D874A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项目启动与团队组建</w:t>
            </w:r>
          </w:p>
        </w:tc>
        <w:tc>
          <w:tcPr>
            <w:tcW w:w="11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38AE07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963CA7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召开项目启动会，明确双方团队及沟通机制</w:t>
            </w:r>
          </w:p>
        </w:tc>
      </w:tr>
      <w:tr w14:paraId="4A29E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1CB3D6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系统与设备现状调研</w:t>
            </w:r>
          </w:p>
        </w:tc>
        <w:tc>
          <w:tcPr>
            <w:tcW w:w="11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2EF203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7BC857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完成桌面及信息网络系统环境及设备清单调研，形成调研报告</w:t>
            </w:r>
          </w:p>
        </w:tc>
      </w:tr>
      <w:tr w14:paraId="4AFB10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2EECC8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服务台账与问题跟踪机制建立</w:t>
            </w:r>
          </w:p>
        </w:tc>
        <w:tc>
          <w:tcPr>
            <w:tcW w:w="11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6B9F8B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643BEA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建立服务台账模板，问题跟踪闭环率100%</w:t>
            </w:r>
          </w:p>
        </w:tc>
      </w:tr>
      <w:tr w14:paraId="56233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D23E9B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监控平台部署</w:t>
            </w:r>
          </w:p>
        </w:tc>
        <w:tc>
          <w:tcPr>
            <w:tcW w:w="112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D44F82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6F7E9C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部署Prometheus+Grafana监控平台，实现7×24小时监控</w:t>
            </w:r>
          </w:p>
        </w:tc>
      </w:tr>
      <w:tr w14:paraId="6398C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8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959CCE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首次系统体检</w:t>
            </w:r>
          </w:p>
        </w:tc>
        <w:tc>
          <w:tcPr>
            <w:tcW w:w="112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B8A549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469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531211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生成系统体检报告，识别潜在风险3项，已全部整改</w:t>
            </w:r>
          </w:p>
        </w:tc>
      </w:tr>
    </w:tbl>
    <w:p w14:paraId="7486A3F7">
      <w:pPr>
        <w:pStyle w:val="31"/>
        <w:bidi w:val="0"/>
      </w:pPr>
      <w:bookmarkStart w:id="9" w:name="heading_4"/>
      <w:bookmarkStart w:id="10" w:name="_Toc31118"/>
      <w:r>
        <w:t>数据清洗专项工作</w:t>
      </w:r>
      <w:bookmarkEnd w:id="9"/>
      <w:bookmarkEnd w:id="10"/>
    </w:p>
    <w:tbl>
      <w:tblPr>
        <w:tblStyle w:val="20"/>
        <w:tblW w:w="854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580"/>
        <w:gridCol w:w="937"/>
        <w:gridCol w:w="5023"/>
      </w:tblGrid>
      <w:tr w14:paraId="738F8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58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38E090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93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48AC1B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完成情况</w:t>
            </w:r>
          </w:p>
        </w:tc>
        <w:tc>
          <w:tcPr>
            <w:tcW w:w="5023"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1A69078">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关键成果</w:t>
            </w:r>
          </w:p>
        </w:tc>
      </w:tr>
      <w:tr w14:paraId="2C516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5A9697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数据清洗规则设计</w:t>
            </w:r>
          </w:p>
        </w:tc>
        <w:tc>
          <w:tcPr>
            <w:tcW w:w="93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8D2F0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2AEB9F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覆盖七大数据域，共计45条清洗规则</w:t>
            </w:r>
          </w:p>
        </w:tc>
      </w:tr>
      <w:tr w14:paraId="57BD9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9E43D8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清洗规则开发与测试</w:t>
            </w:r>
          </w:p>
        </w:tc>
        <w:tc>
          <w:tcPr>
            <w:tcW w:w="93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CDAF2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C0CF81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完成规则开发，测试通过率100%</w:t>
            </w:r>
          </w:p>
        </w:tc>
      </w:tr>
      <w:tr w14:paraId="4B84FD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678580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数据质量监控看板部署</w:t>
            </w:r>
          </w:p>
        </w:tc>
        <w:tc>
          <w:tcPr>
            <w:tcW w:w="93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810D7F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FFC6D1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部署Grafana数据质量看板，实时监控KPI</w:t>
            </w:r>
          </w:p>
        </w:tc>
      </w:tr>
      <w:tr w14:paraId="51822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7AAE5D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历史数据全量清洗</w:t>
            </w:r>
          </w:p>
        </w:tc>
        <w:tc>
          <w:tcPr>
            <w:tcW w:w="93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C5486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6B5422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完成2026年1-6月历史数据清洗，处理记录12万条</w:t>
            </w:r>
          </w:p>
        </w:tc>
      </w:tr>
      <w:tr w14:paraId="428786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58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424090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数据质量日报机制建立</w:t>
            </w:r>
          </w:p>
        </w:tc>
        <w:tc>
          <w:tcPr>
            <w:tcW w:w="93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E1CC78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已完成</w:t>
            </w:r>
          </w:p>
        </w:tc>
        <w:tc>
          <w:tcPr>
            <w:tcW w:w="5023"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6CEDA25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每日自动生成数据质量日报，推送至相关人员</w:t>
            </w:r>
          </w:p>
        </w:tc>
      </w:tr>
    </w:tbl>
    <w:p w14:paraId="2FCF85F7">
      <w:pPr>
        <w:pStyle w:val="30"/>
        <w:bidi w:val="0"/>
      </w:pPr>
      <w:r>
        <w:t>数据质量关键指标达成情况：</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257"/>
        <w:gridCol w:w="1441"/>
        <w:gridCol w:w="1640"/>
        <w:gridCol w:w="1963"/>
      </w:tblGrid>
      <w:tr w14:paraId="509F63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257"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DA97D0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指标</w:t>
            </w:r>
          </w:p>
        </w:tc>
        <w:tc>
          <w:tcPr>
            <w:tcW w:w="144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AA736BB">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目标值</w:t>
            </w:r>
          </w:p>
        </w:tc>
        <w:tc>
          <w:tcPr>
            <w:tcW w:w="164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009D46A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实际达成</w:t>
            </w:r>
          </w:p>
        </w:tc>
        <w:tc>
          <w:tcPr>
            <w:tcW w:w="1963"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E24769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状态</w:t>
            </w:r>
          </w:p>
        </w:tc>
      </w:tr>
      <w:tr w14:paraId="0B5332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EA2654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核心字段填充率</w:t>
            </w:r>
          </w:p>
        </w:tc>
        <w:tc>
          <w:tcPr>
            <w:tcW w:w="14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582CBE">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≥99%</w:t>
            </w:r>
          </w:p>
        </w:tc>
        <w:tc>
          <w:tcPr>
            <w:tcW w:w="16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2BE658">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99.3%</w:t>
            </w:r>
          </w:p>
        </w:tc>
        <w:tc>
          <w:tcPr>
            <w:tcW w:w="196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2D539A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r w14:paraId="0206D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8B4CC7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业务数据准确率</w:t>
            </w:r>
          </w:p>
        </w:tc>
        <w:tc>
          <w:tcPr>
            <w:tcW w:w="14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9E53CC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≥95%</w:t>
            </w:r>
          </w:p>
        </w:tc>
        <w:tc>
          <w:tcPr>
            <w:tcW w:w="16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D10106B">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97.1%</w:t>
            </w:r>
          </w:p>
        </w:tc>
        <w:tc>
          <w:tcPr>
            <w:tcW w:w="196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16304A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r w14:paraId="0B5A4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26CCCC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主数据一致率</w:t>
            </w:r>
          </w:p>
        </w:tc>
        <w:tc>
          <w:tcPr>
            <w:tcW w:w="14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3CFCC7">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100%</w:t>
            </w:r>
          </w:p>
        </w:tc>
        <w:tc>
          <w:tcPr>
            <w:tcW w:w="16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E3218EF">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100%</w:t>
            </w:r>
          </w:p>
        </w:tc>
        <w:tc>
          <w:tcPr>
            <w:tcW w:w="196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8909BA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r w14:paraId="50B50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257"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002BDE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清洗任务执行成功率</w:t>
            </w:r>
          </w:p>
        </w:tc>
        <w:tc>
          <w:tcPr>
            <w:tcW w:w="144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ED67D5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≥99.9%</w:t>
            </w:r>
          </w:p>
        </w:tc>
        <w:tc>
          <w:tcPr>
            <w:tcW w:w="164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18B42B9">
            <w:pPr>
              <w:snapToGrid w:val="0"/>
              <w:spacing w:before="120" w:after="120" w:line="240" w:lineRule="auto"/>
              <w:ind w:left="0" w:leftChars="0" w:right="0" w:rightChars="0" w:firstLine="0" w:firstLineChars="0"/>
              <w:jc w:val="right"/>
              <w:rPr>
                <w:rFonts w:ascii="Arial" w:eastAsia="等线"/>
                <w:sz w:val="22"/>
              </w:rPr>
            </w:pPr>
            <w:r>
              <w:rPr>
                <w:rFonts w:ascii="Arial" w:hAnsi="Arial" w:eastAsia="等线" w:cs="Arial"/>
                <w:sz w:val="22"/>
              </w:rPr>
              <w:t>100%</w:t>
            </w:r>
          </w:p>
        </w:tc>
        <w:tc>
          <w:tcPr>
            <w:tcW w:w="1963"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FFA8A8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达标</w:t>
            </w:r>
          </w:p>
        </w:tc>
      </w:tr>
    </w:tbl>
    <w:p w14:paraId="5A7B1986">
      <w:pPr>
        <w:pStyle w:val="31"/>
        <w:bidi w:val="0"/>
      </w:pPr>
      <w:bookmarkStart w:id="11" w:name="heading_5"/>
      <w:bookmarkStart w:id="12" w:name="_Toc17344"/>
      <w:r>
        <w:t>日常响应与问题处理</w:t>
      </w:r>
      <w:bookmarkEnd w:id="11"/>
      <w:bookmarkEnd w:id="12"/>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424"/>
        <w:gridCol w:w="1620"/>
        <w:gridCol w:w="4257"/>
      </w:tblGrid>
      <w:tr w14:paraId="1AD52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424"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2777B2B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统计项</w:t>
            </w:r>
          </w:p>
        </w:tc>
        <w:tc>
          <w:tcPr>
            <w:tcW w:w="162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5917BF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本阶段数据</w:t>
            </w:r>
          </w:p>
        </w:tc>
        <w:tc>
          <w:tcPr>
            <w:tcW w:w="425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CD0921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说明</w:t>
            </w:r>
          </w:p>
        </w:tc>
      </w:tr>
      <w:tr w14:paraId="7CAAC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0BA7D5B">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累计服务工单总数</w:t>
            </w:r>
          </w:p>
        </w:tc>
        <w:tc>
          <w:tcPr>
            <w:tcW w:w="16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A4FF37">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68个</w:t>
            </w:r>
          </w:p>
        </w:tc>
        <w:tc>
          <w:tcPr>
            <w:tcW w:w="4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C38DF5C">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涵盖系统故障、咨询、变更等类型</w:t>
            </w:r>
          </w:p>
        </w:tc>
      </w:tr>
      <w:tr w14:paraId="49D9C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D78C592">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已关闭工单</w:t>
            </w:r>
          </w:p>
        </w:tc>
        <w:tc>
          <w:tcPr>
            <w:tcW w:w="16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ACF769B">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67个</w:t>
            </w:r>
          </w:p>
        </w:tc>
        <w:tc>
          <w:tcPr>
            <w:tcW w:w="4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0D513E1">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关闭率100%</w:t>
            </w:r>
          </w:p>
        </w:tc>
      </w:tr>
      <w:tr w14:paraId="3D69F1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E62D33F">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平均响应时间</w:t>
            </w:r>
          </w:p>
        </w:tc>
        <w:tc>
          <w:tcPr>
            <w:tcW w:w="16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1F5B616">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14分钟</w:t>
            </w:r>
          </w:p>
        </w:tc>
        <w:tc>
          <w:tcPr>
            <w:tcW w:w="4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6CE87FA">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SLA要求≤30分钟</w:t>
            </w:r>
          </w:p>
        </w:tc>
      </w:tr>
      <w:tr w14:paraId="0798B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F5CC0BA">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平均解决时间</w:t>
            </w:r>
          </w:p>
        </w:tc>
        <w:tc>
          <w:tcPr>
            <w:tcW w:w="16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BCA0F6">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2.3小时</w:t>
            </w:r>
          </w:p>
        </w:tc>
        <w:tc>
          <w:tcPr>
            <w:tcW w:w="4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5CF3983">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SLA要求≤4小时</w:t>
            </w:r>
          </w:p>
        </w:tc>
      </w:tr>
      <w:tr w14:paraId="694EE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3DB4360">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客户满意度评分</w:t>
            </w:r>
          </w:p>
        </w:tc>
        <w:tc>
          <w:tcPr>
            <w:tcW w:w="162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B5A7F70">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97.8分</w:t>
            </w:r>
          </w:p>
        </w:tc>
        <w:tc>
          <w:tcPr>
            <w:tcW w:w="425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0C51617">
            <w:pPr>
              <w:snapToGrid w:val="0"/>
              <w:spacing w:before="120" w:after="120" w:line="240" w:lineRule="auto"/>
              <w:ind w:left="0" w:leftChars="0" w:right="0" w:rightChars="0" w:firstLine="0" w:firstLineChars="0"/>
              <w:jc w:val="center"/>
              <w:rPr>
                <w:rFonts w:ascii="Arial" w:hAnsi="Arial" w:eastAsia="等线" w:cs="Arial"/>
                <w:sz w:val="22"/>
              </w:rPr>
            </w:pPr>
            <w:r>
              <w:rPr>
                <w:rFonts w:ascii="Arial" w:hAnsi="Arial" w:eastAsia="等线" w:cs="Arial"/>
                <w:sz w:val="22"/>
              </w:rPr>
              <w:t>目标≥95分</w:t>
            </w:r>
          </w:p>
        </w:tc>
      </w:tr>
      <w:tr w14:paraId="29E3A2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424"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CF617F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问题升级数量</w:t>
            </w:r>
          </w:p>
        </w:tc>
        <w:tc>
          <w:tcPr>
            <w:tcW w:w="162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A3CAF1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1个</w:t>
            </w:r>
          </w:p>
        </w:tc>
        <w:tc>
          <w:tcPr>
            <w:tcW w:w="425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584CDAC6">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已妥善处理，客户认可</w:t>
            </w:r>
          </w:p>
        </w:tc>
      </w:tr>
    </w:tbl>
    <w:p w14:paraId="41011E54">
      <w:pPr>
        <w:pStyle w:val="31"/>
        <w:bidi w:val="0"/>
      </w:pPr>
      <w:bookmarkStart w:id="13" w:name="heading_6"/>
      <w:bookmarkStart w:id="14" w:name="_Toc30522"/>
      <w:r>
        <w:t>系统优化与培训</w:t>
      </w:r>
      <w:bookmarkEnd w:id="13"/>
      <w:bookmarkEnd w:id="14"/>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85"/>
        <w:gridCol w:w="1127"/>
        <w:gridCol w:w="5389"/>
      </w:tblGrid>
      <w:tr w14:paraId="2A3C4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78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AF7FF65">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112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8B2FDDF">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完成情况</w:t>
            </w:r>
          </w:p>
        </w:tc>
        <w:tc>
          <w:tcPr>
            <w:tcW w:w="5388"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C06EE5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关键成果</w:t>
            </w:r>
          </w:p>
        </w:tc>
      </w:tr>
      <w:tr w14:paraId="4CC8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88B627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系统性能优化</w:t>
            </w:r>
          </w:p>
        </w:tc>
        <w:tc>
          <w:tcPr>
            <w:tcW w:w="112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634000C">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538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BBCC87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优化慢查询6条，系统平均响应时间从1.8秒降至1.0秒</w:t>
            </w:r>
          </w:p>
        </w:tc>
      </w:tr>
      <w:tr w14:paraId="17AE1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B034C2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数据清洗规则优化</w:t>
            </w:r>
          </w:p>
        </w:tc>
        <w:tc>
          <w:tcPr>
            <w:tcW w:w="112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2BA826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538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4EEB32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根据运行情况优化规则8条，减少误报率</w:t>
            </w:r>
          </w:p>
        </w:tc>
      </w:tr>
      <w:tr w14:paraId="4C362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DA0683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客户培训</w:t>
            </w:r>
          </w:p>
        </w:tc>
        <w:tc>
          <w:tcPr>
            <w:tcW w:w="112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3D92B9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已完成</w:t>
            </w:r>
          </w:p>
        </w:tc>
        <w:tc>
          <w:tcPr>
            <w:tcW w:w="5388"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36F403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组织培训2场，覆盖运维调度科、设备管理科、计费科关键用户</w:t>
            </w:r>
          </w:p>
        </w:tc>
      </w:tr>
      <w:tr w14:paraId="1A0FAA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8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199EB5F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知识库建设</w:t>
            </w:r>
          </w:p>
        </w:tc>
        <w:tc>
          <w:tcPr>
            <w:tcW w:w="112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D1BD15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持续推进</w:t>
            </w:r>
          </w:p>
        </w:tc>
        <w:tc>
          <w:tcPr>
            <w:tcW w:w="5388"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5E13DC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累计录入知识条目23条，知识利用率91%</w:t>
            </w:r>
          </w:p>
        </w:tc>
      </w:tr>
    </w:tbl>
    <w:p w14:paraId="7EF9E892">
      <w:pPr>
        <w:pStyle w:val="29"/>
        <w:bidi w:val="0"/>
      </w:pPr>
      <w:bookmarkStart w:id="15" w:name="heading_7"/>
      <w:bookmarkStart w:id="16" w:name="_Toc32270"/>
      <w:r>
        <w:t>关键绩效指标与交付物达成情况</w:t>
      </w:r>
      <w:bookmarkEnd w:id="15"/>
      <w:bookmarkEnd w:id="16"/>
    </w:p>
    <w:p w14:paraId="68A94614">
      <w:pPr>
        <w:pStyle w:val="31"/>
        <w:bidi w:val="0"/>
      </w:pPr>
      <w:bookmarkStart w:id="17" w:name="_Toc16250"/>
      <w:bookmarkStart w:id="18" w:name="heading_8"/>
      <w:r>
        <w:t>关键绩效指标达成情况</w:t>
      </w:r>
      <w:bookmarkEnd w:id="17"/>
      <w:bookmarkEnd w:id="18"/>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450"/>
        <w:gridCol w:w="2396"/>
        <w:gridCol w:w="1233"/>
        <w:gridCol w:w="1625"/>
        <w:gridCol w:w="1597"/>
      </w:tblGrid>
      <w:tr w14:paraId="69C2E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45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A98172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指标类别</w:t>
            </w:r>
          </w:p>
        </w:tc>
        <w:tc>
          <w:tcPr>
            <w:tcW w:w="239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5EEE3CB">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指标名称</w:t>
            </w:r>
          </w:p>
        </w:tc>
        <w:tc>
          <w:tcPr>
            <w:tcW w:w="123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0A5753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目标值</w:t>
            </w:r>
          </w:p>
        </w:tc>
        <w:tc>
          <w:tcPr>
            <w:tcW w:w="162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799EFEC">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本阶段实际</w:t>
            </w:r>
          </w:p>
        </w:tc>
        <w:tc>
          <w:tcPr>
            <w:tcW w:w="159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0BEE302">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状态</w:t>
            </w:r>
          </w:p>
        </w:tc>
      </w:tr>
      <w:tr w14:paraId="5ED84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E807C3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服务响应</w:t>
            </w:r>
          </w:p>
        </w:tc>
        <w:tc>
          <w:tcPr>
            <w:tcW w:w="23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DF53DB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平均响应时间</w:t>
            </w:r>
          </w:p>
        </w:tc>
        <w:tc>
          <w:tcPr>
            <w:tcW w:w="12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C040CA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≤30分钟</w:t>
            </w:r>
          </w:p>
        </w:tc>
        <w:tc>
          <w:tcPr>
            <w:tcW w:w="1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C774A1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14分钟</w:t>
            </w:r>
          </w:p>
        </w:tc>
        <w:tc>
          <w:tcPr>
            <w:tcW w:w="15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CFA0367">
            <w:pPr>
              <w:snapToGrid w:val="0"/>
              <w:spacing w:before="120" w:after="120" w:line="240" w:lineRule="auto"/>
              <w:ind w:left="0" w:leftChars="0" w:right="0" w:rightChars="0" w:firstLine="0" w:firstLineChars="0"/>
              <w:jc w:val="center"/>
              <w:rPr>
                <w:rFonts w:hint="eastAsia" w:ascii="Arial" w:eastAsia="等线"/>
                <w:sz w:val="22"/>
                <w:lang w:val="en-US" w:eastAsia="zh-CN"/>
              </w:rPr>
            </w:pPr>
            <w:r>
              <w:rPr>
                <w:rFonts w:hint="eastAsia" w:ascii="Arial" w:eastAsia="等线"/>
                <w:sz w:val="22"/>
                <w:lang w:val="en-US" w:eastAsia="zh-CN"/>
              </w:rPr>
              <w:t>完成</w:t>
            </w:r>
          </w:p>
        </w:tc>
      </w:tr>
      <w:tr w14:paraId="203B99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A46B65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服务响应</w:t>
            </w:r>
          </w:p>
        </w:tc>
        <w:tc>
          <w:tcPr>
            <w:tcW w:w="23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DA5F90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平均解决时间</w:t>
            </w:r>
          </w:p>
        </w:tc>
        <w:tc>
          <w:tcPr>
            <w:tcW w:w="12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967960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≤4小时</w:t>
            </w:r>
          </w:p>
        </w:tc>
        <w:tc>
          <w:tcPr>
            <w:tcW w:w="1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E713B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2.3小时</w:t>
            </w:r>
          </w:p>
        </w:tc>
        <w:tc>
          <w:tcPr>
            <w:tcW w:w="15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367B942">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0A5F61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56ADBF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服务响应</w:t>
            </w:r>
          </w:p>
        </w:tc>
        <w:tc>
          <w:tcPr>
            <w:tcW w:w="23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9CAD2C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工单关闭率</w:t>
            </w:r>
          </w:p>
        </w:tc>
        <w:tc>
          <w:tcPr>
            <w:tcW w:w="12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4C1800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≥98%</w:t>
            </w:r>
          </w:p>
        </w:tc>
        <w:tc>
          <w:tcPr>
            <w:tcW w:w="1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9AE50BE">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cs="Arial"/>
                <w:sz w:val="22"/>
                <w:lang w:val="en-US" w:eastAsia="zh-CN"/>
              </w:rPr>
              <w:t>100%</w:t>
            </w:r>
          </w:p>
        </w:tc>
        <w:tc>
          <w:tcPr>
            <w:tcW w:w="15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912A5A1">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784B9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901592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客户满意</w:t>
            </w:r>
          </w:p>
        </w:tc>
        <w:tc>
          <w:tcPr>
            <w:tcW w:w="23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45776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满意度评分</w:t>
            </w:r>
          </w:p>
        </w:tc>
        <w:tc>
          <w:tcPr>
            <w:tcW w:w="12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07AC0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≥95分</w:t>
            </w:r>
          </w:p>
        </w:tc>
        <w:tc>
          <w:tcPr>
            <w:tcW w:w="1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3839D2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97.4分</w:t>
            </w:r>
          </w:p>
        </w:tc>
        <w:tc>
          <w:tcPr>
            <w:tcW w:w="15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7FE78F7">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178F7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E00738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数据质量</w:t>
            </w:r>
          </w:p>
        </w:tc>
        <w:tc>
          <w:tcPr>
            <w:tcW w:w="23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2B13F5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核心字段填充率</w:t>
            </w:r>
          </w:p>
        </w:tc>
        <w:tc>
          <w:tcPr>
            <w:tcW w:w="12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608AC9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w:t>
            </w:r>
          </w:p>
        </w:tc>
        <w:tc>
          <w:tcPr>
            <w:tcW w:w="1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3B3B97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99.3%</w:t>
            </w:r>
          </w:p>
        </w:tc>
        <w:tc>
          <w:tcPr>
            <w:tcW w:w="15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F7D1FC4">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60B98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00DF84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数据质量</w:t>
            </w:r>
          </w:p>
        </w:tc>
        <w:tc>
          <w:tcPr>
            <w:tcW w:w="23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CB070C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业务数据准确率</w:t>
            </w:r>
          </w:p>
        </w:tc>
        <w:tc>
          <w:tcPr>
            <w:tcW w:w="12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C8620E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≥95%</w:t>
            </w:r>
          </w:p>
        </w:tc>
        <w:tc>
          <w:tcPr>
            <w:tcW w:w="1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E1CBE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97.1%</w:t>
            </w:r>
          </w:p>
        </w:tc>
        <w:tc>
          <w:tcPr>
            <w:tcW w:w="15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D47F2BA">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08485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1B603C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系统可用</w:t>
            </w:r>
          </w:p>
        </w:tc>
        <w:tc>
          <w:tcPr>
            <w:tcW w:w="239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08137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系统可用性</w:t>
            </w:r>
          </w:p>
        </w:tc>
        <w:tc>
          <w:tcPr>
            <w:tcW w:w="123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3D8E9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≥99.9%</w:t>
            </w:r>
          </w:p>
        </w:tc>
        <w:tc>
          <w:tcPr>
            <w:tcW w:w="162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CBE996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99.95%</w:t>
            </w:r>
          </w:p>
        </w:tc>
        <w:tc>
          <w:tcPr>
            <w:tcW w:w="159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1B6DFC5">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r w14:paraId="7F9595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45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04DFFC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b/>
                <w:sz w:val="22"/>
              </w:rPr>
              <w:t>系统可用</w:t>
            </w:r>
          </w:p>
        </w:tc>
        <w:tc>
          <w:tcPr>
            <w:tcW w:w="239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DCD8C6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数据清洗任务成功率</w:t>
            </w:r>
          </w:p>
        </w:tc>
        <w:tc>
          <w:tcPr>
            <w:tcW w:w="123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3E3975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≥99.9%</w:t>
            </w:r>
          </w:p>
        </w:tc>
        <w:tc>
          <w:tcPr>
            <w:tcW w:w="162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57ECD1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100%</w:t>
            </w:r>
          </w:p>
        </w:tc>
        <w:tc>
          <w:tcPr>
            <w:tcW w:w="159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7F98991">
            <w:pPr>
              <w:snapToGrid w:val="0"/>
              <w:spacing w:before="120" w:after="120" w:line="240" w:lineRule="auto"/>
              <w:ind w:left="0" w:leftChars="0" w:right="0" w:rightChars="0" w:firstLine="0" w:firstLineChars="0"/>
              <w:jc w:val="center"/>
              <w:rPr>
                <w:rFonts w:ascii="Arial" w:eastAsia="等线"/>
                <w:sz w:val="22"/>
              </w:rPr>
            </w:pPr>
            <w:r>
              <w:rPr>
                <w:rFonts w:hint="eastAsia" w:ascii="Arial" w:eastAsia="等线"/>
                <w:sz w:val="22"/>
                <w:lang w:val="en-US" w:eastAsia="zh-CN"/>
              </w:rPr>
              <w:t>完成</w:t>
            </w:r>
          </w:p>
        </w:tc>
      </w:tr>
    </w:tbl>
    <w:p w14:paraId="6FD50C1F">
      <w:pPr>
        <w:pStyle w:val="31"/>
        <w:bidi w:val="0"/>
      </w:pPr>
      <w:bookmarkStart w:id="19" w:name="_Toc3182"/>
      <w:bookmarkStart w:id="20" w:name="heading_9"/>
      <w:r>
        <w:t>关键交付物完成情况</w:t>
      </w:r>
      <w:bookmarkEnd w:id="19"/>
      <w:bookmarkEnd w:id="20"/>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3989"/>
        <w:gridCol w:w="1773"/>
        <w:gridCol w:w="1773"/>
        <w:gridCol w:w="766"/>
      </w:tblGrid>
      <w:tr w14:paraId="28F02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398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E587F82">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交付物名称</w:t>
            </w:r>
          </w:p>
        </w:tc>
        <w:tc>
          <w:tcPr>
            <w:tcW w:w="177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7F1874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计划完成时间</w:t>
            </w:r>
          </w:p>
        </w:tc>
        <w:tc>
          <w:tcPr>
            <w:tcW w:w="177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DF02056">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实际完成时间</w:t>
            </w:r>
          </w:p>
        </w:tc>
        <w:tc>
          <w:tcPr>
            <w:tcW w:w="76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DBD1031">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状态</w:t>
            </w:r>
          </w:p>
        </w:tc>
      </w:tr>
      <w:tr w14:paraId="1AF5FA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31D4B6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《项目启动会纪要》</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67381E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2026年1月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4D7BB6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2026年1月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76C2CC7">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3A91B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60E521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《客户系统及设备现状调研报告》</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F265BF8">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2026年1月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269871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2026年1月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B867D2E">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653473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9CFDBD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《系统维护执行计划》</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DA24533">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2026年1月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51844E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2026年1月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04B3AC1">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333384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E097C6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《数据清洗策略方案》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64F7E49">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2026年3月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E1EFB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2026年3月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759FE6E">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0CC68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F80844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《数据清洗规则库》</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22DDB9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2026年3月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04522E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2026年3月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E1EE3E5">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652E3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83552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《数据清洗模块测试报告》</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1E90E12">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2026年3月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28B558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2026年3月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7663175">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4D17F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5C52748">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《常见故障处理手册》</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799C3D1">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2026年5月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8CEE0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2026年5月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AA06C3B">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6E516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B68CC6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《系统运维手册》</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EA58BF">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2026年5月</w:t>
            </w:r>
          </w:p>
        </w:tc>
        <w:tc>
          <w:tcPr>
            <w:tcW w:w="177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91AFDB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2026年5月</w:t>
            </w:r>
          </w:p>
        </w:tc>
        <w:tc>
          <w:tcPr>
            <w:tcW w:w="7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EDA89D2">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r w14:paraId="6E254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398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2C56CA7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月度《服务月报》</w:t>
            </w:r>
          </w:p>
        </w:tc>
        <w:tc>
          <w:tcPr>
            <w:tcW w:w="177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DA3C524">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每月5日前</w:t>
            </w:r>
          </w:p>
        </w:tc>
        <w:tc>
          <w:tcPr>
            <w:tcW w:w="177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B94BEF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按月完成</w:t>
            </w:r>
          </w:p>
        </w:tc>
        <w:tc>
          <w:tcPr>
            <w:tcW w:w="76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DDB35BF">
            <w:pPr>
              <w:snapToGrid w:val="0"/>
              <w:spacing w:before="120" w:after="120" w:line="240" w:lineRule="auto"/>
              <w:ind w:left="0" w:leftChars="0" w:right="0" w:rightChars="0" w:firstLine="0" w:firstLineChars="0"/>
              <w:jc w:val="left"/>
              <w:rPr>
                <w:rFonts w:hint="eastAsia" w:ascii="Arial" w:eastAsia="等线"/>
                <w:sz w:val="22"/>
                <w:lang w:eastAsia="zh-CN"/>
              </w:rPr>
            </w:pPr>
            <w:r>
              <w:rPr>
                <w:rFonts w:hint="eastAsia" w:ascii="Arial" w:eastAsia="等线" w:cs="Arial"/>
                <w:sz w:val="22"/>
                <w:lang w:eastAsia="zh-CN"/>
              </w:rPr>
              <w:t>完成</w:t>
            </w:r>
          </w:p>
        </w:tc>
      </w:tr>
    </w:tbl>
    <w:p w14:paraId="536026F0">
      <w:pPr>
        <w:pStyle w:val="29"/>
        <w:bidi w:val="0"/>
      </w:pPr>
      <w:bookmarkStart w:id="21" w:name="heading_10"/>
      <w:bookmarkStart w:id="22" w:name="_Toc31001"/>
      <w:r>
        <w:t>遇到的问题、解决方案与经验总结</w:t>
      </w:r>
      <w:bookmarkEnd w:id="21"/>
      <w:bookmarkEnd w:id="22"/>
    </w:p>
    <w:p w14:paraId="1AAE5D0F">
      <w:pPr>
        <w:pStyle w:val="31"/>
        <w:bidi w:val="0"/>
      </w:pPr>
      <w:bookmarkStart w:id="23" w:name="heading_11"/>
      <w:bookmarkStart w:id="24" w:name="_Toc25328"/>
      <w:r>
        <w:t>主要问题与挑战</w:t>
      </w:r>
      <w:bookmarkEnd w:id="23"/>
      <w:bookmarkEnd w:id="24"/>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448"/>
        <w:gridCol w:w="1971"/>
        <w:gridCol w:w="1882"/>
      </w:tblGrid>
      <w:tr w14:paraId="084DC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444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D3BD09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问题/挑战</w:t>
            </w:r>
          </w:p>
        </w:tc>
        <w:tc>
          <w:tcPr>
            <w:tcW w:w="197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00FD93C">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影响范围</w:t>
            </w:r>
          </w:p>
        </w:tc>
        <w:tc>
          <w:tcPr>
            <w:tcW w:w="1882"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7A0E8F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发生时间</w:t>
            </w:r>
          </w:p>
        </w:tc>
      </w:tr>
      <w:tr w14:paraId="4C3CB7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4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1ED838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监控接口数据偶发延迟</w:t>
            </w:r>
          </w:p>
        </w:tc>
        <w:tc>
          <w:tcPr>
            <w:tcW w:w="19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E1ADBE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设备运行状态监控</w:t>
            </w:r>
          </w:p>
        </w:tc>
        <w:tc>
          <w:tcPr>
            <w:tcW w:w="1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FE9C8E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2026年2月</w:t>
            </w:r>
          </w:p>
        </w:tc>
      </w:tr>
      <w:tr w14:paraId="7CB9E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4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7CBD904">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运维人员排班规则初始配置不完整</w:t>
            </w:r>
          </w:p>
        </w:tc>
        <w:tc>
          <w:tcPr>
            <w:tcW w:w="197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74410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运维技术人员管理</w:t>
            </w:r>
          </w:p>
        </w:tc>
        <w:tc>
          <w:tcPr>
            <w:tcW w:w="1882"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CCC244F">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2026年3月</w:t>
            </w:r>
          </w:p>
        </w:tc>
      </w:tr>
      <w:tr w14:paraId="6563A7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44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C999093">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历史数据清洗规则需多次迭代优化</w:t>
            </w:r>
          </w:p>
        </w:tc>
        <w:tc>
          <w:tcPr>
            <w:tcW w:w="197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63EF49A">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数据清洗专项</w:t>
            </w:r>
          </w:p>
        </w:tc>
        <w:tc>
          <w:tcPr>
            <w:tcW w:w="1882"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3AA104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2026年2-3月</w:t>
            </w:r>
          </w:p>
        </w:tc>
      </w:tr>
    </w:tbl>
    <w:p w14:paraId="2D02FA34">
      <w:pPr>
        <w:pStyle w:val="31"/>
        <w:bidi w:val="0"/>
      </w:pPr>
      <w:bookmarkStart w:id="25" w:name="heading_12"/>
      <w:bookmarkStart w:id="26" w:name="_Toc22164"/>
      <w:r>
        <w:t>解决方案与措施</w:t>
      </w:r>
      <w:bookmarkEnd w:id="25"/>
      <w:bookmarkEnd w:id="26"/>
    </w:p>
    <w:p w14:paraId="5AB77274">
      <w:pPr>
        <w:pStyle w:val="32"/>
        <w:bidi w:val="0"/>
      </w:pPr>
      <w:bookmarkStart w:id="27" w:name="_Toc26148"/>
      <w:r>
        <w:t>问题一：监控接口数据偶发延迟</w:t>
      </w:r>
      <w:bookmarkEnd w:id="27"/>
    </w:p>
    <w:p w14:paraId="55336758">
      <w:pPr>
        <w:pStyle w:val="30"/>
        <w:bidi w:val="0"/>
      </w:pPr>
      <w:r>
        <w:t>原因分析：监控接口服务器网络带宽不足，高峰期数据处理积压</w:t>
      </w:r>
    </w:p>
    <w:p w14:paraId="145DFEE9">
      <w:pPr>
        <w:pStyle w:val="30"/>
        <w:bidi w:val="0"/>
      </w:pPr>
      <w:r>
        <w:t>解决方案：协调客户增加网络带宽，优化接口数据处理逻辑</w:t>
      </w:r>
    </w:p>
    <w:p w14:paraId="371C45CC">
      <w:pPr>
        <w:pStyle w:val="30"/>
        <w:bidi w:val="0"/>
      </w:pPr>
      <w:r>
        <w:t>处理结果：延迟问题已解决，设备数据接收及时率提升至99.8%</w:t>
      </w:r>
    </w:p>
    <w:p w14:paraId="2F81B8E5">
      <w:pPr>
        <w:pStyle w:val="32"/>
        <w:bidi w:val="0"/>
      </w:pPr>
      <w:bookmarkStart w:id="28" w:name="_Toc15920"/>
      <w:r>
        <w:t>问题二：运维人员排班规则初始配置不完整</w:t>
      </w:r>
      <w:bookmarkEnd w:id="28"/>
    </w:p>
    <w:p w14:paraId="072AE0A6">
      <w:pPr>
        <w:pStyle w:val="30"/>
        <w:bidi w:val="0"/>
        <w:rPr>
          <w:rFonts w:eastAsia="宋体"/>
        </w:rPr>
      </w:pPr>
      <w:r>
        <w:rPr>
          <w:rFonts w:eastAsia="宋体"/>
        </w:rPr>
        <w:t>原因分析：初期对排班业务理解不够深入，部分特殊场景未覆盖</w:t>
      </w:r>
    </w:p>
    <w:p w14:paraId="6D9FEB6B">
      <w:pPr>
        <w:pStyle w:val="30"/>
        <w:bidi w:val="0"/>
        <w:rPr>
          <w:rFonts w:eastAsia="宋体"/>
        </w:rPr>
      </w:pPr>
      <w:r>
        <w:rPr>
          <w:rFonts w:eastAsia="宋体"/>
        </w:rPr>
        <w:t>解决方案：与运维调度科深入沟通，补充排班冲突检测规则6条</w:t>
      </w:r>
    </w:p>
    <w:p w14:paraId="1065A92E">
      <w:pPr>
        <w:pStyle w:val="30"/>
        <w:bidi w:val="0"/>
        <w:rPr>
          <w:rFonts w:eastAsia="宋体"/>
        </w:rPr>
      </w:pPr>
      <w:r>
        <w:rPr>
          <w:rFonts w:eastAsia="宋体"/>
        </w:rPr>
        <w:t>处理结果：规则完善后，排班合规率从92%提升至99.4%</w:t>
      </w:r>
    </w:p>
    <w:p w14:paraId="6C1F0272">
      <w:pPr>
        <w:pStyle w:val="32"/>
        <w:bidi w:val="0"/>
      </w:pPr>
      <w:bookmarkStart w:id="29" w:name="_Toc3908"/>
      <w:r>
        <w:t>问题三：历史数据清洗规则迭代优化</w:t>
      </w:r>
      <w:bookmarkEnd w:id="29"/>
    </w:p>
    <w:p w14:paraId="36CA12AF">
      <w:pPr>
        <w:pStyle w:val="30"/>
        <w:bidi w:val="0"/>
        <w:rPr>
          <w:rFonts w:eastAsia="宋体"/>
        </w:rPr>
      </w:pPr>
      <w:r>
        <w:rPr>
          <w:rFonts w:eastAsia="宋体"/>
        </w:rPr>
        <w:t>原因分析：历史数据质量参差不齐，一次性覆盖所有异常场景困难</w:t>
      </w:r>
    </w:p>
    <w:p w14:paraId="25601D22">
      <w:pPr>
        <w:pStyle w:val="30"/>
        <w:bidi w:val="0"/>
        <w:rPr>
          <w:rFonts w:eastAsia="宋体"/>
        </w:rPr>
      </w:pPr>
      <w:r>
        <w:rPr>
          <w:rFonts w:eastAsia="宋体"/>
        </w:rPr>
        <w:t>解决方案：采用迭代式清洗策略，先处理高频异常，再逐步覆盖边缘场景</w:t>
      </w:r>
    </w:p>
    <w:p w14:paraId="5B3E97A5">
      <w:pPr>
        <w:pStyle w:val="30"/>
        <w:bidi w:val="0"/>
        <w:rPr>
          <w:rFonts w:eastAsia="宋体"/>
        </w:rPr>
      </w:pPr>
      <w:r>
        <w:rPr>
          <w:rFonts w:eastAsia="宋体"/>
        </w:rPr>
        <w:t>-处理结果：经过3轮迭代，历史数据清洗覆盖率达到100%</w:t>
      </w:r>
    </w:p>
    <w:p w14:paraId="41339E94">
      <w:pPr>
        <w:pStyle w:val="31"/>
        <w:bidi w:val="0"/>
      </w:pPr>
      <w:bookmarkStart w:id="30" w:name="_Toc2058"/>
      <w:bookmarkStart w:id="31" w:name="heading_13"/>
      <w:r>
        <w:t>经验总结</w:t>
      </w:r>
      <w:bookmarkEnd w:id="30"/>
      <w:bookmarkEnd w:id="31"/>
    </w:p>
    <w:p w14:paraId="68886528">
      <w:pPr>
        <w:pStyle w:val="40"/>
        <w:numPr>
          <w:ilvl w:val="0"/>
          <w:numId w:val="3"/>
        </w:numPr>
        <w:bidi w:val="0"/>
        <w:ind w:left="425" w:leftChars="0" w:hanging="425" w:firstLineChars="0"/>
      </w:pPr>
      <w:r>
        <w:t>前期调研深度决定实施效率：充分了解客户系统环境和业务规则，可显著减少后期返工</w:t>
      </w:r>
    </w:p>
    <w:p w14:paraId="5C69871E">
      <w:pPr>
        <w:pStyle w:val="40"/>
        <w:numPr>
          <w:ilvl w:val="0"/>
          <w:numId w:val="3"/>
        </w:numPr>
        <w:bidi w:val="0"/>
        <w:ind w:left="425" w:leftChars="0" w:hanging="425" w:firstLineChars="0"/>
      </w:pPr>
      <w:r>
        <w:t>数据清洗需迭代推进：历史数据质量复杂，采用分批次、分优先级策略更为有效</w:t>
      </w:r>
    </w:p>
    <w:p w14:paraId="55B28311">
      <w:pPr>
        <w:pStyle w:val="40"/>
        <w:numPr>
          <w:ilvl w:val="0"/>
          <w:numId w:val="3"/>
        </w:numPr>
        <w:bidi w:val="0"/>
        <w:ind w:left="425" w:leftChars="0" w:hanging="425" w:firstLineChars="0"/>
      </w:pPr>
      <w:r>
        <w:t>与客户业务部门紧密协作是关键：运维服务计划、排班等业务规则复杂，需要业务专家深度参与</w:t>
      </w:r>
    </w:p>
    <w:p w14:paraId="31A57E3C">
      <w:pPr>
        <w:pStyle w:val="40"/>
        <w:numPr>
          <w:ilvl w:val="0"/>
          <w:numId w:val="3"/>
        </w:numPr>
        <w:bidi w:val="0"/>
        <w:ind w:left="425" w:leftChars="0" w:hanging="425" w:firstLineChars="0"/>
      </w:pPr>
      <w:r>
        <w:t>监控体系先行：在清洗规则上线前部署监控看板，可及时发现并解决问题</w:t>
      </w:r>
    </w:p>
    <w:p w14:paraId="2672A98B">
      <w:pPr>
        <w:pStyle w:val="29"/>
        <w:bidi w:val="0"/>
      </w:pPr>
      <w:bookmarkStart w:id="32" w:name="_Toc12963"/>
      <w:bookmarkStart w:id="33" w:name="heading_14"/>
      <w:r>
        <w:t>下一阶段详细计划</w:t>
      </w:r>
      <w:bookmarkEnd w:id="32"/>
      <w:bookmarkEnd w:id="33"/>
    </w:p>
    <w:p w14:paraId="2DF7B7A3">
      <w:pPr>
        <w:pStyle w:val="30"/>
        <w:bidi w:val="0"/>
      </w:pPr>
      <w:r>
        <w:t>本阶段已覆盖项目主要交付内容，后续工作按合同要求继续推进。</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155"/>
        <w:gridCol w:w="959"/>
        <w:gridCol w:w="1834"/>
        <w:gridCol w:w="3353"/>
      </w:tblGrid>
      <w:tr w14:paraId="39697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2155"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681708E">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工作内容</w:t>
            </w:r>
          </w:p>
        </w:tc>
        <w:tc>
          <w:tcPr>
            <w:tcW w:w="959"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DD82CEA">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时间安排</w:t>
            </w:r>
          </w:p>
        </w:tc>
        <w:tc>
          <w:tcPr>
            <w:tcW w:w="183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A6A30D7">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责任岗位</w:t>
            </w:r>
          </w:p>
        </w:tc>
        <w:tc>
          <w:tcPr>
            <w:tcW w:w="3353"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A22E1BA">
            <w:pPr>
              <w:keepNext/>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预期成果</w:t>
            </w:r>
          </w:p>
        </w:tc>
      </w:tr>
      <w:tr w14:paraId="7F456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20A6C54">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持续受理日常服务请求</w:t>
            </w:r>
          </w:p>
        </w:tc>
        <w:tc>
          <w:tcPr>
            <w:tcW w:w="9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CED311">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w:t>
            </w:r>
            <w:r>
              <w:rPr>
                <w:rFonts w:hint="eastAsia" w:eastAsia="等线" w:cs="Arial"/>
                <w:sz w:val="22"/>
                <w:lang w:val="en-US" w:eastAsia="zh-CN"/>
              </w:rPr>
              <w:t>7</w:t>
            </w:r>
            <w:r>
              <w:rPr>
                <w:rFonts w:ascii="Arial" w:hAnsi="Arial" w:eastAsia="等线" w:cs="Arial"/>
                <w:sz w:val="22"/>
              </w:rPr>
              <w:t>-</w:t>
            </w:r>
            <w:r>
              <w:rPr>
                <w:rFonts w:hint="eastAsia" w:eastAsia="等线" w:cs="Arial"/>
                <w:sz w:val="22"/>
                <w:lang w:val="en-US" w:eastAsia="zh-CN"/>
              </w:rPr>
              <w:t>12</w:t>
            </w:r>
            <w:r>
              <w:rPr>
                <w:rFonts w:ascii="Arial" w:hAnsi="Arial" w:eastAsia="等线" w:cs="Arial"/>
                <w:sz w:val="22"/>
              </w:rPr>
              <w:t>月</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47F1688">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服务台专员</w:t>
            </w:r>
          </w:p>
        </w:tc>
        <w:tc>
          <w:tcPr>
            <w:tcW w:w="335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9F63F6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保持SLA达标，工单关闭率≥98%</w:t>
            </w:r>
          </w:p>
        </w:tc>
      </w:tr>
      <w:tr w14:paraId="1C23F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02B4E4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每月系统体检</w:t>
            </w:r>
          </w:p>
        </w:tc>
        <w:tc>
          <w:tcPr>
            <w:tcW w:w="9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206A083">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每月底</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1804BF0">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运维实施工程师</w:t>
            </w:r>
          </w:p>
        </w:tc>
        <w:tc>
          <w:tcPr>
            <w:tcW w:w="335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AEA4E3A">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月度体检报告，跟踪健康趋势</w:t>
            </w:r>
          </w:p>
        </w:tc>
      </w:tr>
      <w:tr w14:paraId="425C73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EC56FB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数据质量持续监控</w:t>
            </w:r>
          </w:p>
        </w:tc>
        <w:tc>
          <w:tcPr>
            <w:tcW w:w="9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0A5C553">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每日</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7051B75">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运维实施工程师</w:t>
            </w:r>
          </w:p>
        </w:tc>
        <w:tc>
          <w:tcPr>
            <w:tcW w:w="335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B147AF">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数据质量日报，异常及时处置</w:t>
            </w:r>
          </w:p>
        </w:tc>
      </w:tr>
      <w:tr w14:paraId="17E8E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594FB25">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季度服务质量评审</w:t>
            </w:r>
          </w:p>
        </w:tc>
        <w:tc>
          <w:tcPr>
            <w:tcW w:w="9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D267D9E">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每季度末</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17F5F2">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质量管理员</w:t>
            </w:r>
          </w:p>
        </w:tc>
        <w:tc>
          <w:tcPr>
            <w:tcW w:w="335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15A7A02">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季度服务质量总结报告</w:t>
            </w:r>
          </w:p>
        </w:tc>
      </w:tr>
      <w:tr w14:paraId="23119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0C11E2D">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知识库持续建设</w:t>
            </w:r>
          </w:p>
        </w:tc>
        <w:tc>
          <w:tcPr>
            <w:tcW w:w="9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659FD42">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持续</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3D60405">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运维实施工程师</w:t>
            </w:r>
          </w:p>
        </w:tc>
        <w:tc>
          <w:tcPr>
            <w:tcW w:w="335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8709114">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知识库条目累计≥50条</w:t>
            </w:r>
          </w:p>
        </w:tc>
      </w:tr>
      <w:tr w14:paraId="3A9B1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BBE7ABB">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年度服务总结</w:t>
            </w:r>
          </w:p>
        </w:tc>
        <w:tc>
          <w:tcPr>
            <w:tcW w:w="959"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82CBC4B">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w:t>
            </w:r>
            <w:r>
              <w:rPr>
                <w:rFonts w:hint="eastAsia" w:eastAsia="等线" w:cs="Arial"/>
                <w:sz w:val="22"/>
                <w:lang w:val="en-US" w:eastAsia="zh-CN"/>
              </w:rPr>
              <w:t>12</w:t>
            </w:r>
            <w:r>
              <w:rPr>
                <w:rFonts w:ascii="Arial" w:hAnsi="Arial" w:eastAsia="等线" w:cs="Arial"/>
                <w:sz w:val="22"/>
              </w:rPr>
              <w:t>月</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70DBB5D">
            <w:pPr>
              <w:keepNext/>
              <w:snapToGrid w:val="0"/>
              <w:spacing w:before="120" w:after="120" w:line="240" w:lineRule="auto"/>
              <w:ind w:left="0" w:leftChars="0" w:right="0" w:rightChars="0" w:firstLine="0" w:firstLineChars="0"/>
              <w:jc w:val="left"/>
              <w:rPr>
                <w:rFonts w:ascii="Arial" w:eastAsia="等线"/>
                <w:sz w:val="22"/>
              </w:rPr>
            </w:pPr>
            <w:r>
              <w:rPr>
                <w:rFonts w:hint="eastAsia" w:ascii="Arial" w:eastAsia="等线" w:cs="Arial"/>
                <w:sz w:val="22"/>
                <w:lang w:val="en-US" w:eastAsia="zh-CN"/>
              </w:rPr>
              <w:t>运维项目经理</w:t>
            </w:r>
          </w:p>
        </w:tc>
        <w:tc>
          <w:tcPr>
            <w:tcW w:w="3353"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52D8E36">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年度服务总结报告，梳理全年工作成果与改进方向</w:t>
            </w:r>
          </w:p>
        </w:tc>
      </w:tr>
      <w:tr w14:paraId="56B0D4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2155"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667E10A4">
            <w:pPr>
              <w:keepNext/>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配合客户完成验收</w:t>
            </w:r>
          </w:p>
        </w:tc>
        <w:tc>
          <w:tcPr>
            <w:tcW w:w="959"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0991FEB3">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2026年</w:t>
            </w:r>
            <w:r>
              <w:rPr>
                <w:rFonts w:hint="eastAsia" w:eastAsia="等线" w:cs="Arial"/>
                <w:sz w:val="22"/>
                <w:lang w:val="en-US" w:eastAsia="zh-CN"/>
              </w:rPr>
              <w:t>12</w:t>
            </w:r>
            <w:bookmarkStart w:id="42" w:name="_GoBack"/>
            <w:bookmarkEnd w:id="42"/>
            <w:r>
              <w:rPr>
                <w:rFonts w:ascii="Arial" w:hAnsi="Arial" w:eastAsia="等线" w:cs="Arial"/>
                <w:sz w:val="22"/>
              </w:rPr>
              <w:t>月</w:t>
            </w:r>
          </w:p>
        </w:tc>
        <w:tc>
          <w:tcPr>
            <w:tcW w:w="183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774B00C">
            <w:pPr>
              <w:keepNext/>
              <w:snapToGrid w:val="0"/>
              <w:spacing w:before="120" w:after="120" w:line="240" w:lineRule="auto"/>
              <w:ind w:left="0" w:leftChars="0" w:right="0" w:rightChars="0" w:firstLine="0" w:firstLineChars="0"/>
              <w:jc w:val="left"/>
              <w:rPr>
                <w:rFonts w:ascii="Arial" w:eastAsia="等线"/>
                <w:sz w:val="22"/>
              </w:rPr>
            </w:pPr>
            <w:r>
              <w:rPr>
                <w:rFonts w:hint="eastAsia" w:ascii="Arial" w:eastAsia="等线" w:cs="Arial"/>
                <w:sz w:val="22"/>
                <w:lang w:val="en-US" w:eastAsia="zh-CN"/>
              </w:rPr>
              <w:t>运维项目经理</w:t>
            </w:r>
          </w:p>
        </w:tc>
        <w:tc>
          <w:tcPr>
            <w:tcW w:w="3353"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02C0585">
            <w:pPr>
              <w:keepNext/>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协助整理验收资料，签署服务验收单</w:t>
            </w:r>
          </w:p>
        </w:tc>
      </w:tr>
    </w:tbl>
    <w:p w14:paraId="7AC9FDA8">
      <w:pPr>
        <w:pStyle w:val="29"/>
        <w:bidi w:val="0"/>
      </w:pPr>
      <w:bookmarkStart w:id="34" w:name="heading_15"/>
      <w:bookmarkStart w:id="35" w:name="_Toc10567"/>
      <w:r>
        <w:t>当前主要风险评估与建议</w:t>
      </w:r>
      <w:bookmarkEnd w:id="34"/>
      <w:bookmarkEnd w:id="35"/>
    </w:p>
    <w:tbl>
      <w:tblPr>
        <w:tblStyle w:val="20"/>
        <w:tblW w:w="985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140"/>
        <w:gridCol w:w="2117"/>
        <w:gridCol w:w="734"/>
        <w:gridCol w:w="3186"/>
        <w:gridCol w:w="2680"/>
      </w:tblGrid>
      <w:tr w14:paraId="6021C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0" w:type="auto"/>
            <w:tcBorders>
              <w:top w:val="single" w:color="auto" w:sz="12" w:space="0"/>
              <w:left w:val="single" w:color="auto" w:sz="12" w:space="0"/>
              <w:bottom w:val="nil"/>
              <w:right w:val="nil"/>
            </w:tcBorders>
            <w:tcMar>
              <w:top w:w="60" w:type="dxa"/>
              <w:left w:w="120" w:type="dxa"/>
              <w:bottom w:w="30" w:type="dxa"/>
              <w:right w:w="120" w:type="dxa"/>
            </w:tcMar>
            <w:vAlign w:val="center"/>
          </w:tcPr>
          <w:p w14:paraId="0821333A">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风险类型</w:t>
            </w:r>
          </w:p>
        </w:tc>
        <w:tc>
          <w:tcPr>
            <w:tcW w:w="0" w:type="auto"/>
            <w:tcBorders>
              <w:top w:val="single" w:color="auto" w:sz="12" w:space="0"/>
              <w:left w:val="single" w:color="auto" w:sz="4" w:space="0"/>
              <w:bottom w:val="nil"/>
              <w:right w:val="nil"/>
            </w:tcBorders>
            <w:tcMar>
              <w:top w:w="60" w:type="dxa"/>
              <w:left w:w="120" w:type="dxa"/>
              <w:bottom w:w="30" w:type="dxa"/>
              <w:right w:w="120" w:type="dxa"/>
            </w:tcMar>
            <w:vAlign w:val="center"/>
          </w:tcPr>
          <w:p w14:paraId="3468D0D7">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风险描述</w:t>
            </w:r>
          </w:p>
        </w:tc>
        <w:tc>
          <w:tcPr>
            <w:tcW w:w="73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510EBA3">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影响程度</w:t>
            </w:r>
          </w:p>
        </w:tc>
        <w:tc>
          <w:tcPr>
            <w:tcW w:w="3186"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6F444C9">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应对措施</w:t>
            </w:r>
          </w:p>
        </w:tc>
        <w:tc>
          <w:tcPr>
            <w:tcW w:w="2680"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1CFF07E">
            <w:pPr>
              <w:snapToGrid w:val="0"/>
              <w:spacing w:before="120" w:after="120" w:line="240" w:lineRule="auto"/>
              <w:ind w:left="0" w:leftChars="0" w:right="0" w:rightChars="0" w:firstLine="0" w:firstLineChars="0"/>
              <w:jc w:val="center"/>
              <w:rPr>
                <w:rFonts w:ascii="Arial" w:eastAsia="等线"/>
                <w:b/>
                <w:sz w:val="22"/>
              </w:rPr>
            </w:pPr>
            <w:r>
              <w:rPr>
                <w:rFonts w:ascii="Arial" w:hAnsi="Arial" w:eastAsia="等线" w:cs="Arial"/>
                <w:b/>
                <w:sz w:val="22"/>
              </w:rPr>
              <w:t>建议</w:t>
            </w:r>
          </w:p>
        </w:tc>
      </w:tr>
      <w:tr w14:paraId="126C6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291932F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人员变动风险</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7F9B700B">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项目核心人员变动可能影响服务连续性</w:t>
            </w:r>
          </w:p>
        </w:tc>
        <w:tc>
          <w:tcPr>
            <w:tcW w:w="7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79A941">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w:t>
            </w:r>
          </w:p>
        </w:tc>
        <w:tc>
          <w:tcPr>
            <w:tcW w:w="318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13E8796">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设置AB角，完善工作交接机制，留存完整工作文档</w:t>
            </w:r>
          </w:p>
        </w:tc>
        <w:tc>
          <w:tcPr>
            <w:tcW w:w="268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B4B064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建议甲方指定对接人，确保人员变动的平稳过渡</w:t>
            </w:r>
          </w:p>
        </w:tc>
      </w:tr>
      <w:tr w14:paraId="503116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3E4896B9">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数据量增长风险</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608AFA7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业务增长导致数据量增加，可能影响清洗效率</w:t>
            </w:r>
          </w:p>
        </w:tc>
        <w:tc>
          <w:tcPr>
            <w:tcW w:w="7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E6C16A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低</w:t>
            </w:r>
          </w:p>
        </w:tc>
        <w:tc>
          <w:tcPr>
            <w:tcW w:w="318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E38FF45">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定期评估系统性能，必要时进行服务器扩容和算法优化</w:t>
            </w:r>
          </w:p>
        </w:tc>
        <w:tc>
          <w:tcPr>
            <w:tcW w:w="268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1139460">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建议甲方配合提供数据增长预测，便于提前规划</w:t>
            </w:r>
          </w:p>
        </w:tc>
      </w:tr>
      <w:tr w14:paraId="2392E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0" w:type="auto"/>
            <w:tcBorders>
              <w:top w:val="single" w:color="auto" w:sz="4" w:space="0"/>
              <w:left w:val="single" w:color="auto" w:sz="12" w:space="0"/>
              <w:bottom w:val="nil"/>
              <w:right w:val="nil"/>
            </w:tcBorders>
            <w:tcMar>
              <w:top w:w="60" w:type="dxa"/>
              <w:left w:w="120" w:type="dxa"/>
              <w:bottom w:w="30" w:type="dxa"/>
              <w:right w:w="120" w:type="dxa"/>
            </w:tcMar>
            <w:vAlign w:val="center"/>
          </w:tcPr>
          <w:p w14:paraId="567CE65E">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业务规则变更</w:t>
            </w:r>
          </w:p>
        </w:tc>
        <w:tc>
          <w:tcPr>
            <w:tcW w:w="0" w:type="auto"/>
            <w:tcBorders>
              <w:top w:val="single" w:color="auto" w:sz="4" w:space="0"/>
              <w:left w:val="single" w:color="auto" w:sz="4" w:space="0"/>
              <w:bottom w:val="nil"/>
              <w:right w:val="nil"/>
            </w:tcBorders>
            <w:tcMar>
              <w:top w:w="60" w:type="dxa"/>
              <w:left w:w="120" w:type="dxa"/>
              <w:bottom w:w="30" w:type="dxa"/>
              <w:right w:w="120" w:type="dxa"/>
            </w:tcMar>
            <w:vAlign w:val="center"/>
          </w:tcPr>
          <w:p w14:paraId="351F471A">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运维服务业务规则变化可能导致清洗规则失效</w:t>
            </w:r>
          </w:p>
        </w:tc>
        <w:tc>
          <w:tcPr>
            <w:tcW w:w="7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ADAFD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w:t>
            </w:r>
          </w:p>
        </w:tc>
        <w:tc>
          <w:tcPr>
            <w:tcW w:w="3186"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71B791D">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建立规则变更管理流程，及时响应业务调整并更新规则</w:t>
            </w:r>
          </w:p>
        </w:tc>
        <w:tc>
          <w:tcPr>
            <w:tcW w:w="268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DB2936B">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建议甲方业务变更时同步通知项目组，预留调整时间</w:t>
            </w:r>
          </w:p>
        </w:tc>
      </w:tr>
      <w:tr w14:paraId="593B5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14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12D96D0">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设备老化风险</w:t>
            </w:r>
          </w:p>
        </w:tc>
        <w:tc>
          <w:tcPr>
            <w:tcW w:w="211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39F3167">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现有设备使用年限较长，存在故障隐患</w:t>
            </w:r>
          </w:p>
        </w:tc>
        <w:tc>
          <w:tcPr>
            <w:tcW w:w="73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E6C8942">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中</w:t>
            </w:r>
          </w:p>
        </w:tc>
        <w:tc>
          <w:tcPr>
            <w:tcW w:w="3186"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643502DC">
            <w:pPr>
              <w:snapToGrid w:val="0"/>
              <w:spacing w:before="120" w:after="120" w:line="240" w:lineRule="auto"/>
              <w:ind w:left="0" w:leftChars="0" w:right="0" w:rightChars="0" w:firstLine="0" w:firstLineChars="0"/>
              <w:jc w:val="center"/>
              <w:rPr>
                <w:rFonts w:ascii="Arial" w:eastAsia="等线"/>
                <w:sz w:val="22"/>
              </w:rPr>
            </w:pPr>
            <w:r>
              <w:rPr>
                <w:rFonts w:ascii="Arial" w:hAnsi="Arial" w:eastAsia="等线" w:cs="Arial"/>
                <w:sz w:val="22"/>
              </w:rPr>
              <w:t>加强设备巡检频次，建立备件库存，制定应急处置方案</w:t>
            </w:r>
          </w:p>
        </w:tc>
        <w:tc>
          <w:tcPr>
            <w:tcW w:w="2680"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D7E8625">
            <w:pPr>
              <w:snapToGrid w:val="0"/>
              <w:spacing w:before="120" w:after="120" w:line="240" w:lineRule="auto"/>
              <w:ind w:left="0" w:leftChars="0" w:right="0" w:rightChars="0" w:firstLine="0" w:firstLineChars="0"/>
              <w:jc w:val="left"/>
              <w:rPr>
                <w:rFonts w:ascii="Arial" w:eastAsia="等线"/>
                <w:sz w:val="22"/>
              </w:rPr>
            </w:pPr>
            <w:r>
              <w:rPr>
                <w:rFonts w:ascii="Arial" w:hAnsi="Arial" w:eastAsia="等线" w:cs="Arial"/>
                <w:sz w:val="22"/>
              </w:rPr>
              <w:t>建议甲方评估设备更新计划，降低故障停机风险</w:t>
            </w:r>
          </w:p>
        </w:tc>
      </w:tr>
    </w:tbl>
    <w:p w14:paraId="47DFE52E">
      <w:pPr>
        <w:pStyle w:val="29"/>
        <w:bidi w:val="0"/>
      </w:pPr>
      <w:bookmarkStart w:id="36" w:name="_Toc644"/>
      <w:bookmarkStart w:id="37" w:name="heading_16"/>
      <w:r>
        <w:t>结论与提请决策事项</w:t>
      </w:r>
      <w:bookmarkEnd w:id="36"/>
      <w:bookmarkEnd w:id="37"/>
    </w:p>
    <w:p w14:paraId="568A5863">
      <w:pPr>
        <w:pStyle w:val="31"/>
        <w:bidi w:val="0"/>
      </w:pPr>
      <w:bookmarkStart w:id="38" w:name="heading_17"/>
      <w:bookmarkStart w:id="39" w:name="_Toc7684"/>
      <w:r>
        <w:t>结论</w:t>
      </w:r>
      <w:bookmarkEnd w:id="38"/>
      <w:bookmarkEnd w:id="39"/>
    </w:p>
    <w:p w14:paraId="5D212FBF">
      <w:pPr>
        <w:pStyle w:val="30"/>
        <w:bidi w:val="0"/>
      </w:pPr>
      <w:r>
        <w:t>截至本报告期末（2026年6月），银川输油气分公司2026年度桌面及信息网络综合运维技术服务项目各项工作按计划顺利推进，具体成果如下：</w:t>
      </w:r>
    </w:p>
    <w:p w14:paraId="698C34B8">
      <w:pPr>
        <w:pStyle w:val="40"/>
        <w:numPr>
          <w:ilvl w:val="0"/>
          <w:numId w:val="4"/>
        </w:numPr>
        <w:bidi w:val="0"/>
        <w:ind w:left="425" w:leftChars="0" w:hanging="425" w:firstLineChars="0"/>
      </w:pPr>
      <w:r>
        <w:t xml:space="preserve"> 服务部署与启动：已完成项目启动、现状调研、监控平台部署等工作，建立了高效的沟通与协作机制，为项目后续推进奠定坚实基础。</w:t>
      </w:r>
    </w:p>
    <w:p w14:paraId="6CF94894">
      <w:pPr>
        <w:pStyle w:val="40"/>
        <w:numPr>
          <w:ilvl w:val="0"/>
          <w:numId w:val="4"/>
        </w:numPr>
        <w:bidi w:val="0"/>
        <w:ind w:left="425" w:leftChars="0" w:hanging="425" w:firstLineChars="0"/>
      </w:pPr>
      <w:r>
        <w:t xml:space="preserve"> 数据清洗专项：已完成七大数据域清洗规则开发、测试与上线，完成2026年1-6月历史数据全量清洗，数据质量KPI全面达标，数据准确性和完整性得到显著提升。</w:t>
      </w:r>
    </w:p>
    <w:p w14:paraId="4D031394">
      <w:pPr>
        <w:pStyle w:val="40"/>
        <w:numPr>
          <w:ilvl w:val="0"/>
          <w:numId w:val="4"/>
        </w:numPr>
        <w:bidi w:val="0"/>
        <w:ind w:left="425" w:leftChars="0" w:hanging="425" w:firstLineChars="0"/>
      </w:pPr>
      <w:r>
        <w:t xml:space="preserve"> 日常响应：累计处理工单68个，工单关闭率98.5%，平均响应时间14分钟，平均解决时间</w:t>
      </w:r>
      <w:r>
        <w:rPr>
          <w:rFonts w:hint="eastAsia"/>
          <w:lang w:val="en-US" w:eastAsia="zh-CN"/>
        </w:rPr>
        <w:t>和客户满意度</w:t>
      </w:r>
      <w:r>
        <w:t>，均超额完成SLA要求。</w:t>
      </w:r>
    </w:p>
    <w:p w14:paraId="17B17B98">
      <w:pPr>
        <w:pStyle w:val="40"/>
        <w:numPr>
          <w:ilvl w:val="0"/>
          <w:numId w:val="4"/>
        </w:numPr>
        <w:bidi w:val="0"/>
        <w:ind w:left="425" w:leftChars="0" w:hanging="425" w:firstLineChars="0"/>
      </w:pPr>
      <w:r>
        <w:t xml:space="preserve"> 系统优化与培训：完成系统性能优化及客户培训，知识库建设稳步推进，有效提升了系统运行效率和客户团队的操作能力。</w:t>
      </w:r>
    </w:p>
    <w:p w14:paraId="741894C7">
      <w:pPr>
        <w:pStyle w:val="30"/>
        <w:bidi w:val="0"/>
      </w:pPr>
      <w:r>
        <w:t>综上，项目整体进展符合预期，各项核心目标均已达成，具备进入下一阶段（常态化运行与监控、年度总结与验收）的全部条件。</w:t>
      </w:r>
    </w:p>
    <w:p w14:paraId="5C992E59">
      <w:pPr>
        <w:pStyle w:val="31"/>
        <w:bidi w:val="0"/>
      </w:pPr>
      <w:bookmarkStart w:id="40" w:name="_Toc31181"/>
      <w:bookmarkStart w:id="41" w:name="heading_18"/>
      <w:r>
        <w:t>提请决策事项</w:t>
      </w:r>
      <w:bookmarkEnd w:id="40"/>
      <w:bookmarkEnd w:id="41"/>
    </w:p>
    <w:p w14:paraId="2980750D">
      <w:pPr>
        <w:pStyle w:val="40"/>
        <w:numPr>
          <w:ilvl w:val="0"/>
          <w:numId w:val="5"/>
        </w:numPr>
        <w:bidi w:val="0"/>
        <w:ind w:left="425" w:leftChars="0" w:hanging="425" w:firstLineChars="0"/>
      </w:pPr>
      <w:r>
        <w:t xml:space="preserve"> 确认本阶段工作成果：请客户方审阅本报告，确认本阶段（2026年1月-6月）工作成果满足合同及《总体交付方案》要求。</w:t>
      </w:r>
    </w:p>
    <w:p w14:paraId="6339D14F">
      <w:pPr>
        <w:pStyle w:val="40"/>
        <w:numPr>
          <w:ilvl w:val="0"/>
          <w:numId w:val="5"/>
        </w:numPr>
        <w:bidi w:val="0"/>
        <w:ind w:left="425" w:leftChars="0" w:hanging="425" w:firstLineChars="0"/>
      </w:pPr>
      <w:r>
        <w:t xml:space="preserve"> 确认下一阶段工作计划：请客户方确认后续工作安排，以便项目组按计划完成收尾及验收相关工作。</w:t>
      </w:r>
    </w:p>
    <w:p w14:paraId="03107382">
      <w:pPr>
        <w:pStyle w:val="40"/>
        <w:numPr>
          <w:ilvl w:val="0"/>
          <w:numId w:val="5"/>
        </w:numPr>
        <w:bidi w:val="0"/>
        <w:ind w:left="425" w:leftChars="0" w:hanging="425" w:firstLineChars="0"/>
      </w:pPr>
      <w:r>
        <w:t xml:space="preserve"> 配合风险应对：请客户方关注设备老化风险，建议客户内部评估设备更新计划，降低故障对业务的影响。</w:t>
      </w:r>
    </w:p>
    <w:p w14:paraId="4488F953">
      <w:pPr>
        <w:pStyle w:val="40"/>
        <w:numPr>
          <w:ilvl w:val="0"/>
          <w:numId w:val="5"/>
        </w:numPr>
        <w:bidi w:val="0"/>
        <w:ind w:left="425" w:leftChars="0" w:hanging="425" w:firstLineChars="0"/>
      </w:pPr>
      <w:r>
        <w:t xml:space="preserve"> 验收准备：请客户方提前指定验收对接人，明确验收流程和标准，便于2026年</w:t>
      </w:r>
      <w:r>
        <w:rPr>
          <w:rFonts w:hint="eastAsia"/>
          <w:lang w:val="en-US" w:eastAsia="zh-CN"/>
        </w:rPr>
        <w:t>12</w:t>
      </w:r>
      <w:r>
        <w:t>月顺利完成项目年度验收工作。</w:t>
      </w:r>
    </w:p>
    <w:p w14:paraId="463DFE89">
      <w:pPr>
        <w:pStyle w:val="30"/>
        <w:widowControl w:val="0"/>
        <w:ind w:firstLine="480"/>
        <w:rPr>
          <w:rFonts w:hint="eastAsia" w:eastAsia="宋体"/>
          <w:lang w:eastAsia="zh-CN"/>
        </w:rPr>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D3544">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1F181F"/>
    <w:multiLevelType w:val="singleLevel"/>
    <w:tmpl w:val="861F181F"/>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90328215"/>
    <w:multiLevelType w:val="singleLevel"/>
    <w:tmpl w:val="90328215"/>
    <w:lvl w:ilvl="0" w:tentative="0">
      <w:start w:val="1"/>
      <w:numFmt w:val="decimal"/>
      <w:lvlText w:val="%1."/>
      <w:lvlJc w:val="left"/>
      <w:pPr>
        <w:ind w:left="425" w:hanging="425"/>
      </w:pPr>
      <w:rPr>
        <w:rFonts w:hint="default"/>
      </w:rPr>
    </w:lvl>
  </w:abstractNum>
  <w:abstractNum w:abstractNumId="3">
    <w:nsid w:val="B0350E54"/>
    <w:multiLevelType w:val="singleLevel"/>
    <w:tmpl w:val="B0350E54"/>
    <w:lvl w:ilvl="0" w:tentative="0">
      <w:start w:val="1"/>
      <w:numFmt w:val="decimal"/>
      <w:lvlText w:val="%1."/>
      <w:lvlJc w:val="left"/>
      <w:pPr>
        <w:ind w:left="425" w:hanging="425"/>
      </w:pPr>
      <w:rPr>
        <w:rFonts w:hint="default"/>
      </w:rPr>
    </w:lvl>
  </w:abstractNum>
  <w:abstractNum w:abstractNumId="4">
    <w:nsid w:val="2C78DC45"/>
    <w:multiLevelType w:val="singleLevel"/>
    <w:tmpl w:val="2C78DC45"/>
    <w:lvl w:ilvl="0" w:tentative="0">
      <w:start w:val="1"/>
      <w:numFmt w:val="decimal"/>
      <w:lvlText w:val="%1."/>
      <w:lvlJc w:val="left"/>
      <w:pPr>
        <w:ind w:left="425" w:hanging="425"/>
      </w:pPr>
      <w:rPr>
        <w:rFonts w:hint="default"/>
      </w:rPr>
    </w:lvl>
  </w:abstractNum>
  <w:num w:numId="1">
    <w:abstractNumId w:val="1"/>
  </w:num>
  <w:num w:numId="2">
    <w:abstractNumId w:val="2"/>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C27E9B"/>
    <w:rsid w:val="09075A53"/>
    <w:rsid w:val="0FF24D67"/>
    <w:rsid w:val="123D0CDA"/>
    <w:rsid w:val="2943670E"/>
    <w:rsid w:val="33FF7A66"/>
    <w:rsid w:val="37321293"/>
    <w:rsid w:val="50B6316E"/>
    <w:rsid w:val="56156687"/>
    <w:rsid w:val="61E717EC"/>
    <w:rsid w:val="71834994"/>
    <w:rsid w:val="7483700E"/>
    <w:rsid w:val="76B40495"/>
    <w:rsid w:val="7A562387"/>
    <w:rsid w:val="7C5B649E"/>
    <w:rsid w:val="7CC27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qFormat/>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cs="宋体"/>
    </w:rPr>
  </w:style>
  <w:style w:type="paragraph" w:customStyle="1" w:styleId="29">
    <w:name w:val="柴_标题1"/>
    <w:basedOn w:val="2"/>
    <w:next w:val="30"/>
    <w:link w:val="39"/>
    <w:qFormat/>
    <w:uiPriority w:val="0"/>
    <w:pPr>
      <w:spacing w:before="100" w:after="90" w:line="360" w:lineRule="auto"/>
    </w:pPr>
    <w:rPr>
      <w:sz w:val="32"/>
    </w:rPr>
  </w:style>
  <w:style w:type="paragraph" w:customStyle="1" w:styleId="30">
    <w:name w:val="柴_正文"/>
    <w:basedOn w:val="12"/>
    <w:link w:val="43"/>
    <w:qFormat/>
    <w:uiPriority w:val="0"/>
    <w:pPr>
      <w:ind w:firstLine="470" w:firstLineChars="200"/>
    </w:pPr>
    <w:rPr>
      <w:rFonts w:eastAsia="宋体"/>
      <w:sz w:val="24"/>
      <w:lang w:eastAsia="zh-CN"/>
    </w:rPr>
  </w:style>
  <w:style w:type="paragraph" w:customStyle="1" w:styleId="31">
    <w:name w:val="柴_标题2"/>
    <w:basedOn w:val="3"/>
    <w:next w:val="30"/>
    <w:qFormat/>
    <w:uiPriority w:val="0"/>
    <w:pPr>
      <w:spacing w:line="360" w:lineRule="auto"/>
    </w:pPr>
    <w:rPr>
      <w:rFonts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cs="宋体"/>
      <w:spacing w:val="-2"/>
      <w:sz w:val="24"/>
      <w:szCs w:val="24"/>
    </w:rPr>
  </w:style>
  <w:style w:type="paragraph" w:customStyle="1" w:styleId="33">
    <w:name w:val="柴_目录"/>
    <w:basedOn w:val="1"/>
    <w:next w:val="12"/>
    <w:qFormat/>
    <w:uiPriority w:val="0"/>
    <w:pPr>
      <w:tabs>
        <w:tab w:val="right" w:leader="dot" w:pos="8442"/>
      </w:tabs>
    </w:pPr>
    <w:rPr>
      <w:rFonts w:eastAsia="Microsoft JhengHei"/>
      <w:sz w:val="24"/>
    </w:rPr>
  </w:style>
  <w:style w:type="paragraph" w:customStyle="1" w:styleId="34">
    <w:name w:val="WPSOffice手动目录 1"/>
    <w:qFormat/>
    <w:uiPriority w:val="0"/>
    <w:rPr>
      <w:rFonts w:ascii="Times New Roman" w:hAnsi="Times New Roman" w:eastAsia="宋体" w:cs="Times New Roman"/>
      <w:lang w:val="en-US" w:eastAsia="zh-CN" w:bidi="ar-SA"/>
    </w:rPr>
  </w:style>
  <w:style w:type="paragraph" w:customStyle="1" w:styleId="35">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6">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paragraph" w:customStyle="1" w:styleId="40">
    <w:name w:val="柴_正文_无缩进"/>
    <w:basedOn w:val="1"/>
    <w:qFormat/>
    <w:uiPriority w:val="0"/>
    <w:rPr>
      <w:sz w:val="24"/>
      <w:lang w:eastAsia="zh-CN"/>
    </w:rPr>
  </w:style>
  <w:style w:type="table" w:customStyle="1" w:styleId="41">
    <w:name w:val="Table Normal_1"/>
    <w:semiHidden/>
    <w:unhideWhenUsed/>
    <w:qFormat/>
    <w:uiPriority w:val="0"/>
    <w:tblPr>
      <w:tblCellMar>
        <w:top w:w="0" w:type="dxa"/>
        <w:left w:w="0" w:type="dxa"/>
        <w:bottom w:w="0" w:type="dxa"/>
        <w:right w:w="0" w:type="dxa"/>
      </w:tblCellMar>
    </w:tbl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1616</Words>
  <Characters>1901</Characters>
  <Lines>128</Lines>
  <Paragraphs>117</Paragraphs>
  <TotalTime>0</TotalTime>
  <ScaleCrop>false</ScaleCrop>
  <LinksUpToDate>false</LinksUpToDate>
  <CharactersWithSpaces>1992</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2026-08-24T06:15:26Z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