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A985CF">
      <w:pPr>
        <w:widowControl w:val="0"/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10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2-06</w:t>
      </w:r>
    </w:p>
    <w:p w14:paraId="28D969DA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1E5C5FD8">
      <w:pPr>
        <w:pStyle w:val="24"/>
        <w:widowControl w:val="0"/>
        <w:spacing w:after="1872"/>
        <w:rPr>
          <w:lang w:eastAsia="zh-CN"/>
        </w:rPr>
      </w:pPr>
      <w:bookmarkStart w:id="0" w:name="_Toc20834"/>
      <w:bookmarkStart w:id="1" w:name="_Toc18830"/>
      <w:r>
        <w:rPr>
          <w:lang w:eastAsia="zh-CN"/>
        </w:rPr>
        <w:t>西安泽玺信息科技有限公司</w:t>
      </w:r>
      <w:bookmarkEnd w:id="0"/>
      <w:bookmarkEnd w:id="1"/>
    </w:p>
    <w:p w14:paraId="0D45886B">
      <w:pPr>
        <w:pStyle w:val="25"/>
        <w:widowControl w:val="0"/>
        <w:spacing w:after="2808"/>
        <w:rPr>
          <w:rFonts w:hint="eastAsia"/>
          <w:sz w:val="44"/>
          <w:szCs w:val="44"/>
          <w:lang w:eastAsia="zh-CN"/>
        </w:rPr>
      </w:pPr>
      <w:bookmarkStart w:id="2" w:name="_Toc20245"/>
      <w:bookmarkStart w:id="3" w:name="_Toc22521"/>
      <w:r>
        <w:rPr>
          <w:rFonts w:hint="eastAsia"/>
          <w:sz w:val="44"/>
          <w:szCs w:val="44"/>
          <w:lang w:eastAsia="zh-CN"/>
        </w:rPr>
        <w:t>银川输油气分公司2026年度桌面及信息网络综合运维技术服务项目-</w:t>
      </w:r>
      <w:bookmarkEnd w:id="2"/>
      <w:r>
        <w:rPr>
          <w:rFonts w:hint="eastAsia"/>
          <w:sz w:val="44"/>
          <w:szCs w:val="44"/>
          <w:lang w:eastAsia="zh-CN"/>
        </w:rPr>
        <w:t>应急演练报告</w:t>
      </w:r>
      <w:bookmarkEnd w:id="3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4077"/>
      </w:tblGrid>
      <w:tr w14:paraId="2143A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2A95C651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fitText w:val="630" w:id="337737295"/>
                <w:lang w:val="en-US" w:eastAsia="zh-CN"/>
              </w:rPr>
              <w:t>丁嘉涛</w:t>
            </w:r>
          </w:p>
        </w:tc>
        <w:tc>
          <w:tcPr>
            <w:tcW w:w="4261" w:type="dxa"/>
          </w:tcPr>
          <w:p w14:paraId="2DE5A0A8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2026.6.8</w:t>
            </w:r>
          </w:p>
        </w:tc>
      </w:tr>
      <w:tr w14:paraId="739059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4448BD13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孙晓玲</w:t>
            </w:r>
          </w:p>
        </w:tc>
        <w:tc>
          <w:tcPr>
            <w:tcW w:w="4261" w:type="dxa"/>
          </w:tcPr>
          <w:p w14:paraId="259236DC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  <w:r>
              <w:rPr>
                <w:rFonts w:hint="eastAsia"/>
                <w:lang w:eastAsia="zh-CN"/>
              </w:rPr>
              <w:t>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2026.6.8</w:t>
            </w:r>
          </w:p>
        </w:tc>
      </w:tr>
      <w:tr w14:paraId="10E845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04407213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冯建东</w:t>
            </w:r>
          </w:p>
        </w:tc>
        <w:tc>
          <w:tcPr>
            <w:tcW w:w="4261" w:type="dxa"/>
          </w:tcPr>
          <w:p w14:paraId="33BA2EB1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2026.6.8</w:t>
            </w:r>
          </w:p>
        </w:tc>
      </w:tr>
    </w:tbl>
    <w:p w14:paraId="12D90A22">
      <w:pPr>
        <w:widowControl w:val="0"/>
      </w:pPr>
      <w:r>
        <w:br w:type="page"/>
      </w:r>
    </w:p>
    <w:p w14:paraId="3C76CDD0">
      <w:pPr>
        <w:widowControl w:val="0"/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29BC04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02637488">
            <w:pPr>
              <w:widowControl w:val="0"/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63DC7032">
            <w:pPr>
              <w:widowControl w:val="0"/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70C97557">
            <w:pPr>
              <w:widowControl w:val="0"/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0A5FFCF7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01FDB740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110B9446">
            <w:pPr>
              <w:widowControl w:val="0"/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0AF9D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573D973">
            <w:pPr>
              <w:widowControl w:val="0"/>
              <w:spacing w:before="173" w:line="267" w:lineRule="exact"/>
              <w:ind w:left="260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2026.6.8</w:t>
            </w:r>
          </w:p>
        </w:tc>
        <w:tc>
          <w:tcPr>
            <w:tcW w:w="919" w:type="dxa"/>
          </w:tcPr>
          <w:p w14:paraId="15EE6C1B">
            <w:pPr>
              <w:widowControl w:val="0"/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7F33F8C2">
            <w:pPr>
              <w:widowControl w:val="0"/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460EF4B8">
            <w:pPr>
              <w:spacing w:before="172" w:line="228" w:lineRule="auto"/>
              <w:ind w:left="313" w:leftChars="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丁嘉涛</w:t>
            </w:r>
          </w:p>
        </w:tc>
        <w:tc>
          <w:tcPr>
            <w:tcW w:w="1150" w:type="dxa"/>
          </w:tcPr>
          <w:p w14:paraId="3AFD547A">
            <w:pPr>
              <w:spacing w:before="172" w:line="228" w:lineRule="auto"/>
              <w:ind w:left="313" w:leftChars="0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792294AB">
            <w:pPr>
              <w:widowControl w:val="0"/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冯建东</w:t>
            </w:r>
          </w:p>
        </w:tc>
      </w:tr>
      <w:tr w14:paraId="12D269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2F19CE0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42BB4E9F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6D17EC81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4250F135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750D68DD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19C2D8EA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69D932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D0C97C9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034657F5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3B5E86B8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5EA89A4F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6138D056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174E1A49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346CE7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452D24D8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40A3BA34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0CEE5A92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6F88A388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69EC61BD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0496456C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7BC0B4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0BD88AB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11740CDE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6A66FB22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362D9E16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7962CB2E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6A7FD745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303B42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6FB28DFF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483D54DF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788016B7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24FB5694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544C8CD2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7EB94E34">
            <w:pPr>
              <w:pStyle w:val="27"/>
              <w:widowControl w:val="0"/>
              <w:rPr>
                <w:rFonts w:hint="eastAsia"/>
              </w:rPr>
            </w:pPr>
          </w:p>
        </w:tc>
      </w:tr>
    </w:tbl>
    <w:p w14:paraId="36A8D73E">
      <w:pPr>
        <w:widowControl w:val="0"/>
      </w:pPr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cs="宋体"/>
          <w:sz w:val="24"/>
          <w:szCs w:val="24"/>
        </w:rPr>
      </w:sdtEndPr>
      <w:sdtContent>
        <w:p w14:paraId="10A12026">
          <w:pPr>
            <w:widowControl w:val="0"/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 w:val="24"/>
              <w:szCs w:val="24"/>
            </w:rPr>
            <w:t>目录</w:t>
          </w:r>
        </w:p>
        <w:p w14:paraId="23B85ECB">
          <w:pPr>
            <w:widowControl w:val="0"/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</w:p>
        <w:p w14:paraId="7ABF98B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_Toc18830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lang w:eastAsia="zh-CN"/>
            </w:rPr>
            <w:t>西安泽玺信息科技有限公司</w:t>
          </w:r>
          <w:r>
            <w:tab/>
          </w:r>
          <w:r>
            <w:fldChar w:fldCharType="begin"/>
          </w:r>
          <w:r>
            <w:instrText xml:space="preserve"> PAGEREF _Toc18830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38A99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_Toc22521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eastAsia"/>
              <w:lang w:eastAsia="zh-CN"/>
            </w:rPr>
            <w:t>银川输油气分公司2026年度桌面及信息网络综合运维技术服务项目-应急演练报告</w:t>
          </w:r>
          <w:r>
            <w:tab/>
          </w:r>
          <w:r>
            <w:fldChar w:fldCharType="begin"/>
          </w:r>
          <w:r>
            <w:instrText xml:space="preserve"> PAGEREF _Toc22521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C556A5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_Toc4244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摘要</w:t>
          </w:r>
          <w:r>
            <w:tab/>
          </w:r>
          <w:r>
            <w:fldChar w:fldCharType="begin"/>
          </w:r>
          <w:r>
            <w:instrText xml:space="preserve"> PAGEREF _Toc4244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FE0508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_Toc18399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演练概况</w:t>
          </w:r>
          <w:r>
            <w:tab/>
          </w:r>
          <w:r>
            <w:fldChar w:fldCharType="begin"/>
          </w:r>
          <w:r>
            <w:instrText xml:space="preserve"> PAGEREF _Toc18399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1E5FAE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_Toc6295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编制依据</w:t>
          </w:r>
          <w:r>
            <w:tab/>
          </w:r>
          <w:r>
            <w:fldChar w:fldCharType="begin"/>
          </w:r>
          <w:r>
            <w:instrText xml:space="preserve"> PAGEREF _Toc6295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052DFF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_Toc13530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演练实施情况回顾</w:t>
          </w:r>
          <w:r>
            <w:tab/>
          </w:r>
          <w:r>
            <w:fldChar w:fldCharType="begin"/>
          </w:r>
          <w:r>
            <w:instrText xml:space="preserve"> PAGEREF _Toc13530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D6E03D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_Toc7741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阶段一：场景初始化与事件触发（14:00-14:05）</w:t>
          </w:r>
          <w:r>
            <w:tab/>
          </w:r>
          <w:r>
            <w:fldChar w:fldCharType="begin"/>
          </w:r>
          <w:r>
            <w:instrText xml:space="preserve"> PAGEREF _Toc7741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5B6C62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_Toc11069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t>阶段二：信息报告与应急启动（14:05-14:15）</w:t>
          </w:r>
          <w:r>
            <w:tab/>
          </w:r>
          <w:r>
            <w:fldChar w:fldCharType="begin"/>
          </w:r>
          <w:r>
            <w:instrText xml:space="preserve"> PAGEREF _Toc11069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080B4E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_Toc23988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t>阶段三：先期处置（14:15-14:30）</w:t>
          </w:r>
          <w:r>
            <w:tab/>
          </w:r>
          <w:r>
            <w:fldChar w:fldCharType="begin"/>
          </w:r>
          <w:r>
            <w:instrText xml:space="preserve"> PAGEREF _Toc23988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314939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_Toc23324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t>阶段四：技术研判与协同处置（14:30-15:25）</w:t>
          </w:r>
          <w:r>
            <w:tab/>
          </w:r>
          <w:r>
            <w:fldChar w:fldCharType="begin"/>
          </w:r>
          <w:r>
            <w:instrText xml:space="preserve"> PAGEREF _Toc23324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92BF39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_Toc238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4.5. </w:t>
          </w:r>
          <w:r>
            <w:t>阶段五：系统恢复与演练终止（15:25-15:30）</w:t>
          </w:r>
          <w:r>
            <w:tab/>
          </w:r>
          <w:r>
            <w:fldChar w:fldCharType="begin"/>
          </w:r>
          <w:r>
            <w:instrText xml:space="preserve"> PAGEREF _Toc238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6115D1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_Toc24583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4.6. </w:t>
          </w:r>
          <w:r>
            <w:t>阶段六：总结点评（16:00-16:30）</w:t>
          </w:r>
          <w:r>
            <w:tab/>
          </w:r>
          <w:r>
            <w:fldChar w:fldCharType="begin"/>
          </w:r>
          <w:r>
            <w:instrText xml:space="preserve"> PAGEREF _Toc24583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926E9C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_Toc4350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演练评估与分析</w:t>
          </w:r>
          <w:r>
            <w:tab/>
          </w:r>
          <w:r>
            <w:fldChar w:fldCharType="begin"/>
          </w:r>
          <w:r>
            <w:instrText xml:space="preserve"> PAGEREF _Toc4350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977E1B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_Toc4995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目标达成情况评估</w:t>
          </w:r>
          <w:r>
            <w:tab/>
          </w:r>
          <w:r>
            <w:fldChar w:fldCharType="begin"/>
          </w:r>
          <w:r>
            <w:instrText xml:space="preserve"> PAGEREF _Toc4995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B516FC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_Toc2856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关键环节能力评估</w:t>
          </w:r>
          <w:r>
            <w:tab/>
          </w:r>
          <w:r>
            <w:fldChar w:fldCharType="begin"/>
          </w:r>
          <w:r>
            <w:instrText xml:space="preserve"> PAGEREF _Toc2856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49277E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_Toc10314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问题与改进</w:t>
          </w:r>
          <w:r>
            <w:tab/>
          </w:r>
          <w:r>
            <w:fldChar w:fldCharType="begin"/>
          </w:r>
          <w:r>
            <w:instrText xml:space="preserve"> PAGEREF _Toc10314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96BC298">
          <w:pPr>
            <w:widowControl w:val="0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Cs w:val="24"/>
            </w:rPr>
            <w:fldChar w:fldCharType="end"/>
          </w:r>
        </w:p>
      </w:sdtContent>
    </w:sdt>
    <w:p w14:paraId="7B17A21E">
      <w:pPr>
        <w:widowControl w:val="0"/>
        <w:rPr>
          <w:rFonts w:eastAsia="Arial"/>
        </w:rPr>
      </w:pPr>
      <w:r>
        <w:rPr>
          <w:rFonts w:eastAsia="Arial"/>
        </w:rPr>
        <w:br w:type="page"/>
      </w:r>
    </w:p>
    <w:p w14:paraId="6E558F3D">
      <w:pPr>
        <w:pStyle w:val="28"/>
        <w:bidi w:val="0"/>
      </w:pPr>
      <w:bookmarkStart w:id="4" w:name="_Toc4244"/>
      <w:bookmarkStart w:id="5" w:name="heading_1"/>
      <w:r>
        <w:t>摘要</w:t>
      </w:r>
      <w:bookmarkEnd w:id="4"/>
      <w:bookmarkEnd w:id="5"/>
    </w:p>
    <w:p w14:paraId="53D85494">
      <w:pPr>
        <w:pStyle w:val="29"/>
        <w:bidi w:val="0"/>
      </w:pPr>
      <w:r>
        <w:t>本次演练于2026年6月8日按计划成功实施。演练模拟了桌面及信息网络系统监控接口服务中断的突发事件，全面检验了《项目应急预案》的可行性及各应急小组的协同作战能力。</w:t>
      </w:r>
    </w:p>
    <w:p w14:paraId="5B9E332F">
      <w:pPr>
        <w:pStyle w:val="29"/>
        <w:bidi w:val="0"/>
      </w:pPr>
      <w:r>
        <w:t>总体来看，演练组织有序、响应迅速、处置有效，基本达到了“检验预案、磨合机制、锻炼队伍、完善准备”的预设目标。演练同时暴露了监控策略、知识库建设、备件管理、交接流程等方面存在的4项具体问题，并提出相应改进建议。</w:t>
      </w:r>
    </w:p>
    <w:p w14:paraId="44D06A2D">
      <w:pPr>
        <w:pStyle w:val="29"/>
        <w:bidi w:val="0"/>
      </w:pPr>
      <w:r>
        <w:t>本报告建议批准所述改进项，并据此对应急预案进行针对性修订。</w:t>
      </w:r>
    </w:p>
    <w:p w14:paraId="5F46EAB5">
      <w:pPr>
        <w:spacing w:before="120" w:after="120" w:line="288" w:lineRule="auto"/>
        <w:ind w:left="0"/>
        <w:jc w:val="left"/>
      </w:pPr>
    </w:p>
    <w:p w14:paraId="389A694F">
      <w:pPr>
        <w:pStyle w:val="28"/>
        <w:bidi w:val="0"/>
      </w:pPr>
      <w:bookmarkStart w:id="6" w:name="heading_2"/>
      <w:bookmarkStart w:id="7" w:name="_Toc18399"/>
      <w:r>
        <w:t>演练概况</w:t>
      </w:r>
      <w:bookmarkEnd w:id="6"/>
      <w:bookmarkEnd w:id="7"/>
    </w:p>
    <w:p w14:paraId="490F3B01">
      <w:pPr>
        <w:pStyle w:val="29"/>
        <w:bidi w:val="0"/>
      </w:pPr>
      <w:r>
        <w:t>演练名称：桌面及信息网络系统监控接口服务故障应急演练</w:t>
      </w:r>
    </w:p>
    <w:p w14:paraId="14296D82">
      <w:pPr>
        <w:pStyle w:val="29"/>
        <w:bidi w:val="0"/>
      </w:pPr>
      <w:r>
        <w:t>演练时间：2026年6月8日 14:00 - 16:30</w:t>
      </w:r>
    </w:p>
    <w:p w14:paraId="1A1A9733">
      <w:pPr>
        <w:pStyle w:val="29"/>
        <w:bidi w:val="0"/>
      </w:pPr>
      <w:r>
        <w:t>演练地点：银川</w:t>
      </w:r>
      <w:r>
        <w:rPr>
          <w:rFonts w:hint="eastAsia"/>
          <w:lang w:val="en-US" w:eastAsia="zh-CN"/>
        </w:rPr>
        <w:t>市</w:t>
      </w:r>
      <w:bookmarkStart w:id="26" w:name="_GoBack"/>
      <w:bookmarkEnd w:id="26"/>
      <w:r>
        <w:t>运维中心机房 + 西安泽玺信息科技有限公司应急指挥室</w:t>
      </w:r>
    </w:p>
    <w:p w14:paraId="306532A6">
      <w:pPr>
        <w:pStyle w:val="29"/>
        <w:bidi w:val="0"/>
      </w:pPr>
      <w:r>
        <w:t>演练形式：实战综合演练（在测试环境进行，不影响生产系统）</w:t>
      </w:r>
    </w:p>
    <w:p w14:paraId="7BB24DFC">
      <w:pPr>
        <w:pStyle w:val="29"/>
        <w:bidi w:val="0"/>
      </w:pPr>
      <w:r>
        <w:t>演练级别：项目级（Ⅱ级响应）</w:t>
      </w:r>
    </w:p>
    <w:p w14:paraId="2417D8E1">
      <w:pPr>
        <w:pStyle w:val="29"/>
        <w:bidi w:val="0"/>
      </w:pPr>
      <w:r>
        <w:t>模拟事件：监控接口服务中断，导致设备运行状态数据无法正常接收</w:t>
      </w:r>
    </w:p>
    <w:p w14:paraId="199270F6">
      <w:pPr>
        <w:pStyle w:val="29"/>
        <w:bidi w:val="0"/>
      </w:pPr>
      <w:r>
        <w:t>总指挥：孙晓玲（管理者代表）</w:t>
      </w:r>
    </w:p>
    <w:p w14:paraId="1B936F63">
      <w:pPr>
        <w:pStyle w:val="29"/>
        <w:bidi w:val="0"/>
      </w:pPr>
      <w:r>
        <w:t>副总指挥：甲方项目经理</w:t>
      </w:r>
    </w:p>
    <w:p w14:paraId="7831FBF6">
      <w:pPr>
        <w:pStyle w:val="29"/>
        <w:bidi w:val="0"/>
      </w:pPr>
      <w:r>
        <w:t>参演人员：运维部、研发部、人力部、质量部、服务台、备件库、服务知识及甲方代表</w:t>
      </w:r>
    </w:p>
    <w:p w14:paraId="22B1887A">
      <w:pPr>
        <w:spacing w:before="120" w:after="120" w:line="288" w:lineRule="auto"/>
        <w:ind w:left="0"/>
        <w:jc w:val="left"/>
      </w:pPr>
    </w:p>
    <w:p w14:paraId="13248772">
      <w:pPr>
        <w:pStyle w:val="28"/>
        <w:bidi w:val="0"/>
      </w:pPr>
      <w:bookmarkStart w:id="8" w:name="heading_3"/>
      <w:bookmarkStart w:id="9" w:name="_Toc6295"/>
      <w:r>
        <w:t>编制依据</w:t>
      </w:r>
      <w:bookmarkEnd w:id="8"/>
      <w:bookmarkEnd w:id="9"/>
    </w:p>
    <w:p w14:paraId="01AC79EA">
      <w:pPr>
        <w:pStyle w:val="29"/>
        <w:bidi w:val="0"/>
      </w:pPr>
      <w:r>
        <w:t>1. 《银川输油气分公司2026年度桌面及信息网络综合运维技术服务项目-应急预案》</w:t>
      </w:r>
    </w:p>
    <w:p w14:paraId="72E73EB2">
      <w:pPr>
        <w:pStyle w:val="29"/>
        <w:bidi w:val="0"/>
      </w:pPr>
      <w:r>
        <w:t>2. 《银川输油气分公司2026年度桌面及信息网络综合运维技术服务项目-应急演练实施方案》</w:t>
      </w:r>
    </w:p>
    <w:p w14:paraId="25062DD0">
      <w:pPr>
        <w:pStyle w:val="29"/>
        <w:bidi w:val="0"/>
      </w:pPr>
      <w:r>
        <w:t>3. 《银川输油气分公司2026年度桌面及信息网络综合运维技术服务项目-应急演练实施计划》（文件编号：ITSS-10-02-04）</w:t>
      </w:r>
    </w:p>
    <w:p w14:paraId="6103E985">
      <w:pPr>
        <w:pStyle w:val="29"/>
        <w:bidi w:val="0"/>
      </w:pPr>
      <w:r>
        <w:t>4. 《银川输油气分公司2026年度桌面及信息网络综合运维技术服务项目-应急演练记录》</w:t>
      </w:r>
    </w:p>
    <w:p w14:paraId="41DE8A0C">
      <w:pPr>
        <w:spacing w:before="120" w:after="120" w:line="288" w:lineRule="auto"/>
        <w:ind w:left="0"/>
        <w:jc w:val="left"/>
      </w:pPr>
    </w:p>
    <w:p w14:paraId="15D3B49C">
      <w:pPr>
        <w:pStyle w:val="28"/>
        <w:bidi w:val="0"/>
      </w:pPr>
      <w:bookmarkStart w:id="10" w:name="heading_4"/>
      <w:bookmarkStart w:id="11" w:name="_Toc13530"/>
      <w:r>
        <w:t>演练实施情况回顾</w:t>
      </w:r>
      <w:bookmarkEnd w:id="10"/>
      <w:bookmarkEnd w:id="11"/>
    </w:p>
    <w:p w14:paraId="35204B8E">
      <w:pPr>
        <w:pStyle w:val="29"/>
        <w:bidi w:val="0"/>
      </w:pPr>
      <w:r>
        <w:t>演练严格遵循《应急演练实施计划》设定的流程展开，共分为六个阶段：</w:t>
      </w:r>
    </w:p>
    <w:p w14:paraId="0F157613">
      <w:pPr>
        <w:pStyle w:val="30"/>
        <w:bidi w:val="0"/>
      </w:pPr>
      <w:bookmarkStart w:id="12" w:name="_Toc7741"/>
      <w:r>
        <w:t>阶段一：场景初始化与事件触发（14:00-14:05）</w:t>
      </w:r>
      <w:bookmarkEnd w:id="12"/>
    </w:p>
    <w:p w14:paraId="65B6B92A">
      <w:pPr>
        <w:pStyle w:val="29"/>
        <w:bidi w:val="0"/>
      </w:pPr>
      <w:r>
        <w:t>各小组准时就位，测试环境监控接口服务中断模拟准确触发，服务台接到运维调度科报障。</w:t>
      </w:r>
    </w:p>
    <w:p w14:paraId="268CC4A8">
      <w:pPr>
        <w:pStyle w:val="30"/>
        <w:bidi w:val="0"/>
      </w:pPr>
      <w:bookmarkStart w:id="13" w:name="_Toc11069"/>
      <w:r>
        <w:t>阶段二：信息报告与应急启动（14:05-14:15）</w:t>
      </w:r>
      <w:bookmarkEnd w:id="13"/>
    </w:p>
    <w:p w14:paraId="72EF5892">
      <w:pPr>
        <w:pStyle w:val="29"/>
        <w:bidi w:val="0"/>
      </w:pPr>
      <w:r>
        <w:t>现场至指挥部的信息报告链路通畅，从事件发生到运维部经理报告应急领导小组用时约7分钟，符合预案要求（≤30分钟）。总指挥决策果断，Ⅱ级响应启动正确。</w:t>
      </w:r>
    </w:p>
    <w:p w14:paraId="5A5EDB0D">
      <w:pPr>
        <w:pStyle w:val="30"/>
        <w:bidi w:val="0"/>
      </w:pPr>
      <w:bookmarkStart w:id="14" w:name="_Toc23988"/>
      <w:r>
        <w:t>阶段三：先期处置（14:15-14:30）</w:t>
      </w:r>
      <w:bookmarkEnd w:id="14"/>
    </w:p>
    <w:p w14:paraId="55B68DD3">
      <w:pPr>
        <w:pStyle w:val="29"/>
        <w:bidi w:val="0"/>
      </w:pPr>
      <w:r>
        <w:t>应急执行小组迅速完成机房环境检查、关键设备保护等步骤，流程规范。后勤保障组建立应急通讯群组，信息同步及时。服务台全程保持与客户的信息沟通。</w:t>
      </w:r>
    </w:p>
    <w:p w14:paraId="20BF14CD">
      <w:pPr>
        <w:pStyle w:val="30"/>
        <w:bidi w:val="0"/>
      </w:pPr>
      <w:bookmarkStart w:id="15" w:name="_Toc23324"/>
      <w:r>
        <w:t>阶段四：技术研判与协同处置（14:30-15:25）</w:t>
      </w:r>
      <w:bookmarkEnd w:id="15"/>
    </w:p>
    <w:p w14:paraId="0BDF9454">
      <w:pPr>
        <w:pStyle w:val="29"/>
        <w:bidi w:val="0"/>
      </w:pPr>
      <w:r>
        <w:t>技术支持小组诊断准确（内存溢出导致监控接口服务停止），恢复方案有效（服务重启、数据完整性验证），团队协作顺畅。服务台同步向客户通报处置进展。</w:t>
      </w:r>
    </w:p>
    <w:p w14:paraId="33F12F3B">
      <w:pPr>
        <w:pStyle w:val="30"/>
        <w:bidi w:val="0"/>
      </w:pPr>
      <w:bookmarkStart w:id="16" w:name="_Toc238"/>
      <w:r>
        <w:t>阶段五：系统恢复与演练终止（15:25-15:30）</w:t>
      </w:r>
      <w:bookmarkEnd w:id="16"/>
    </w:p>
    <w:p w14:paraId="018485F2">
      <w:pPr>
        <w:pStyle w:val="29"/>
        <w:bidi w:val="0"/>
      </w:pPr>
      <w:r>
        <w:t>技术支持小组提交系统恢复验证报告，业务验证通过。总指挥宣布应急响应结束，指令清晰。</w:t>
      </w:r>
    </w:p>
    <w:p w14:paraId="6D0093BC">
      <w:pPr>
        <w:pStyle w:val="30"/>
        <w:bidi w:val="0"/>
      </w:pPr>
      <w:bookmarkStart w:id="17" w:name="_Toc24583"/>
      <w:r>
        <w:t>阶段六：总结点评（16:00-16:30）</w:t>
      </w:r>
      <w:bookmarkEnd w:id="17"/>
    </w:p>
    <w:p w14:paraId="0D862DAE">
      <w:pPr>
        <w:pStyle w:val="29"/>
        <w:bidi w:val="0"/>
      </w:pPr>
      <w:r>
        <w:t>各小组进行了客观自评，总指挥与甲方代表进行了总结点评，评估组提交了初步观察记录。</w:t>
      </w:r>
    </w:p>
    <w:p w14:paraId="6D97770E">
      <w:pPr>
        <w:pStyle w:val="28"/>
        <w:bidi w:val="0"/>
      </w:pPr>
      <w:bookmarkStart w:id="18" w:name="heading_5"/>
      <w:bookmarkStart w:id="19" w:name="_Toc4350"/>
      <w:r>
        <w:t>演练评估与分析</w:t>
      </w:r>
      <w:bookmarkEnd w:id="18"/>
      <w:bookmarkEnd w:id="19"/>
    </w:p>
    <w:p w14:paraId="10AE214A">
      <w:pPr>
        <w:pStyle w:val="30"/>
        <w:bidi w:val="0"/>
      </w:pPr>
      <w:bookmarkStart w:id="20" w:name="_Toc4995"/>
      <w:bookmarkStart w:id="21" w:name="heading_6"/>
      <w:r>
        <w:t>目标达成情况评估</w:t>
      </w:r>
      <w:bookmarkEnd w:id="20"/>
      <w:bookmarkEnd w:id="21"/>
    </w:p>
    <w:p w14:paraId="7D97571E">
      <w:pPr>
        <w:pStyle w:val="29"/>
        <w:bidi w:val="0"/>
      </w:pPr>
      <w:r>
        <w:t>检验预案：基本达成；说明：预案中的组织架构、响应流程、职责分工在演练中得到有效执行，证明其主体框架科学、可行。</w:t>
      </w:r>
    </w:p>
    <w:p w14:paraId="4F676EBC">
      <w:pPr>
        <w:pStyle w:val="29"/>
        <w:bidi w:val="0"/>
      </w:pPr>
      <w:r>
        <w:t>磨合机制：良好达成；说明：各应急小组之间，以及与公司运维部、研发部、服务台、备件库、服务知识等常设部门的“平战结合”联动机制运作顺畅，沟通高效。</w:t>
      </w:r>
    </w:p>
    <w:p w14:paraId="461879E7">
      <w:pPr>
        <w:pStyle w:val="29"/>
        <w:bidi w:val="0"/>
      </w:pPr>
      <w:r>
        <w:t>锻炼队伍：良好达成；说明：参演人员应急意识显著增强，对报告流程、处置措施、自身职责的熟悉度大幅提升，技术队伍实操能力得到验证。</w:t>
      </w:r>
    </w:p>
    <w:p w14:paraId="04E900B6">
      <w:pPr>
        <w:pStyle w:val="29"/>
        <w:bidi w:val="0"/>
      </w:pPr>
      <w:r>
        <w:t>完善准备：部分达成；说明：通讯、人员等常规保障充分，但暴露出监控策略覆盖不全、知识库建设不完善、备件管理不完整等优化空间。</w:t>
      </w:r>
    </w:p>
    <w:p w14:paraId="31C80B29">
      <w:pPr>
        <w:pStyle w:val="30"/>
        <w:bidi w:val="0"/>
      </w:pPr>
      <w:bookmarkStart w:id="22" w:name="_Toc2856"/>
      <w:bookmarkStart w:id="23" w:name="heading_7"/>
      <w:r>
        <w:t>关键环节能力评估</w:t>
      </w:r>
      <w:bookmarkEnd w:id="22"/>
      <w:bookmarkEnd w:id="23"/>
    </w:p>
    <w:p w14:paraId="404C18A3">
      <w:pPr>
        <w:pStyle w:val="29"/>
        <w:bidi w:val="0"/>
      </w:pPr>
      <w:r>
        <w:t>信息流转效率：优秀；说明：从事件发生到核心决策层知晓，用时7分钟，远低于预案要求（≤30分钟），报告内容完整、格式规范。</w:t>
      </w:r>
    </w:p>
    <w:p w14:paraId="063DB090">
      <w:pPr>
        <w:pStyle w:val="29"/>
        <w:bidi w:val="0"/>
      </w:pPr>
      <w:r>
        <w:t>指挥决策效能：优秀；说明：指挥层级清晰，决策点明确，响应级别判定准确（Ⅱ级）。</w:t>
      </w:r>
    </w:p>
    <w:p w14:paraId="127F291F">
      <w:pPr>
        <w:pStyle w:val="29"/>
        <w:bidi w:val="0"/>
      </w:pPr>
      <w:r>
        <w:t>现场处置规范性：良好；说明：先期处置步骤完整，注重关键设备保护和信息同步，符合应急预案要求。</w:t>
      </w:r>
    </w:p>
    <w:p w14:paraId="3D5C0DA4">
      <w:pPr>
        <w:pStyle w:val="29"/>
        <w:bidi w:val="0"/>
      </w:pPr>
      <w:r>
        <w:t>技术支撑能力：优秀；说明：故障定位准确（内存溢出），方案制定合理，服务恢复操作规范，数据完整性验证完整，体现了扎实的技术能力。</w:t>
      </w:r>
    </w:p>
    <w:p w14:paraId="478ABD6B">
      <w:pPr>
        <w:pStyle w:val="29"/>
        <w:bidi w:val="0"/>
      </w:pPr>
      <w:r>
        <w:t>后勤与协同保障：良好；说明：通讯保障到位，服务台与客户沟通顺畅，跨部门协作请求能够得到及时响应。</w:t>
      </w:r>
    </w:p>
    <w:p w14:paraId="0335F5A9">
      <w:pPr>
        <w:pStyle w:val="28"/>
        <w:bidi w:val="0"/>
      </w:pPr>
      <w:bookmarkStart w:id="24" w:name="_Toc10314"/>
      <w:bookmarkStart w:id="25" w:name="heading_8"/>
      <w:r>
        <w:t>问题与改进</w:t>
      </w:r>
      <w:bookmarkEnd w:id="24"/>
      <w:bookmarkEnd w:id="25"/>
    </w:p>
    <w:tbl>
      <w:tblPr>
        <w:tblStyle w:val="20"/>
        <w:tblW w:w="896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9"/>
        <w:gridCol w:w="1320"/>
        <w:gridCol w:w="1985"/>
        <w:gridCol w:w="1997"/>
        <w:gridCol w:w="1331"/>
        <w:gridCol w:w="1743"/>
      </w:tblGrid>
      <w:tr w14:paraId="5A5D9A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58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0C828C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13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14F9E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问题描述</w:t>
            </w:r>
          </w:p>
        </w:tc>
        <w:tc>
          <w:tcPr>
            <w:tcW w:w="19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FFCE6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根源分析</w:t>
            </w:r>
          </w:p>
        </w:tc>
        <w:tc>
          <w:tcPr>
            <w:tcW w:w="199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4D8B3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改进建议</w:t>
            </w:r>
          </w:p>
        </w:tc>
        <w:tc>
          <w:tcPr>
            <w:tcW w:w="133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B730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  <w:tc>
          <w:tcPr>
            <w:tcW w:w="174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8CA9C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建议完成时限</w:t>
            </w:r>
          </w:p>
        </w:tc>
      </w:tr>
      <w:tr w14:paraId="4C6307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8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7188AF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44E9C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监控接口服务监控告警未及时触发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2C055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当前监控策略未覆盖监控接口服务的进程状态检测，故障由客户主动报修发现</w:t>
            </w:r>
          </w:p>
        </w:tc>
        <w:tc>
          <w:tcPr>
            <w:tcW w:w="19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65E8D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完善监控策略，增加监控接口服务进程状态检测，配置告警阈值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将监控接口服务纳入7×24小时重点监控对象</w:t>
            </w:r>
          </w:p>
        </w:tc>
        <w:tc>
          <w:tcPr>
            <w:tcW w:w="13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60790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7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12298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2026年6月20日</w:t>
            </w:r>
          </w:p>
        </w:tc>
      </w:tr>
      <w:tr w14:paraId="63B270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8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354332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A6470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监控接口故障处置流程未录入知识库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3603C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知识库中缺少监控接口相关故障的标准处置流程</w:t>
            </w:r>
          </w:p>
        </w:tc>
        <w:tc>
          <w:tcPr>
            <w:tcW w:w="19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C3053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补充监控接口故障处理标准操作流程文档，录入知识库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定期审核知识库中故障处置流程的完整性和准确性</w:t>
            </w:r>
          </w:p>
        </w:tc>
        <w:tc>
          <w:tcPr>
            <w:tcW w:w="13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A9465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服务知识</w:t>
            </w:r>
          </w:p>
        </w:tc>
        <w:tc>
          <w:tcPr>
            <w:tcW w:w="17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117E2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2026年6月18日</w:t>
            </w:r>
          </w:p>
        </w:tc>
      </w:tr>
      <w:tr w14:paraId="068963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8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5425F4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D0215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监控接口备件未纳入备件库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FC618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备件清单未覆盖监控接口相关硬件</w:t>
            </w:r>
          </w:p>
        </w:tc>
        <w:tc>
          <w:tcPr>
            <w:tcW w:w="19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756F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评估并补充监控接口相关备件（服务器内存、电源模块等），纳入备件库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建立备件库定期盘点机制，确保关键备件齐全</w:t>
            </w:r>
          </w:p>
        </w:tc>
        <w:tc>
          <w:tcPr>
            <w:tcW w:w="13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FBD32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备件库</w:t>
            </w:r>
          </w:p>
        </w:tc>
        <w:tc>
          <w:tcPr>
            <w:tcW w:w="17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4A3C2B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2026年6月25日</w:t>
            </w:r>
          </w:p>
        </w:tc>
      </w:tr>
      <w:tr w14:paraId="4F54A6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8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FF788C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E596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故障现场交接流程不够规范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A993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预案中未明确技术支持小组与值班工程师的现场交接标准化流程</w:t>
            </w:r>
          </w:p>
        </w:tc>
        <w:tc>
          <w:tcPr>
            <w:tcW w:w="199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DA618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制定《故障现场交接单》，明确故障现象、已采取措施、注意事项等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设立固定的现场交接程序，确保信息传递完整</w:t>
            </w:r>
          </w:p>
        </w:tc>
        <w:tc>
          <w:tcPr>
            <w:tcW w:w="13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9CF4B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7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DF087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2026年6月30日</w:t>
            </w:r>
          </w:p>
        </w:tc>
      </w:tr>
    </w:tbl>
    <w:p w14:paraId="122AD123">
      <w:pPr>
        <w:pStyle w:val="29"/>
        <w:ind w:firstLine="480"/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E799E9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5286A74"/>
    <w:rsid w:val="5EB11F83"/>
    <w:rsid w:val="694F3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sz w:val="32"/>
    </w:rPr>
  </w:style>
  <w:style w:type="paragraph" w:customStyle="1" w:styleId="29">
    <w:name w:val="柴_正文"/>
    <w:basedOn w:val="12"/>
    <w:link w:val="42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rPr>
      <w:sz w:val="24"/>
      <w:lang w:eastAsia="zh-CN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672</Words>
  <Characters>831</Characters>
  <Lines>156</Lines>
  <Paragraphs>137</Paragraphs>
  <TotalTime>0</TotalTime>
  <ScaleCrop>false</ScaleCrop>
  <LinksUpToDate>false</LinksUpToDate>
  <CharactersWithSpaces>898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2026-08-25T15:40:52Z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eyJoZGlkIjoiMDY5NmFjMmM4ZTljMGJiZDAxN2JmYTc0NGI0NmFiNDgiLCJ1c2VySWQiOiIxMDc1MzgyOSJ9</vt:lpwstr>
  </property>
</Properties>
</file>