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27E9E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</w:p>
    <w:p w14:paraId="14B6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7C91496D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22687"/>
      <w:r>
        <w:rPr>
          <w:rFonts w:hint="eastAsia"/>
          <w:lang w:val="en-US" w:eastAsia="zh-CN"/>
        </w:rPr>
        <w:t>西安泽玺信息科技有限公司</w:t>
      </w:r>
      <w:bookmarkEnd w:id="0"/>
    </w:p>
    <w:p w14:paraId="121F0282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5861"/>
      <w:r>
        <w:rPr>
          <w:rFonts w:hint="eastAsia"/>
          <w:lang w:val="en-US" w:eastAsia="zh-CN"/>
        </w:rPr>
        <w:t>连续性管理计划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2B76E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2138E5C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17" w:name="_GoBack"/>
            <w:r>
              <w:rPr>
                <w:rFonts w:hint="eastAsia"/>
                <w:spacing w:val="0"/>
                <w:kern w:val="0"/>
                <w:u w:val="single"/>
                <w:fitText w:val="630" w:id="370348675"/>
                <w:vertAlign w:val="baseline"/>
                <w:lang w:val="en-US" w:eastAsia="zh-CN"/>
              </w:rPr>
              <w:t>丁嘉涛</w:t>
            </w:r>
            <w:bookmarkEnd w:id="17"/>
          </w:p>
        </w:tc>
        <w:tc>
          <w:tcPr>
            <w:tcW w:w="4261" w:type="dxa"/>
          </w:tcPr>
          <w:p w14:paraId="4BB24E5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1AF9D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37FC5F4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4AA5420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36A12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9FF803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4238E7B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78D4B4F9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25FE12C1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CD141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FB9A16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7EAEB1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CE49C5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73E45C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D59B87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99FCD6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EEB56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70451A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3DE3522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8757DB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8AC1F9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1FE5B6F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0994B573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681C14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CD43A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463483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77E6A1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AA041B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833642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A92C5E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458479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71E8B2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C1E671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CCB51A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FD8D2F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F268042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12BF96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1D959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B592FD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6092AA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5F86AA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852FB0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ACF47F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BE5EC1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CA42B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0D4BF2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FED375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059361E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F49752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30427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D8D70A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A0B12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F6128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E960B7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4E324D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B2D63B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225DFC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28E5073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3B6B9F1B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C382478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B598F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_Toc22687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4C3D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连续性管理计划</w:t>
          </w:r>
          <w:r>
            <w:tab/>
          </w:r>
          <w:r>
            <w:fldChar w:fldCharType="begin"/>
          </w:r>
          <w:r>
            <w:instrText xml:space="preserve"> PAGEREF _Toc15861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6A16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_Toc1107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C6A9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6EFB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_Toc23725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A425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_Toc19303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E4A6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应急管理办公室</w:t>
          </w:r>
          <w:r>
            <w:tab/>
          </w:r>
          <w:r>
            <w:fldChar w:fldCharType="begin"/>
          </w:r>
          <w:r>
            <w:instrText xml:space="preserve"> PAGEREF _Toc21863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76945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连续性目标</w:t>
          </w:r>
          <w:r>
            <w:tab/>
          </w:r>
          <w:r>
            <w:fldChar w:fldCharType="begin"/>
          </w:r>
          <w:r>
            <w:instrText xml:space="preserve"> PAGEREF _Toc11149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2E43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连续性工作实施</w:t>
          </w:r>
          <w:r>
            <w:tab/>
          </w:r>
          <w:r>
            <w:fldChar w:fldCharType="begin"/>
          </w:r>
          <w:r>
            <w:instrText xml:space="preserve"> PAGEREF _Toc10392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6FEB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事件预警与启动</w:t>
          </w:r>
          <w:r>
            <w:tab/>
          </w:r>
          <w:r>
            <w:fldChar w:fldCharType="begin"/>
          </w:r>
          <w:r>
            <w:instrText xml:space="preserve"> PAGEREF _Toc24369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02E3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初步沟通</w:t>
          </w:r>
          <w:r>
            <w:tab/>
          </w:r>
          <w:r>
            <w:fldChar w:fldCharType="begin"/>
          </w:r>
          <w:r>
            <w:instrText xml:space="preserve"> PAGEREF _Toc28078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EA036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业务恢复</w:t>
          </w:r>
          <w:r>
            <w:tab/>
          </w:r>
          <w:r>
            <w:fldChar w:fldCharType="begin"/>
          </w:r>
          <w:r>
            <w:instrText xml:space="preserve"> PAGEREF _Toc14606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0DA6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恢复正常运营</w:t>
          </w:r>
          <w:r>
            <w:tab/>
          </w:r>
          <w:r>
            <w:fldChar w:fldCharType="begin"/>
          </w:r>
          <w:r>
            <w:instrText xml:space="preserve"> PAGEREF _Toc2386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4D36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4A6975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657228A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8CA1799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2" w:name="_Toc1107"/>
      <w:r>
        <w:t>目的</w:t>
      </w:r>
      <w:bookmarkEnd w:id="2"/>
    </w:p>
    <w:p w14:paraId="41C6F0EA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为确保在发生重大中断事件（如自然灾害、重大硬件故障、网络攻击、疫情）时，公司核心业务及运维服务能持续提供或及时恢复，最大限度降低中断对客户业务的影响，减少经济损失，维护公司声誉，特制定本业务连续性管理计划。</w:t>
      </w:r>
    </w:p>
    <w:p w14:paraId="70E73EB3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24007"/>
      <w:r>
        <w:rPr>
          <w:rFonts w:hint="eastAsia"/>
          <w:lang w:val="en-US" w:eastAsia="zh-CN"/>
        </w:rPr>
        <w:t>原则</w:t>
      </w:r>
      <w:bookmarkEnd w:id="3"/>
    </w:p>
    <w:p w14:paraId="3ACE4B4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客户业务优先</w:t>
      </w:r>
    </w:p>
    <w:p w14:paraId="09295E7E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恢复策略优先保障对客户业务影响最大的核心系统。</w:t>
      </w:r>
    </w:p>
    <w:p w14:paraId="1F8389D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 xml:space="preserve">预案为主，平战结合： </w:t>
      </w:r>
    </w:p>
    <w:p w14:paraId="747ADF18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通过充分的准备、演练和培训，确保在紧急情况下能迅速启动预案。</w:t>
      </w:r>
    </w:p>
    <w:p w14:paraId="6321CB9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持续改进：</w:t>
      </w:r>
    </w:p>
    <w:p w14:paraId="64CF7129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根据演练和实际发生的应急情况，定期评审和更新计划。</w:t>
      </w:r>
    </w:p>
    <w:p w14:paraId="2D37B90E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4" w:name="_Toc23725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35FB2236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本计划涵盖为保障【</w:t>
      </w:r>
      <w:r>
        <w:rPr>
          <w:rFonts w:hint="eastAsia"/>
        </w:rPr>
        <w:t>银川输油气分公司2026年度桌面及信息网络综合运维技术服务项目</w:t>
      </w:r>
      <w:r>
        <w:t>】运维服务连续性所涉及的关键业务流程、关键信息系统、关键人员及相关配套设施。</w:t>
      </w:r>
    </w:p>
    <w:p w14:paraId="440CF905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9303"/>
      <w:r>
        <w:rPr>
          <w:rFonts w:hint="eastAsia"/>
          <w:lang w:val="en-US" w:eastAsia="zh-CN"/>
        </w:rPr>
        <w:t>岗位职责</w:t>
      </w:r>
      <w:bookmarkEnd w:id="5"/>
    </w:p>
    <w:p w14:paraId="743A3188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" w:name="_Toc21863"/>
      <w:r>
        <w:rPr>
          <w:rFonts w:hint="eastAsia"/>
          <w:lang w:val="en-US" w:eastAsia="zh-CN"/>
        </w:rPr>
        <w:t>应急管理办公室</w:t>
      </w:r>
      <w:bookmarkEnd w:id="6"/>
    </w:p>
    <w:p w14:paraId="4CB51B3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color w:val="333333"/>
          <w:spacing w:val="2"/>
        </w:rPr>
      </w:pPr>
      <w:r>
        <w:rPr>
          <w:color w:val="333333"/>
          <w:spacing w:val="3"/>
        </w:rPr>
        <w:t>运维部经理、</w:t>
      </w:r>
      <w:r>
        <w:rPr>
          <w:rFonts w:hint="eastAsia"/>
          <w:color w:val="333333"/>
          <w:spacing w:val="3"/>
          <w:lang w:val="en-US" w:eastAsia="zh-CN"/>
        </w:rPr>
        <w:t>研发部</w:t>
      </w:r>
      <w:r>
        <w:rPr>
          <w:color w:val="333333"/>
          <w:spacing w:val="3"/>
        </w:rPr>
        <w:t>经理、</w:t>
      </w:r>
      <w:r>
        <w:rPr>
          <w:rFonts w:hint="eastAsia"/>
          <w:color w:val="333333"/>
          <w:spacing w:val="3"/>
          <w:lang w:val="en-US" w:eastAsia="zh-CN"/>
        </w:rPr>
        <w:t>人力部</w:t>
      </w:r>
      <w:r>
        <w:rPr>
          <w:color w:val="333333"/>
          <w:spacing w:val="3"/>
        </w:rPr>
        <w:t>经理等负责执行各自</w:t>
      </w:r>
      <w:r>
        <w:rPr>
          <w:color w:val="333333"/>
          <w:spacing w:val="2"/>
        </w:rPr>
        <w:t>领域的恢复工作</w:t>
      </w:r>
    </w:p>
    <w:p w14:paraId="29F3A76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color w:val="333333"/>
          <w:spacing w:val="1"/>
        </w:rPr>
      </w:pPr>
      <w:r>
        <w:rPr>
          <w:color w:val="333333"/>
          <w:spacing w:val="1"/>
        </w:rPr>
        <w:t>运维部经理负责技术恢复的总指挥</w:t>
      </w:r>
    </w:p>
    <w:p w14:paraId="7056A6F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default"/>
          <w:color w:val="333333"/>
          <w:spacing w:val="1"/>
          <w:lang w:val="en-US" w:eastAsia="zh-CN"/>
        </w:rPr>
      </w:pPr>
      <w:r>
        <w:rPr>
          <w:color w:val="333333"/>
          <w:spacing w:val="2"/>
        </w:rPr>
        <w:t>全体运维技术人员负责具体技术系统的启动、恢复和验证。</w:t>
      </w:r>
    </w:p>
    <w:p w14:paraId="4D5962A1">
      <w:pPr>
        <w:pStyle w:val="28"/>
        <w:bidi w:val="0"/>
        <w:rPr>
          <w:rFonts w:hint="default"/>
          <w:lang w:val="en-US" w:eastAsia="zh-CN"/>
        </w:rPr>
      </w:pPr>
      <w:bookmarkStart w:id="7" w:name="_Toc11149"/>
      <w:r>
        <w:rPr>
          <w:rFonts w:hint="eastAsia"/>
          <w:lang w:val="en-US" w:eastAsia="zh-CN"/>
        </w:rPr>
        <w:t>连续性目标</w:t>
      </w:r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"/>
        <w:gridCol w:w="1749"/>
        <w:gridCol w:w="2940"/>
        <w:gridCol w:w="2705"/>
      </w:tblGrid>
      <w:tr w14:paraId="0A2BB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FB0B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优先级</w:t>
            </w:r>
          </w:p>
        </w:tc>
        <w:tc>
          <w:tcPr>
            <w:tcW w:w="17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3AC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系统/业务</w:t>
            </w:r>
          </w:p>
        </w:tc>
        <w:tc>
          <w:tcPr>
            <w:tcW w:w="29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D79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RTO（恢复时间目标）</w:t>
            </w:r>
          </w:p>
        </w:tc>
        <w:tc>
          <w:tcPr>
            <w:tcW w:w="27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53B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RPO（恢复点目标）</w:t>
            </w:r>
          </w:p>
        </w:tc>
      </w:tr>
      <w:tr w14:paraId="699DB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A641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高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6AE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核心数据库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C8E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03C0B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15分钟以内</w:t>
            </w:r>
          </w:p>
        </w:tc>
      </w:tr>
      <w:tr w14:paraId="761F9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1A6D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中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619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应用服务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E70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0EF5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30分钟以内</w:t>
            </w:r>
          </w:p>
        </w:tc>
      </w:tr>
      <w:tr w14:paraId="78FDC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8BB8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=低</w:t>
            </w:r>
          </w:p>
        </w:tc>
        <w:tc>
          <w:tcPr>
            <w:tcW w:w="17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8CC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次要系统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4DA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24小时以内</w:t>
            </w:r>
          </w:p>
        </w:tc>
        <w:tc>
          <w:tcPr>
            <w:tcW w:w="27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50CF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24小时以内</w:t>
            </w:r>
          </w:p>
        </w:tc>
      </w:tr>
    </w:tbl>
    <w:p w14:paraId="70C7E4B2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10392"/>
      <w:r>
        <w:rPr>
          <w:rFonts w:hint="eastAsia"/>
          <w:lang w:val="en-US" w:eastAsia="zh-CN"/>
        </w:rPr>
        <w:t>连续性工作实施</w:t>
      </w:r>
      <w:bookmarkEnd w:id="8"/>
    </w:p>
    <w:p w14:paraId="013BA6E5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9" w:name="bookmark3"/>
      <w:bookmarkEnd w:id="9"/>
      <w:bookmarkStart w:id="10" w:name="_Toc24369"/>
      <w:bookmarkStart w:id="11" w:name="_Toc17424"/>
      <w:r>
        <w:t>事件预警与启动</w:t>
      </w:r>
      <w:bookmarkEnd w:id="10"/>
    </w:p>
    <w:p w14:paraId="5BD9BC4E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发现可能导致业务中断的重大事件，立即上报运维部经理，由</w:t>
      </w:r>
      <w:r>
        <w:rPr>
          <w:rFonts w:hint="eastAsia"/>
          <w:lang w:val="en-US" w:eastAsia="zh-CN"/>
        </w:rPr>
        <w:t>应急管理办公室</w:t>
      </w:r>
      <w:r>
        <w:t>评估并宣布启动BCP。</w:t>
      </w:r>
    </w:p>
    <w:p w14:paraId="68CD5893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2" w:name="_Toc28078"/>
      <w:r>
        <w:t>初步沟通</w:t>
      </w:r>
      <w:bookmarkEnd w:id="12"/>
    </w:p>
    <w:p w14:paraId="4020AE9B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立即通知</w:t>
      </w:r>
      <w:r>
        <w:rPr>
          <w:rFonts w:hint="eastAsia"/>
          <w:lang w:val="en-US" w:eastAsia="zh-CN"/>
        </w:rPr>
        <w:t>应急管理办公室</w:t>
      </w:r>
      <w:r>
        <w:t>所有成员，并根据预案与客户进行初步沟通。</w:t>
      </w:r>
    </w:p>
    <w:p w14:paraId="22141584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3" w:name="_Toc14606"/>
      <w:r>
        <w:t>业务恢复</w:t>
      </w:r>
      <w:bookmarkEnd w:id="13"/>
    </w:p>
    <w:p w14:paraId="6031680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首要阶段 (0-2小时)：评估损失，启动备用站点或云容灾系统，优先恢复优先级1的系统（如核心数据库）。</w:t>
      </w:r>
    </w:p>
    <w:p w14:paraId="1B046E1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次要阶段 (2-8小时)：恢复优先级2的系统（应用服务），确保核心业务链路的通畅。</w:t>
      </w:r>
    </w:p>
    <w:p w14:paraId="2C6CD73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</w:pPr>
      <w:r>
        <w:t>后续阶段 (8-24小时)：恢复次要系统，并进行全面验证。</w:t>
      </w:r>
    </w:p>
    <w:p w14:paraId="1CB71818">
      <w:pPr>
        <w:pStyle w:val="30"/>
        <w:keepNext w:val="0"/>
        <w:keepLines w:val="0"/>
        <w:pageBreakBefore w:val="0"/>
        <w:widowControl w:val="0"/>
        <w:wordWrap/>
        <w:overflowPunct/>
        <w:bidi w:val="0"/>
      </w:pPr>
      <w:bookmarkStart w:id="14" w:name="_Toc2386"/>
      <w:r>
        <w:t>恢复正常运营</w:t>
      </w:r>
      <w:bookmarkEnd w:id="14"/>
    </w:p>
    <w:p w14:paraId="39051AB1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t>当主站点修复后，制定严谨的回切方案，将业务从备用环境平稳切换回生产环境。</w:t>
      </w:r>
    </w:p>
    <w:p w14:paraId="167241EF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15" w:name="_Toc31879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5"/>
    </w:p>
    <w:p w14:paraId="5D13B1A8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72C30B7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16" w:name="bookmark14"/>
      <w:bookmarkEnd w:id="16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F0932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98DDA"/>
    <w:multiLevelType w:val="singleLevel"/>
    <w:tmpl w:val="86F98D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03474A1"/>
    <w:multiLevelType w:val="singleLevel"/>
    <w:tmpl w:val="00347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77AC16D"/>
    <w:multiLevelType w:val="singleLevel"/>
    <w:tmpl w:val="777AC1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7F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3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9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924</Words>
  <Characters>1018</Characters>
  <Lines>0</Lines>
  <Paragraphs>0</Paragraphs>
  <TotalTime>0</TotalTime>
  <ScaleCrop>false</ScaleCrop>
  <LinksUpToDate>false</LinksUpToDate>
  <CharactersWithSpaces>1048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2026-07-29T16:19:51Z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