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2B8D19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p w14:paraId="50259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5BDFDEBB">
      <w:pPr>
        <w:pStyle w:val="25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0" w:name="_Toc6902"/>
      <w:r>
        <w:rPr>
          <w:rFonts w:hint="eastAsia"/>
          <w:lang w:val="en-US" w:eastAsia="zh-CN"/>
        </w:rPr>
        <w:t>西安泽玺信息科技有限公司</w:t>
      </w:r>
      <w:bookmarkEnd w:id="0"/>
    </w:p>
    <w:p w14:paraId="5DD4F183">
      <w:pPr>
        <w:pStyle w:val="26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/>
        </w:rPr>
      </w:pPr>
      <w:bookmarkStart w:id="1" w:name="_Toc18977"/>
      <w:r>
        <w:rPr>
          <w:rFonts w:hint="eastAsia"/>
          <w:lang w:val="en-US" w:eastAsia="zh-CN"/>
        </w:rPr>
        <w:t>软件开发管理制度</w:t>
      </w:r>
      <w:bookmarkEnd w:id="1"/>
    </w:p>
    <w:tbl>
      <w:tblPr>
        <w:tblStyle w:val="22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6"/>
        <w:gridCol w:w="4077"/>
      </w:tblGrid>
      <w:tr w14:paraId="1F55A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</w:tcPr>
          <w:p w14:paraId="7BF46FC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1996247546"/>
                <w:lang w:val="en-US" w:eastAsia="zh-CN"/>
              </w:rPr>
              <w:t>禹海龙</w:t>
            </w:r>
          </w:p>
        </w:tc>
        <w:tc>
          <w:tcPr>
            <w:tcW w:w="4261" w:type="dxa"/>
          </w:tcPr>
          <w:p w14:paraId="3FEF470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6FA55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7AB76AF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孙晓玲</w:t>
            </w:r>
          </w:p>
        </w:tc>
        <w:tc>
          <w:tcPr>
            <w:tcW w:w="4261" w:type="dxa"/>
            <w:shd w:val="clear" w:color="auto" w:fill="auto"/>
          </w:tcPr>
          <w:p w14:paraId="225BF26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  <w:tr w14:paraId="485B6B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2130207A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冯建东</w:t>
            </w:r>
          </w:p>
        </w:tc>
        <w:tc>
          <w:tcPr>
            <w:tcW w:w="4261" w:type="dxa"/>
          </w:tcPr>
          <w:p w14:paraId="154613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2026.1.3</w:t>
            </w:r>
          </w:p>
        </w:tc>
      </w:tr>
    </w:tbl>
    <w:p w14:paraId="2B719771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5C00CB44">
      <w:pPr>
        <w:keepNext w:val="0"/>
        <w:keepLines w:val="0"/>
        <w:pageBreakBefore w:val="0"/>
        <w:widowControl w:val="0"/>
        <w:wordWrap/>
        <w:overflowPunct/>
        <w:topLinePunct w:val="0"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270AD6F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362B8B4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28FFA81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380FA8E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0A71380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57FBE11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59752C4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4103F1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1BE61D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2026.1.3</w:t>
            </w:r>
          </w:p>
        </w:tc>
        <w:tc>
          <w:tcPr>
            <w:tcW w:w="919" w:type="dxa"/>
          </w:tcPr>
          <w:p w14:paraId="3054AEE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7E15C85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643EE0F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禹海龙</w:t>
            </w:r>
          </w:p>
        </w:tc>
        <w:tc>
          <w:tcPr>
            <w:tcW w:w="1150" w:type="dxa"/>
          </w:tcPr>
          <w:p w14:paraId="22FE267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5"/>
                <w:sz w:val="20"/>
                <w:szCs w:val="20"/>
                <w:lang w:val="en-US" w:eastAsia="zh-CN"/>
              </w:rPr>
              <w:t>孙晓玲</w:t>
            </w:r>
          </w:p>
        </w:tc>
        <w:tc>
          <w:tcPr>
            <w:tcW w:w="1240" w:type="dxa"/>
          </w:tcPr>
          <w:p w14:paraId="647CF37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冯建东</w:t>
            </w:r>
          </w:p>
        </w:tc>
      </w:tr>
      <w:tr w14:paraId="3A2D1B6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1229EC4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7F3579A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4B5B258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53A04AB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1465DF0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4C0EA6B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6942E9B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2D1C97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713B6F19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00985F61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17FFCDA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451B4E3E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49AAAD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7ABB250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0FEAEA6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5D7B1E57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17C225B8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4E966B8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60B9AF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1ABF03E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728DC6C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6025AA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2CF6BE7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2842FF6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023619E3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9353CA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02C5A732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  <w:tr w14:paraId="612A458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27550BF0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919" w:type="dxa"/>
          </w:tcPr>
          <w:p w14:paraId="0E632110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2289" w:type="dxa"/>
          </w:tcPr>
          <w:p w14:paraId="424D78C9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48" w:type="dxa"/>
          </w:tcPr>
          <w:p w14:paraId="326A22E8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150" w:type="dxa"/>
          </w:tcPr>
          <w:p w14:paraId="790D3A3B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  <w:tc>
          <w:tcPr>
            <w:tcW w:w="1240" w:type="dxa"/>
          </w:tcPr>
          <w:p w14:paraId="70F7372D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6BD43634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240AC9C9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973D15E">
          <w:pPr>
            <w:pStyle w:val="16"/>
            <w:tabs>
              <w:tab w:val="right" w:leader="dot" w:pos="8306"/>
            </w:tabs>
          </w:pPr>
          <w:bookmarkStart w:id="45" w:name="_GoBack"/>
          <w:bookmarkEnd w:id="45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西安泽玺信息科技有限公司</w:t>
          </w:r>
          <w:r>
            <w:tab/>
          </w:r>
          <w:r>
            <w:fldChar w:fldCharType="begin"/>
          </w:r>
          <w:r>
            <w:instrText xml:space="preserve"> PAGEREF _Toc6902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22CBA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_Toc18977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软件开发管理制度</w:t>
          </w:r>
          <w:r>
            <w:tab/>
          </w:r>
          <w:r>
            <w:fldChar w:fldCharType="begin"/>
          </w:r>
          <w:r>
            <w:instrText xml:space="preserve"> PAGEREF _Toc18977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C65D9F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_Toc25181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_Toc25181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CFB965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_Toc18335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E2984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_Toc28775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AA9C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_Toc1300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A79E5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_Toc4080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_Toc4080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0C81C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_Toc29413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_Toc29413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EF629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_Toc25816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软件开发实施</w:t>
          </w:r>
          <w:r>
            <w:tab/>
          </w:r>
          <w:r>
            <w:fldChar w:fldCharType="begin"/>
          </w:r>
          <w:r>
            <w:instrText xml:space="preserve"> PAGEREF _Toc25816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DA5C9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研发团队建设</w:t>
          </w:r>
          <w:r>
            <w:tab/>
          </w:r>
          <w:r>
            <w:fldChar w:fldCharType="begin"/>
          </w:r>
          <w:r>
            <w:instrText xml:space="preserve"> PAGEREF _Toc3645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FB27D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5.1.1. </w:t>
          </w:r>
          <w:r>
            <w:t>决策团队</w:t>
          </w:r>
          <w:r>
            <w:tab/>
          </w:r>
          <w:r>
            <w:fldChar w:fldCharType="begin"/>
          </w:r>
          <w:r>
            <w:instrText xml:space="preserve"> PAGEREF _Toc25919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DC820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5.1.2.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_Toc13268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6DE7A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研发阶段管理</w:t>
          </w:r>
          <w:r>
            <w:tab/>
          </w:r>
          <w:r>
            <w:fldChar w:fldCharType="begin"/>
          </w:r>
          <w:r>
            <w:instrText xml:space="preserve"> PAGEREF _Toc9651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9E5B5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5.2.1. </w:t>
          </w:r>
          <w:r>
            <w:t>立项阶段</w:t>
          </w:r>
          <w:r>
            <w:tab/>
          </w:r>
          <w:r>
            <w:fldChar w:fldCharType="begin"/>
          </w:r>
          <w:r>
            <w:instrText xml:space="preserve"> PAGEREF _Toc28141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4D3E6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5.2.2. </w:t>
          </w:r>
          <w:r>
            <w:t>需求阶段</w:t>
          </w:r>
          <w:r>
            <w:tab/>
          </w:r>
          <w:r>
            <w:fldChar w:fldCharType="begin"/>
          </w:r>
          <w:r>
            <w:instrText xml:space="preserve"> PAGEREF _Toc22444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EA7E0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_Toc16216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5.2.3. </w:t>
          </w:r>
          <w:r>
            <w:t>设计阶段</w:t>
          </w:r>
          <w:r>
            <w:tab/>
          </w:r>
          <w:r>
            <w:fldChar w:fldCharType="begin"/>
          </w:r>
          <w:r>
            <w:instrText xml:space="preserve"> PAGEREF _Toc16216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ECCC2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5.2.4. </w:t>
          </w:r>
          <w:r>
            <w:t>实现阶段</w:t>
          </w:r>
          <w:r>
            <w:tab/>
          </w:r>
          <w:r>
            <w:fldChar w:fldCharType="begin"/>
          </w:r>
          <w:r>
            <w:instrText xml:space="preserve"> PAGEREF _Toc5386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924DC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5.2.5. </w:t>
          </w:r>
          <w:r>
            <w:t>测试阶段</w:t>
          </w:r>
          <w:r>
            <w:tab/>
          </w:r>
          <w:r>
            <w:fldChar w:fldCharType="begin"/>
          </w:r>
          <w:r>
            <w:instrText xml:space="preserve"> PAGEREF _Toc15229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E3F76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5.2.6. </w:t>
          </w:r>
          <w:r>
            <w:t>验证发布</w:t>
          </w:r>
          <w:r>
            <w:tab/>
          </w:r>
          <w:r>
            <w:fldChar w:fldCharType="begin"/>
          </w:r>
          <w:r>
            <w:instrText xml:space="preserve"> PAGEREF _Toc10361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BC474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项目管理规范</w:t>
          </w:r>
          <w:r>
            <w:tab/>
          </w:r>
          <w:r>
            <w:fldChar w:fldCharType="begin"/>
          </w:r>
          <w:r>
            <w:instrText xml:space="preserve"> PAGEREF _Toc31671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855B0C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5.3.1. </w:t>
          </w:r>
          <w:r>
            <w:t>项目估算</w:t>
          </w:r>
          <w:r>
            <w:tab/>
          </w:r>
          <w:r>
            <w:fldChar w:fldCharType="begin"/>
          </w:r>
          <w:r>
            <w:instrText xml:space="preserve"> PAGEREF _Toc16859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ECB8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5.3.2. </w:t>
          </w:r>
          <w:r>
            <w:t>项目沟通</w:t>
          </w:r>
          <w:r>
            <w:tab/>
          </w:r>
          <w:r>
            <w:fldChar w:fldCharType="begin"/>
          </w:r>
          <w:r>
            <w:instrText xml:space="preserve"> PAGEREF _Toc17541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B6B61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5.3.3. </w:t>
          </w:r>
          <w:r>
            <w:t>问题和风险管理</w:t>
          </w:r>
          <w:r>
            <w:tab/>
          </w:r>
          <w:r>
            <w:fldChar w:fldCharType="begin"/>
          </w:r>
          <w:r>
            <w:instrText xml:space="preserve"> PAGEREF _Toc16176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8FACC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5.3.4. </w:t>
          </w:r>
          <w:r>
            <w:t>测试环境管理</w:t>
          </w:r>
          <w:r>
            <w:tab/>
          </w:r>
          <w:r>
            <w:fldChar w:fldCharType="begin"/>
          </w:r>
          <w:r>
            <w:instrText xml:space="preserve"> PAGEREF _Toc358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1FFB7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_Toc13715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 运维成果应用管理</w:t>
          </w:r>
          <w:r>
            <w:tab/>
          </w:r>
          <w:r>
            <w:fldChar w:fldCharType="begin"/>
          </w:r>
          <w:r>
            <w:instrText xml:space="preserve"> PAGEREF _Toc13715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0F45E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5.4.1. 成果交接</w:t>
          </w:r>
          <w:r>
            <w:tab/>
          </w:r>
          <w:r>
            <w:fldChar w:fldCharType="begin"/>
          </w:r>
          <w:r>
            <w:instrText xml:space="preserve"> PAGEREF _Toc13391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B004E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5.4.2. 现场试运行</w:t>
          </w:r>
          <w:r>
            <w:tab/>
          </w:r>
          <w:r>
            <w:fldChar w:fldCharType="begin"/>
          </w:r>
          <w:r>
            <w:instrText xml:space="preserve"> PAGEREF _Toc834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99809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5.4.3. 运行状态登记</w:t>
          </w:r>
          <w:r>
            <w:tab/>
          </w:r>
          <w:r>
            <w:fldChar w:fldCharType="begin"/>
          </w:r>
          <w:r>
            <w:instrText xml:space="preserve"> PAGEREF _Toc7713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CF238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5.4.4. 适用性复核</w:t>
          </w:r>
          <w:r>
            <w:tab/>
          </w:r>
          <w:r>
            <w:fldChar w:fldCharType="begin"/>
          </w:r>
          <w:r>
            <w:instrText xml:space="preserve"> PAGEREF _Toc15056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35A10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5.4.5. 5.5.5 成果废止</w:t>
          </w:r>
          <w:r>
            <w:tab/>
          </w:r>
          <w:r>
            <w:fldChar w:fldCharType="begin"/>
          </w:r>
          <w:r>
            <w:instrText xml:space="preserve"> PAGEREF _Toc20364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1B4D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考核指标</w:t>
          </w:r>
          <w:r>
            <w:tab/>
          </w:r>
          <w:r>
            <w:fldChar w:fldCharType="begin"/>
          </w:r>
          <w:r>
            <w:instrText xml:space="preserve"> PAGEREF _Toc30958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1DC1F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_Toc3642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D6D32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_Toc363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F865E5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_Toc6213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_Toc6213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E6B0C4">
          <w:pPr>
            <w:keepNext w:val="0"/>
            <w:keepLines w:val="0"/>
            <w:pageBreakBefore w:val="0"/>
            <w:widowControl w:val="0"/>
            <w:wordWrap/>
            <w:overflowPunct/>
            <w:topLinePunct w:val="0"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37B6D047">
      <w:pPr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br w:type="page"/>
      </w:r>
    </w:p>
    <w:p w14:paraId="703FC87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" w:name="_Toc25181"/>
      <w:r>
        <w:t>目的</w:t>
      </w:r>
      <w:bookmarkEnd w:id="2"/>
    </w:p>
    <w:p w14:paraId="55D61B80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为规范公司软件开发流程，提升研发质量与项目成功率，特制定本管理制度。本制度旨在确保软件开发活动紧密围绕市场与业务目标开展，涵盖软件产品开发、工具与平台建设、技术问题识别与解决等方面，以实现高效、可控、可持续的研发管理。</w:t>
      </w:r>
    </w:p>
    <w:p w14:paraId="66F878A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3" w:name="_Toc18335"/>
      <w:r>
        <w:rPr>
          <w:rFonts w:hint="eastAsia"/>
          <w:lang w:val="en-US" w:eastAsia="zh-CN"/>
        </w:rPr>
        <w:t>原则</w:t>
      </w:r>
      <w:bookmarkEnd w:id="3"/>
    </w:p>
    <w:p w14:paraId="117FD767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</w:t>
      </w:r>
    </w:p>
    <w:p w14:paraId="6EC1E1CA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所有技术研发活动必须紧密围绕公司业务目标与运维服务活动展开，确保资源投入能产生实际业务价值。</w:t>
      </w:r>
    </w:p>
    <w:p w14:paraId="104F96FE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质量内建原则</w:t>
      </w:r>
    </w:p>
    <w:p w14:paraId="6032FE54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将质量保证贯穿于需求、设计、开发、测试、运维的全过程，而非依赖事后检查，从源头保障交付成果的高质量。</w:t>
      </w:r>
    </w:p>
    <w:p w14:paraId="76CBAE62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自动化优先原则</w:t>
      </w:r>
    </w:p>
    <w:p w14:paraId="4B9BE09E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鼓励通过自动化工具替代重复性手工操作，提升研发、测试、部署和运维的效率与一致性，降低人为错误风险。</w:t>
      </w:r>
    </w:p>
    <w:p w14:paraId="22CC9B86">
      <w:pPr>
        <w:pStyle w:val="30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</w:t>
      </w:r>
    </w:p>
    <w:p w14:paraId="0DEF64E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建立定期复盘和反馈机制，鼓励创新与优化，持续迭代研发流程、工具与实践，以适应内外部变化并追求卓越。</w:t>
      </w:r>
    </w:p>
    <w:p w14:paraId="07A6EEE5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4" w:name="_Toc28775"/>
      <w:r>
        <w:rPr>
          <w:rFonts w:hint="eastAsia"/>
          <w:lang w:val="en-US" w:eastAsia="zh-CN"/>
        </w:rPr>
        <w:t>适用</w:t>
      </w:r>
      <w:r>
        <w:t>范围</w:t>
      </w:r>
      <w:bookmarkEnd w:id="4"/>
    </w:p>
    <w:p w14:paraId="2CB768DB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本制度用于指导研发部所有人员和运维技术相关研发管理过程。</w:t>
      </w:r>
    </w:p>
    <w:p w14:paraId="4858E5D0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5" w:name="_Toc1300"/>
      <w:r>
        <w:rPr>
          <w:rFonts w:hint="eastAsia"/>
          <w:lang w:val="en-US" w:eastAsia="zh-CN"/>
        </w:rPr>
        <w:t>岗位职责</w:t>
      </w:r>
      <w:bookmarkEnd w:id="5"/>
    </w:p>
    <w:p w14:paraId="09904BFB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6" w:name="_Toc4080"/>
      <w:r>
        <w:rPr>
          <w:rFonts w:hint="eastAsia"/>
          <w:lang w:val="en-US" w:eastAsia="zh-CN"/>
        </w:rPr>
        <w:t>研发部</w:t>
      </w:r>
      <w:bookmarkEnd w:id="6"/>
    </w:p>
    <w:p w14:paraId="513738B8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负责运维工具研发。</w:t>
      </w:r>
    </w:p>
    <w:p w14:paraId="4AA6BAF0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负责运维工具二次开发等工作。</w:t>
      </w:r>
    </w:p>
    <w:p w14:paraId="424FBA6C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负责运维手册研发。</w:t>
      </w:r>
    </w:p>
    <w:p w14:paraId="30A9892B">
      <w:pPr>
        <w:pStyle w:val="30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负责需求分析、详细设计、概要设计、编码、测试、验证。</w:t>
      </w:r>
    </w:p>
    <w:p w14:paraId="1D78B4B6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7" w:name="_Toc29413"/>
      <w:r>
        <w:rPr>
          <w:rFonts w:hint="eastAsia"/>
          <w:lang w:val="en-US" w:eastAsia="zh-CN"/>
        </w:rPr>
        <w:t>运维部</w:t>
      </w:r>
      <w:bookmarkEnd w:id="7"/>
    </w:p>
    <w:p w14:paraId="3BCF1231">
      <w:pPr>
        <w:pStyle w:val="30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负责对运维工具研发提出具体需求</w:t>
      </w:r>
    </w:p>
    <w:p w14:paraId="030841FA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8" w:name="_Toc25816"/>
      <w:r>
        <w:rPr>
          <w:rFonts w:hint="eastAsia"/>
          <w:lang w:val="en-US" w:eastAsia="zh-CN"/>
        </w:rPr>
        <w:t>软件开发实施</w:t>
      </w:r>
      <w:bookmarkEnd w:id="8"/>
    </w:p>
    <w:p w14:paraId="6C55FDE7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9" w:name="_Toc14609"/>
      <w:bookmarkStart w:id="10" w:name="_Toc3645"/>
      <w:r>
        <w:rPr>
          <w:rFonts w:hint="eastAsia"/>
          <w:lang w:val="en-US" w:eastAsia="zh-CN"/>
        </w:rPr>
        <w:t>研发团队建设</w:t>
      </w:r>
      <w:bookmarkEnd w:id="9"/>
      <w:bookmarkEnd w:id="10"/>
    </w:p>
    <w:p w14:paraId="4B18494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研发部分为决策团队和研发团队两个部门</w:t>
      </w:r>
    </w:p>
    <w:p w14:paraId="5897E602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1" w:name="_Toc25919"/>
      <w:r>
        <w:t>决策团队</w:t>
      </w:r>
      <w:bookmarkEnd w:id="11"/>
    </w:p>
    <w:p w14:paraId="63FEE3AA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主要由公司总经理和</w:t>
      </w:r>
      <w:r>
        <w:rPr>
          <w:rFonts w:hint="eastAsia"/>
          <w:lang w:val="en-US" w:eastAsia="zh-CN"/>
        </w:rPr>
        <w:t>研发</w:t>
      </w:r>
      <w:r>
        <w:t>负责人组成。有两个主要职责：</w:t>
      </w:r>
    </w:p>
    <w:p w14:paraId="443C37A7">
      <w:pPr>
        <w:pStyle w:val="30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在年初制定公司的技术研发发展战略，制定公司的年度技术研发规划；</w:t>
      </w:r>
    </w:p>
    <w:p w14:paraId="0553EDAF">
      <w:pPr>
        <w:pStyle w:val="30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topLinePunct w:val="0"/>
        <w:bidi w:val="0"/>
        <w:ind w:left="425" w:leftChars="0" w:hanging="425" w:firstLineChars="0"/>
      </w:pPr>
      <w:r>
        <w:t>根据实际情况对年度技术研发规划进行修正，以及对一些不在规划之内的研发做出决策。</w:t>
      </w:r>
    </w:p>
    <w:p w14:paraId="5C0903F0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2" w:name="bookmark7"/>
      <w:bookmarkEnd w:id="12"/>
      <w:bookmarkStart w:id="13" w:name="_Toc13268"/>
      <w:r>
        <w:t>研发团队</w:t>
      </w:r>
      <w:bookmarkEnd w:id="13"/>
    </w:p>
    <w:p w14:paraId="7E14E1DB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研发团队主要由</w:t>
      </w:r>
      <w:r>
        <w:rPr>
          <w:rFonts w:hint="eastAsia"/>
          <w:lang w:eastAsia="zh-CN"/>
        </w:rPr>
        <w:t>研发部</w:t>
      </w:r>
      <w:r>
        <w:t>门核心技术骨干组成。它的主要职责是实施公司的运维技术相关研发。</w:t>
      </w:r>
    </w:p>
    <w:p w14:paraId="3BF04D36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在研发团队中</w:t>
      </w:r>
      <w:r>
        <w:rPr>
          <w:rFonts w:hint="eastAsia"/>
          <w:lang w:eastAsia="zh-CN"/>
        </w:rPr>
        <w:t>研发部经理</w:t>
      </w:r>
      <w:r>
        <w:t>对整个产品负责。根据实际情况，一个技术研发团队典型的人员配置如</w:t>
      </w:r>
      <w:r>
        <w:rPr>
          <w:rFonts w:hint="eastAsia"/>
          <w:lang w:val="en-US" w:eastAsia="zh-CN"/>
        </w:rPr>
        <w:t>表5-1所示</w:t>
      </w:r>
      <w:r>
        <w:t>（注明：可一人多角）：</w:t>
      </w:r>
    </w:p>
    <w:p w14:paraId="0EC1FADB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jc w:val="center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研发人员配置表</w:t>
      </w:r>
    </w:p>
    <w:tbl>
      <w:tblPr>
        <w:tblStyle w:val="27"/>
        <w:tblW w:w="7799" w:type="dxa"/>
        <w:tblInd w:w="4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80"/>
        <w:gridCol w:w="851"/>
        <w:gridCol w:w="5668"/>
      </w:tblGrid>
      <w:tr w14:paraId="0EDD3D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4" w:hRule="atLeast"/>
        </w:trPr>
        <w:tc>
          <w:tcPr>
            <w:tcW w:w="1280" w:type="dxa"/>
            <w:tcBorders>
              <w:bottom w:val="single" w:color="000000" w:sz="2" w:space="0"/>
              <w:right w:val="single" w:color="000000" w:sz="2" w:space="0"/>
            </w:tcBorders>
            <w:shd w:val="clear" w:color="auto" w:fill="C0C0C0"/>
          </w:tcPr>
          <w:p w14:paraId="4A6B0EC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6" w:line="227" w:lineRule="auto"/>
              <w:ind w:left="51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角色</w:t>
            </w:r>
          </w:p>
        </w:tc>
        <w:tc>
          <w:tcPr>
            <w:tcW w:w="851" w:type="dxa"/>
            <w:tcBorders>
              <w:left w:val="single" w:color="000000" w:sz="2" w:space="0"/>
              <w:bottom w:val="single" w:color="000000" w:sz="2" w:space="0"/>
            </w:tcBorders>
            <w:shd w:val="clear" w:color="auto" w:fill="C0C0C0"/>
          </w:tcPr>
          <w:p w14:paraId="4FA7B6B0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6" w:line="228" w:lineRule="auto"/>
              <w:ind w:left="9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sz w:val="20"/>
                <w:szCs w:val="20"/>
              </w:rPr>
              <w:t>必须</w:t>
            </w:r>
          </w:p>
        </w:tc>
        <w:tc>
          <w:tcPr>
            <w:tcW w:w="5668" w:type="dxa"/>
            <w:tcBorders>
              <w:bottom w:val="single" w:color="000000" w:sz="2" w:space="0"/>
            </w:tcBorders>
            <w:shd w:val="clear" w:color="auto" w:fill="C0C0C0"/>
          </w:tcPr>
          <w:p w14:paraId="548D4F2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6" w:line="229" w:lineRule="auto"/>
              <w:ind w:left="2835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职责</w:t>
            </w:r>
          </w:p>
        </w:tc>
      </w:tr>
      <w:tr w14:paraId="2EEFC3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1280" w:type="dxa"/>
            <w:tcBorders>
              <w:top w:val="single" w:color="000000" w:sz="2" w:space="0"/>
              <w:right w:val="single" w:color="000000" w:sz="2" w:space="0"/>
            </w:tcBorders>
          </w:tcPr>
          <w:p w14:paraId="4C52F70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2" w:line="229" w:lineRule="auto"/>
              <w:ind w:left="243"/>
              <w:rPr>
                <w:rFonts w:hint="eastAsia" w:ascii="宋体" w:hAnsi="宋体" w:eastAsia="宋体" w:cs="宋体"/>
                <w:sz w:val="19"/>
                <w:szCs w:val="19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7"/>
                <w:sz w:val="19"/>
                <w:szCs w:val="19"/>
                <w:lang w:eastAsia="zh-CN"/>
              </w:rPr>
              <w:t>研发部经理</w:t>
            </w:r>
          </w:p>
        </w:tc>
        <w:tc>
          <w:tcPr>
            <w:tcW w:w="851" w:type="dxa"/>
            <w:tcBorders>
              <w:top w:val="single" w:color="000000" w:sz="2" w:space="0"/>
              <w:left w:val="single" w:color="000000" w:sz="2" w:space="0"/>
            </w:tcBorders>
          </w:tcPr>
          <w:p w14:paraId="54E5127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212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  <w:tcBorders>
              <w:top w:val="single" w:color="000000" w:sz="2" w:space="0"/>
            </w:tcBorders>
          </w:tcPr>
          <w:p w14:paraId="7A661BC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48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2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对整个研发项目负责</w:t>
            </w:r>
          </w:p>
          <w:p w14:paraId="7F4AB9B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76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2" name="IM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负责研发团队的管理</w:t>
            </w:r>
          </w:p>
        </w:tc>
      </w:tr>
      <w:tr w14:paraId="78A75C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1C1735E8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line="229" w:lineRule="auto"/>
              <w:ind w:left="251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5"/>
                <w:sz w:val="19"/>
                <w:szCs w:val="19"/>
              </w:rPr>
              <w:t>需求</w:t>
            </w:r>
            <w:r>
              <w:rPr>
                <w:rFonts w:hint="eastAsia" w:ascii="宋体" w:hAnsi="宋体" w:cs="宋体"/>
                <w:spacing w:val="5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0F7C601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363FF1AB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73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4" name="IM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主要负责协助</w:t>
            </w:r>
            <w:r>
              <w:rPr>
                <w:rFonts w:hint="eastAsia" w:ascii="宋体" w:hAnsi="宋体" w:eastAsia="宋体" w:cs="宋体"/>
                <w:spacing w:val="9"/>
                <w:sz w:val="19"/>
                <w:szCs w:val="19"/>
                <w:lang w:eastAsia="zh-CN"/>
              </w:rPr>
              <w:t>研发部经理</w:t>
            </w:r>
            <w:r>
              <w:rPr>
                <w:rFonts w:ascii="宋体" w:hAnsi="宋体" w:eastAsia="宋体" w:cs="宋体"/>
                <w:spacing w:val="9"/>
                <w:sz w:val="19"/>
                <w:szCs w:val="19"/>
              </w:rPr>
              <w:t>进行需求分析和调研</w:t>
            </w:r>
          </w:p>
        </w:tc>
      </w:tr>
      <w:tr w14:paraId="5114F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56C332D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08" w:line="229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研发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128FA0D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08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493C5C9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100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6" name="IM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1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负责研发项目的实现</w:t>
            </w:r>
          </w:p>
        </w:tc>
      </w:tr>
      <w:tr w14:paraId="516AE9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0013C92C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2" w:line="230" w:lineRule="auto"/>
              <w:ind w:left="240"/>
              <w:rPr>
                <w:rFonts w:hint="eastAsia" w:ascii="宋体" w:hAnsi="宋体" w:eastAsia="宋体" w:cs="宋体"/>
                <w:sz w:val="19"/>
                <w:szCs w:val="19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19"/>
                <w:szCs w:val="19"/>
              </w:rPr>
              <w:t>测试</w:t>
            </w:r>
            <w:r>
              <w:rPr>
                <w:rFonts w:hint="eastAsia" w:ascii="宋体" w:hAnsi="宋体" w:cs="宋体"/>
                <w:spacing w:val="7"/>
                <w:sz w:val="19"/>
                <w:szCs w:val="19"/>
                <w:lang w:val="en-US" w:eastAsia="zh-CN"/>
              </w:rPr>
              <w:t>工程师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49E1CAA7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83" w:line="232" w:lineRule="auto"/>
              <w:ind w:left="329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是</w:t>
            </w:r>
          </w:p>
        </w:tc>
        <w:tc>
          <w:tcPr>
            <w:tcW w:w="5668" w:type="dxa"/>
          </w:tcPr>
          <w:p w14:paraId="102732D5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75" w:line="229" w:lineRule="auto"/>
              <w:ind w:left="71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position w:val="-4"/>
                <w:sz w:val="19"/>
                <w:szCs w:val="19"/>
              </w:rPr>
              <w:drawing>
                <wp:inline distT="0" distB="0" distL="0" distR="0">
                  <wp:extent cx="101600" cy="139700"/>
                  <wp:effectExtent l="0" t="0" r="5080" b="12700"/>
                  <wp:docPr id="18" name="IM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76" cy="14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eastAsia="宋体" w:cs="宋体"/>
                <w:spacing w:val="46"/>
                <w:sz w:val="19"/>
                <w:szCs w:val="19"/>
              </w:rPr>
              <w:t xml:space="preserve">  </w:t>
            </w:r>
            <w:r>
              <w:rPr>
                <w:rFonts w:ascii="宋体" w:hAnsi="宋体" w:eastAsia="宋体" w:cs="宋体"/>
                <w:spacing w:val="8"/>
                <w:sz w:val="19"/>
                <w:szCs w:val="19"/>
              </w:rPr>
              <w:t>负责研发项目的测试</w:t>
            </w:r>
          </w:p>
        </w:tc>
      </w:tr>
      <w:tr w14:paraId="4C14BA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1280" w:type="dxa"/>
            <w:tcBorders>
              <w:right w:val="single" w:color="000000" w:sz="2" w:space="0"/>
            </w:tcBorders>
          </w:tcPr>
          <w:p w14:paraId="401C9182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60" w:line="229" w:lineRule="auto"/>
              <w:ind w:left="274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pacing w:val="-1"/>
                <w:sz w:val="19"/>
                <w:szCs w:val="19"/>
              </w:rPr>
              <w:t>日常维护</w:t>
            </w:r>
          </w:p>
        </w:tc>
        <w:tc>
          <w:tcPr>
            <w:tcW w:w="851" w:type="dxa"/>
            <w:tcBorders>
              <w:left w:val="single" w:color="000000" w:sz="2" w:space="0"/>
            </w:tcBorders>
          </w:tcPr>
          <w:p w14:paraId="0BBA7A19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spacing w:before="60" w:line="229" w:lineRule="auto"/>
              <w:ind w:left="332"/>
              <w:rPr>
                <w:rFonts w:ascii="宋体" w:hAnsi="宋体" w:eastAsia="宋体" w:cs="宋体"/>
                <w:sz w:val="19"/>
                <w:szCs w:val="19"/>
              </w:rPr>
            </w:pPr>
            <w:r>
              <w:rPr>
                <w:rFonts w:ascii="宋体" w:hAnsi="宋体" w:eastAsia="宋体" w:cs="宋体"/>
                <w:sz w:val="19"/>
                <w:szCs w:val="19"/>
              </w:rPr>
              <w:t>否</w:t>
            </w:r>
          </w:p>
        </w:tc>
        <w:tc>
          <w:tcPr>
            <w:tcW w:w="5668" w:type="dxa"/>
          </w:tcPr>
          <w:p w14:paraId="34561EEC">
            <w:pPr>
              <w:pStyle w:val="28"/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</w:pPr>
          </w:p>
        </w:tc>
      </w:tr>
    </w:tbl>
    <w:p w14:paraId="10A2113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14" w:name="bookmark3"/>
      <w:bookmarkEnd w:id="14"/>
      <w:bookmarkStart w:id="15" w:name="_Toc9651"/>
      <w:bookmarkStart w:id="16" w:name="_Toc17424"/>
      <w:r>
        <w:rPr>
          <w:rFonts w:hint="eastAsia"/>
          <w:lang w:val="en-US" w:eastAsia="zh-CN"/>
        </w:rPr>
        <w:t>研发阶段管理</w:t>
      </w:r>
      <w:bookmarkEnd w:id="15"/>
    </w:p>
    <w:p w14:paraId="59DDB0BE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研发总流程如图5-1所示。</w:t>
      </w:r>
    </w:p>
    <w:p w14:paraId="0528791D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图</w:t>
      </w:r>
      <w:r>
        <w:rPr>
          <w:rFonts w:hint="eastAsia"/>
          <w:lang w:val="en-US" w:eastAsia="zh-CN"/>
        </w:rPr>
        <w:tab/>
      </w:r>
      <w:r>
        <w:fldChar w:fldCharType="begin"/>
      </w:r>
      <w:r>
        <w:instrText xml:space="preserve"> </w:instrText>
      </w:r>
      <w:r>
        <w:rPr>
          <w:rStyle w:val="40"/>
          <w:rFonts w:hint="eastAsia"/>
        </w:rPr>
        <w:instrText xml:space="preserve">S</w:instrText>
      </w:r>
      <w:r>
        <w:rPr>
          <w:rStyle w:val="40"/>
          <w:rFonts w:hint="default"/>
        </w:rPr>
        <w:instrText xml:space="preserve">TYLEREF "</w:instrText>
      </w:r>
      <w:r>
        <w:rPr>
          <w:rStyle w:val="40"/>
          <w:rFonts w:hint="eastAsia"/>
          <w:lang w:val="en-US" w:eastAsia="zh-CN"/>
        </w:rPr>
        <w:instrText xml:space="preserve">柴_标题1</w:instrText>
      </w:r>
      <w:r>
        <w:rPr>
          <w:rStyle w:val="40"/>
          <w:rFonts w:hint="default"/>
        </w:rPr>
        <w:instrText xml:space="preserve">" \n</w:instrText>
      </w:r>
      <w:r>
        <w:rPr>
          <w:rStyle w:val="40"/>
          <w:rFonts w:hint="default"/>
          <w:lang w:val="en-US" w:eastAsia="zh-CN"/>
        </w:rPr>
        <w:instrText xml:space="preserve"> </w:instrText>
      </w:r>
      <w:r>
        <w:rPr>
          <w:rStyle w:val="40"/>
        </w:rPr>
        <w:instrText xml:space="preserve">\* Charformat</w:instrText>
      </w:r>
      <w:r>
        <w:instrText xml:space="preserve"> </w:instrText>
      </w:r>
      <w:r>
        <w:fldChar w:fldCharType="separate"/>
      </w:r>
      <w:r>
        <w:rPr>
          <w:rStyle w:val="40"/>
          <w:rFonts w:hint="eastAsia"/>
        </w:rPr>
        <w:t>5</w:t>
      </w:r>
      <w:r>
        <w:fldChar w:fldCharType="end"/>
      </w:r>
      <w:r>
        <w:rPr>
          <w:rStyle w:val="40"/>
          <w:rFonts w:hint="eastAsia"/>
          <w:lang w:val="en-US" w:eastAsia="zh-CN"/>
        </w:rPr>
        <w:t>-</w:t>
      </w:r>
      <w:r>
        <w:rPr>
          <w:rStyle w:val="40"/>
          <w:rFonts w:hint="eastAsia"/>
          <w:lang w:val="en-US" w:eastAsia="zh-CN"/>
        </w:rPr>
        <w:fldChar w:fldCharType="begin"/>
      </w:r>
      <w:r>
        <w:rPr>
          <w:rStyle w:val="40"/>
          <w:rFonts w:hint="eastAsia"/>
          <w:lang w:val="en-US" w:eastAsia="zh-CN"/>
        </w:rPr>
        <w:instrText xml:space="preserve"> SEQ 图 \* ARABIC \* MERGEFORMAT </w:instrText>
      </w:r>
      <w:r>
        <w:rPr>
          <w:rStyle w:val="40"/>
          <w:rFonts w:hint="eastAsia"/>
          <w:lang w:val="en-US" w:eastAsia="zh-CN"/>
        </w:rPr>
        <w:fldChar w:fldCharType="separate"/>
      </w:r>
      <w:r>
        <w:t>1</w:t>
      </w:r>
      <w:r>
        <w:rPr>
          <w:rStyle w:val="40"/>
          <w:rFonts w:hint="eastAsia"/>
          <w:lang w:val="en-US" w:eastAsia="zh-CN"/>
        </w:rPr>
        <w:fldChar w:fldCharType="end"/>
      </w:r>
      <w:r>
        <w:rPr>
          <w:rStyle w:val="40"/>
          <w:rFonts w:hint="eastAsia"/>
          <w:lang w:val="en-US" w:eastAsia="zh-CN"/>
        </w:rPr>
        <w:t xml:space="preserve"> 研发流程总览</w:t>
      </w:r>
    </w:p>
    <w:p w14:paraId="5DF7672E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drawing>
          <wp:inline distT="0" distB="0" distL="114300" distR="114300">
            <wp:extent cx="5271135" cy="1580515"/>
            <wp:effectExtent l="0" t="0" r="190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E18A1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eastAsia="zh-CN"/>
        </w:rPr>
      </w:pPr>
      <w:r>
        <w:t>如</w:t>
      </w:r>
      <w:r>
        <w:rPr>
          <w:rFonts w:hint="eastAsia"/>
          <w:lang w:val="en-US" w:eastAsia="zh-CN"/>
        </w:rPr>
        <w:t>图5-1</w:t>
      </w:r>
      <w:r>
        <w:t>所示，公司级研发项目分成立项、需求、设计、实现、测试、验证发布六个阶段。以下将针对各个阶段进行详细的介绍</w:t>
      </w:r>
      <w:r>
        <w:rPr>
          <w:rFonts w:hint="eastAsia"/>
          <w:lang w:eastAsia="zh-CN"/>
        </w:rPr>
        <w:t>。</w:t>
      </w:r>
    </w:p>
    <w:p w14:paraId="40D75F3E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7" w:name="_Toc28141"/>
      <w:r>
        <w:t>立项阶段</w:t>
      </w:r>
      <w:bookmarkEnd w:id="17"/>
    </w:p>
    <w:p w14:paraId="5E52DCE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每年初，根据市场目标、业务目标、客户、竞争对手等各方面的分析和调研对新一年技术研发所做出的决定。在每年初可由研发团队提出需求研发清单，也可由决策团队直接给出。最终由决策团队对候选技术研发项目清单进行评审，确定本年度需要研发的技术并最终生成项目研发规划。</w:t>
      </w:r>
    </w:p>
    <w:p w14:paraId="7E0D9DF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立项阶段是研发的开始阶段，此阶段的主要工作是发现项目，对项目进行可行性分析并对项目是否启动做出决策。主要活动包括：</w:t>
      </w:r>
    </w:p>
    <w:p w14:paraId="320C57EF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通过市场、业务分析，客户调研发现项目</w:t>
      </w:r>
    </w:p>
    <w:p w14:paraId="6CB84E1E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提交申请，决策团队批准</w:t>
      </w:r>
    </w:p>
    <w:p w14:paraId="2B861D30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确定项目的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研发部经理</w:t>
      </w:r>
    </w:p>
    <w:p w14:paraId="2AEE078A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18" w:name="bookmark11"/>
      <w:bookmarkEnd w:id="18"/>
      <w:bookmarkStart w:id="19" w:name="_Toc22444"/>
      <w:r>
        <w:t>需求阶段</w:t>
      </w:r>
      <w:bookmarkEnd w:id="19"/>
    </w:p>
    <w:p w14:paraId="62EA26D2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需求阶段主要工作是完成项目需求调研、项目初期的技术探索及初步制定项目计划。主要活动包括：</w:t>
      </w:r>
    </w:p>
    <w:p w14:paraId="52E3C720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需求人员进行需求开发，充分了解客户需求。</w:t>
      </w:r>
    </w:p>
    <w:p w14:paraId="4BB8A590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对项目进行初步估算，编写项目实施计划并提交决策团队</w:t>
      </w:r>
    </w:p>
    <w:p w14:paraId="63F1A2B3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0" w:name="bookmark12"/>
      <w:bookmarkEnd w:id="20"/>
      <w:bookmarkStart w:id="21" w:name="_Toc4008"/>
      <w:bookmarkStart w:id="22" w:name="_Toc16216"/>
      <w:r>
        <w:t>设计阶段</w:t>
      </w:r>
      <w:bookmarkEnd w:id="21"/>
      <w:bookmarkEnd w:id="22"/>
    </w:p>
    <w:p w14:paraId="1A015910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设计阶段主要需要完成系统设计工作。主要活动包括：</w:t>
      </w:r>
    </w:p>
    <w:p w14:paraId="3E085CA3">
      <w:pPr>
        <w:keepNext w:val="0"/>
        <w:keepLines w:val="0"/>
        <w:pageBreakBefore w:val="0"/>
        <w:widowControl w:val="0"/>
        <w:numPr>
          <w:ilvl w:val="0"/>
          <w:numId w:val="8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对项目实施计划进行细化和调整</w:t>
      </w:r>
    </w:p>
    <w:p w14:paraId="17D6478A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3" w:name="_Toc5386"/>
      <w:r>
        <w:t>实现阶段</w:t>
      </w:r>
      <w:bookmarkEnd w:id="23"/>
    </w:p>
    <w:p w14:paraId="35316D6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此阶段主要完成系统的实现、代码评审、测试的工作，主要活动包括：</w:t>
      </w:r>
    </w:p>
    <w:p w14:paraId="08560236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研发人员根据前期文档对程序进行编码</w:t>
      </w:r>
    </w:p>
    <w:p w14:paraId="23960C1B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研发人员对程序进行集成测试</w:t>
      </w:r>
    </w:p>
    <w:p w14:paraId="435C2C7B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测试人员对程序进行初步确认测试，提交发现的缺陷</w:t>
      </w:r>
    </w:p>
    <w:p w14:paraId="399B3937">
      <w:pPr>
        <w:pStyle w:val="12"/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研发人员对</w:t>
      </w:r>
      <w:r>
        <w:rPr>
          <w:rFonts w:ascii="宋体" w:hAnsi="宋体" w:eastAsia="宋体" w:cs="宋体"/>
          <w:spacing w:val="-35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 xml:space="preserve">BUG </w:t>
      </w:r>
      <w:r>
        <w:rPr>
          <w:rFonts w:ascii="宋体" w:hAnsi="宋体" w:eastAsia="宋体" w:cs="宋体"/>
          <w:spacing w:val="-3"/>
          <w:sz w:val="24"/>
          <w:szCs w:val="24"/>
        </w:rPr>
        <w:t>进行修复，测试</w:t>
      </w:r>
    </w:p>
    <w:p w14:paraId="3E4EF8E6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研发部人员</w:t>
      </w:r>
      <w:r>
        <w:rPr>
          <w:rFonts w:ascii="宋体" w:hAnsi="宋体" w:eastAsia="宋体" w:cs="宋体"/>
          <w:spacing w:val="-2"/>
          <w:sz w:val="24"/>
          <w:szCs w:val="24"/>
        </w:rPr>
        <w:t>对相关研发文档进行完善</w:t>
      </w:r>
    </w:p>
    <w:p w14:paraId="19C568CC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对完成项目实施报告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3957E22A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4" w:name="bookmark1"/>
      <w:bookmarkEnd w:id="24"/>
      <w:bookmarkStart w:id="25" w:name="_Toc15229"/>
      <w:r>
        <w:t>测试阶段</w:t>
      </w:r>
      <w:bookmarkEnd w:id="25"/>
    </w:p>
    <w:p w14:paraId="13EF43EE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测试阶段主要对产品进行确认测试。主要活动包括：</w:t>
      </w:r>
    </w:p>
    <w:p w14:paraId="01E8F1DB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cs="宋体"/>
          <w:spacing w:val="-2"/>
          <w:sz w:val="24"/>
          <w:szCs w:val="24"/>
          <w:lang w:val="en-US" w:eastAsia="zh-CN"/>
        </w:rPr>
        <w:t>测试</w:t>
      </w:r>
      <w:r>
        <w:rPr>
          <w:rFonts w:ascii="宋体" w:hAnsi="宋体" w:eastAsia="宋体" w:cs="宋体"/>
          <w:spacing w:val="-2"/>
          <w:sz w:val="24"/>
          <w:szCs w:val="24"/>
        </w:rPr>
        <w:t>人员对程序进行确认测试</w:t>
      </w:r>
    </w:p>
    <w:p w14:paraId="2C3F6B7C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研发人员对测试过程中的</w:t>
      </w:r>
      <w:r>
        <w:rPr>
          <w:rFonts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BUG</w:t>
      </w:r>
      <w:r>
        <w:rPr>
          <w:rFonts w:ascii="宋体" w:hAnsi="宋体" w:eastAsia="宋体" w:cs="宋体"/>
          <w:spacing w:val="-53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2"/>
          <w:sz w:val="24"/>
          <w:szCs w:val="24"/>
        </w:rPr>
        <w:t>进行修复</w:t>
      </w:r>
    </w:p>
    <w:p w14:paraId="4BE25988">
      <w:pPr>
        <w:keepNext w:val="0"/>
        <w:keepLines w:val="0"/>
        <w:pageBreakBefore w:val="0"/>
        <w:widowControl w:val="0"/>
        <w:numPr>
          <w:ilvl w:val="0"/>
          <w:numId w:val="1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val="en-US"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对程序进行验证</w:t>
      </w:r>
    </w:p>
    <w:p w14:paraId="336381BF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6" w:name="_Toc10361"/>
      <w:r>
        <w:t>验证发布</w:t>
      </w:r>
      <w:bookmarkEnd w:id="26"/>
    </w:p>
    <w:p w14:paraId="47B630C1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目前公司的技术研发项目主要包括两种，一种是客户委托研发的项目，</w:t>
      </w:r>
      <w:r>
        <w:rPr>
          <w:rFonts w:hint="eastAsia"/>
          <w:lang w:val="en-US" w:eastAsia="zh-CN"/>
        </w:rPr>
        <w:t>由</w:t>
      </w:r>
      <w:r>
        <w:rPr>
          <w:rFonts w:hint="eastAsia"/>
          <w:lang w:eastAsia="zh-CN"/>
        </w:rPr>
        <w:t>研发部经理</w:t>
      </w:r>
      <w:r>
        <w:t>对接客户方进行验收；另外一种是公司内部决策需要研发的项目，暂时没有客户，</w:t>
      </w:r>
      <w:r>
        <w:rPr>
          <w:rFonts w:hint="eastAsia"/>
          <w:lang w:val="en-US" w:eastAsia="zh-CN"/>
        </w:rPr>
        <w:t>则由</w:t>
      </w:r>
      <w:r>
        <w:rPr>
          <w:rFonts w:hint="eastAsia"/>
          <w:lang w:eastAsia="zh-CN"/>
        </w:rPr>
        <w:t>研发部经理</w:t>
      </w:r>
      <w:r>
        <w:t>配合需求部门完成验收。</w:t>
      </w:r>
    </w:p>
    <w:p w14:paraId="64F4D28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验证发布阶段是研发的最后一个阶段，完成此阶段产出物将提交给公司。主要活动包括：</w:t>
      </w:r>
    </w:p>
    <w:p w14:paraId="0023A6DF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相关人员对产品进行试点</w:t>
      </w:r>
    </w:p>
    <w:p w14:paraId="59EFA966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对测试过程中发现的问题进行分析、总结，修复必要的问题</w:t>
      </w:r>
    </w:p>
    <w:p w14:paraId="5C4886EC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测试人员对修复的问题进行测试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442C1156">
      <w:pPr>
        <w:keepNext w:val="0"/>
        <w:keepLines w:val="0"/>
        <w:pageBreakBefore w:val="0"/>
        <w:widowControl w:val="0"/>
        <w:numPr>
          <w:ilvl w:val="0"/>
          <w:numId w:val="11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测试通过后，进行产品发布并完成</w:t>
      </w: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。</w:t>
      </w:r>
    </w:p>
    <w:p w14:paraId="12750D9C">
      <w:pPr>
        <w:pStyle w:val="31"/>
        <w:bidi w:val="0"/>
        <w:rPr>
          <w:rFonts w:hint="default"/>
          <w:lang w:val="en-US" w:eastAsia="zh-CN"/>
        </w:rPr>
      </w:pPr>
      <w:bookmarkStart w:id="27" w:name="_Toc31671"/>
      <w:r>
        <w:rPr>
          <w:rFonts w:hint="eastAsia"/>
          <w:lang w:val="en-US" w:eastAsia="zh-CN"/>
        </w:rPr>
        <w:t>项目管理规范</w:t>
      </w:r>
      <w:bookmarkEnd w:id="27"/>
    </w:p>
    <w:p w14:paraId="76A7E688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8" w:name="_Toc16859"/>
      <w:r>
        <w:t>项目估算</w:t>
      </w:r>
      <w:bookmarkEnd w:id="28"/>
    </w:p>
    <w:p w14:paraId="7BB77F67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项目估算主要对研发各阶段各专业的工作量、成本等进行估算。通常的估算时机如下：</w:t>
      </w:r>
    </w:p>
    <w:p w14:paraId="6F9C1C5A">
      <w:pPr>
        <w:pStyle w:val="44"/>
        <w:keepNext w:val="0"/>
        <w:keepLines w:val="0"/>
        <w:pageBreakBefore w:val="0"/>
        <w:widowControl w:val="0"/>
        <w:numPr>
          <w:ilvl w:val="0"/>
          <w:numId w:val="12"/>
        </w:numPr>
        <w:wordWrap/>
        <w:overflowPunct/>
        <w:topLinePunct w:val="0"/>
        <w:bidi w:val="0"/>
      </w:pPr>
      <w:r>
        <w:t>概念决策评审通过后、在项目整体计划之前做估算；</w:t>
      </w:r>
    </w:p>
    <w:p w14:paraId="57DC3740">
      <w:pPr>
        <w:pStyle w:val="44"/>
        <w:keepNext w:val="0"/>
        <w:keepLines w:val="0"/>
        <w:pageBreakBefore w:val="0"/>
        <w:widowControl w:val="0"/>
        <w:numPr>
          <w:ilvl w:val="0"/>
          <w:numId w:val="12"/>
        </w:numPr>
        <w:wordWrap/>
        <w:overflowPunct/>
        <w:topLinePunct w:val="0"/>
        <w:bidi w:val="0"/>
      </w:pPr>
      <w:r>
        <w:t>项目执行过程产生重大偏差时，重新做项目估算。</w:t>
      </w:r>
    </w:p>
    <w:p w14:paraId="134885C9">
      <w:pPr>
        <w:pStyle w:val="4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工作量估算</w:t>
      </w:r>
    </w:p>
    <w:p w14:paraId="36EF1036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基于项目阶段及典型任务进行工作任务分解，采取自底向上的方法进行估算（工作量的单位采用：人</w:t>
      </w:r>
      <w:r>
        <w:rPr>
          <w:rFonts w:hint="eastAsia"/>
          <w:lang w:val="en-US" w:eastAsia="zh-CN"/>
        </w:rPr>
        <w:t>天</w:t>
      </w:r>
      <w:r>
        <w:t>），采取集体讨论等方法确认相关工作量。</w:t>
      </w:r>
    </w:p>
    <w:p w14:paraId="37118052">
      <w:pPr>
        <w:pStyle w:val="4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成本估算</w:t>
      </w:r>
    </w:p>
    <w:p w14:paraId="7A5EC644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项目成本主要包括：研发物料费、人力工资成本、差旅等，其中研发物料成本估算应该体现在项目任务书中。</w:t>
      </w:r>
    </w:p>
    <w:p w14:paraId="6A120722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由于我公司的研发成本主要由人力成本构成，项目级的预算等同于项目计划工作量，项目成本等同于项目实际工作量。</w:t>
      </w:r>
    </w:p>
    <w:p w14:paraId="3DDE156A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29" w:name="_Toc17541"/>
      <w:r>
        <w:t>项目沟通</w:t>
      </w:r>
      <w:bookmarkEnd w:id="29"/>
    </w:p>
    <w:p w14:paraId="389F7012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rPr>
          <w:rFonts w:hint="eastAsia"/>
          <w:lang w:val="en-US" w:eastAsia="zh-CN"/>
        </w:rPr>
        <w:t>研发部</w:t>
      </w:r>
      <w:r>
        <w:t>经理应定期组织召开项目例会和编制项目周报。项目例会和周报应按如下要求进行：</w:t>
      </w:r>
    </w:p>
    <w:p w14:paraId="51083433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各开发小组汇报项目存在的技术风险和问题；</w:t>
      </w:r>
    </w:p>
    <w:p w14:paraId="3E6607F9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2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2"/>
          <w:sz w:val="24"/>
          <w:szCs w:val="24"/>
        </w:rPr>
        <w:t>向项目团队成员陈述项目总体技术风险和问题，并对技术风险和问题逐一进行决策；</w:t>
      </w:r>
    </w:p>
    <w:p w14:paraId="4DDAEC4A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通报项目整体进展状况，报告关键里程碑偏差情况；</w:t>
      </w:r>
    </w:p>
    <w:p w14:paraId="1DB56C65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对风险和问题作出最终处置决议；</w:t>
      </w:r>
    </w:p>
    <w:p w14:paraId="62B18C0B">
      <w:pPr>
        <w:keepNext w:val="0"/>
        <w:keepLines w:val="0"/>
        <w:pageBreakBefore w:val="0"/>
        <w:widowControl w:val="0"/>
        <w:numPr>
          <w:ilvl w:val="0"/>
          <w:numId w:val="1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研发部经理</w:t>
      </w:r>
      <w:r>
        <w:rPr>
          <w:rFonts w:ascii="宋体" w:hAnsi="宋体" w:eastAsia="宋体" w:cs="宋体"/>
          <w:spacing w:val="-1"/>
          <w:sz w:val="24"/>
          <w:szCs w:val="24"/>
        </w:rPr>
        <w:t>负责编制会议纪要，并跟踪决议的实施；</w:t>
      </w:r>
    </w:p>
    <w:p w14:paraId="4D2DEDF6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0" w:name="bookmark15"/>
      <w:bookmarkEnd w:id="30"/>
      <w:bookmarkStart w:id="31" w:name="_Toc16176"/>
      <w:r>
        <w:t>问题和风险管理</w:t>
      </w:r>
      <w:bookmarkEnd w:id="31"/>
    </w:p>
    <w:p w14:paraId="4A1284D3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rPr>
          <w:rFonts w:hint="eastAsia"/>
          <w:lang w:eastAsia="zh-CN"/>
        </w:rPr>
        <w:t>研发部经理</w:t>
      </w:r>
      <w:r>
        <w:t>应定期开展问题和风险识别，并对风险识别结果和已识别问题采取必要的预防和处置措施，必要时</w:t>
      </w:r>
      <w:r>
        <w:rPr>
          <w:rFonts w:hint="eastAsia"/>
          <w:lang w:eastAsia="zh-CN"/>
        </w:rPr>
        <w:t>研发部经理</w:t>
      </w:r>
      <w:r>
        <w:t>可协调相关领导协助解决已识别风险和问题。</w:t>
      </w:r>
    </w:p>
    <w:p w14:paraId="656B34BA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bookmarkStart w:id="32" w:name="bookmark16"/>
      <w:bookmarkEnd w:id="32"/>
      <w:bookmarkStart w:id="33" w:name="_Toc358"/>
      <w:r>
        <w:t>测试环境管理</w:t>
      </w:r>
      <w:bookmarkEnd w:id="33"/>
    </w:p>
    <w:p w14:paraId="7A83E214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</w:pPr>
      <w:r>
        <w:t>研发项目组应对研发环境进行管理，并在研发文档中说明技术研发的所采用的各种工具，开发环境，测试环境等。同时，研发过程应符合以下规范：</w:t>
      </w:r>
    </w:p>
    <w:p w14:paraId="6E675768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项目组应保证开发、测试和生产环境独立；</w:t>
      </w:r>
    </w:p>
    <w:p w14:paraId="6F3EF701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为各环境建立访问权限控制机制，并明确项目成员的职责分工。</w:t>
      </w:r>
    </w:p>
    <w:p w14:paraId="562FE3D5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2"/>
          <w:sz w:val="24"/>
          <w:szCs w:val="24"/>
        </w:rPr>
        <w:t>对开发环境、测试环境与生产环境在物理或逻辑方面应该做到隔离；如</w:t>
      </w:r>
      <w:r>
        <w:rPr>
          <w:rFonts w:ascii="宋体" w:hAnsi="宋体" w:eastAsia="宋体" w:cs="宋体"/>
          <w:spacing w:val="-1"/>
          <w:sz w:val="24"/>
          <w:szCs w:val="24"/>
        </w:rPr>
        <w:t>果环境的分隔是通过逻辑形式实现的，应定期检查网络设置。</w:t>
      </w:r>
    </w:p>
    <w:p w14:paraId="3A9789E1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3"/>
          <w:sz w:val="24"/>
          <w:szCs w:val="24"/>
        </w:rPr>
        <w:t>对已授权访问生产环境的人员进行详细记录，并对该记</w:t>
      </w:r>
      <w:r>
        <w:rPr>
          <w:rFonts w:ascii="宋体" w:hAnsi="宋体" w:eastAsia="宋体" w:cs="宋体"/>
          <w:spacing w:val="-4"/>
          <w:sz w:val="24"/>
          <w:szCs w:val="24"/>
        </w:rPr>
        <w:t>录进行定期检查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7EDBF45C">
      <w:pPr>
        <w:keepNext w:val="0"/>
        <w:keepLines w:val="0"/>
        <w:pageBreakBefore w:val="0"/>
        <w:widowControl w:val="0"/>
        <w:numPr>
          <w:ilvl w:val="0"/>
          <w:numId w:val="1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="425" w:leftChars="0" w:right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1"/>
          <w:sz w:val="24"/>
          <w:szCs w:val="24"/>
        </w:rPr>
        <w:t>对研发环境和研发产出物进行配置管理。</w:t>
      </w:r>
    </w:p>
    <w:p w14:paraId="1322E012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4" w:name="_Toc13715"/>
      <w:r>
        <w:rPr>
          <w:rFonts w:hint="default"/>
          <w:lang w:val="en-US" w:eastAsia="zh-CN"/>
        </w:rPr>
        <w:t>运维成果应用管理</w:t>
      </w:r>
      <w:bookmarkEnd w:id="34"/>
    </w:p>
    <w:p w14:paraId="62650388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5" w:name="_Toc13391"/>
      <w:r>
        <w:rPr>
          <w:rFonts w:hint="default"/>
          <w:lang w:val="en-US" w:eastAsia="zh-CN"/>
        </w:rPr>
        <w:t>成果交接</w:t>
      </w:r>
      <w:bookmarkEnd w:id="35"/>
    </w:p>
    <w:p w14:paraId="1A8D4C8F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研发项目完成后，研发部经理应在5个工作日内将成果移交至运维部，移交内容包括可运行程序、部署记录、操作说明及异常处理指引。移交清单双方签字确认。</w:t>
      </w:r>
    </w:p>
    <w:p w14:paraId="51A3DBC0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6" w:name="_Toc834"/>
      <w:r>
        <w:rPr>
          <w:rFonts w:hint="default"/>
          <w:lang w:val="en-US" w:eastAsia="zh-CN"/>
        </w:rPr>
        <w:t>现场试运行</w:t>
      </w:r>
      <w:bookmarkEnd w:id="36"/>
    </w:p>
    <w:p w14:paraId="4B241F2C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运维部在真实运维环境中安排成果试运行，试运行时长根据成果复杂度确定，一般不超过20个工作日。试运行期间，研发部指派专人配合解决现场问题。</w:t>
      </w:r>
    </w:p>
    <w:p w14:paraId="3554DADF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7" w:name="_Toc7713"/>
      <w:r>
        <w:rPr>
          <w:rFonts w:hint="default"/>
          <w:lang w:val="en-US" w:eastAsia="zh-CN"/>
        </w:rPr>
        <w:t>运行状态登记</w:t>
      </w:r>
      <w:bookmarkEnd w:id="37"/>
    </w:p>
    <w:p w14:paraId="53E82A96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 w:right="0" w:rightChars="0"/>
        <w:textAlignment w:val="baseline"/>
        <w:rPr>
          <w:rStyle w:val="45"/>
          <w:rFonts w:hint="default"/>
          <w:lang w:val="en-US" w:eastAsia="zh-CN"/>
        </w:rPr>
      </w:pPr>
      <w:r>
        <w:rPr>
          <w:rStyle w:val="45"/>
          <w:rFonts w:hint="default"/>
          <w:lang w:val="en-US" w:eastAsia="zh-CN"/>
        </w:rPr>
        <w:t>运维部对每项投入使用的成果建立运行档案，记录启用时间、覆盖范围、故障次数及处置结果。档案每月更新一次，供双方查阅。</w:t>
      </w:r>
    </w:p>
    <w:p w14:paraId="5702FD0F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  <w:bookmarkStart w:id="38" w:name="_Toc15056"/>
      <w:r>
        <w:rPr>
          <w:rFonts w:hint="default"/>
          <w:lang w:val="en-US" w:eastAsia="zh-CN"/>
        </w:rPr>
        <w:t>适用性复核</w:t>
      </w:r>
      <w:bookmarkEnd w:id="38"/>
    </w:p>
    <w:p w14:paraId="27BC38A1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每半年组织一次成果适用性复核，由运维部汇总实际使用情况，研发部评估是否满足当前运维需求。复核结论分为：继续使用、限期整改、停止使用。</w:t>
      </w:r>
    </w:p>
    <w:p w14:paraId="0912C434">
      <w:pPr>
        <w:pStyle w:val="32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39" w:name="_Toc20364"/>
      <w:r>
        <w:rPr>
          <w:rFonts w:hint="default"/>
          <w:lang w:val="en-US" w:eastAsia="zh-CN"/>
        </w:rPr>
        <w:t>5.5.5 成果废止</w:t>
      </w:r>
      <w:bookmarkEnd w:id="39"/>
    </w:p>
    <w:p w14:paraId="6FA0A1FF">
      <w:pPr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auto"/>
        <w:ind w:leftChars="0" w:right="0" w:rightChars="0"/>
        <w:textAlignment w:val="baseline"/>
        <w:rPr>
          <w:rFonts w:hint="default"/>
          <w:lang w:val="en-US" w:eastAsia="zh-CN"/>
        </w:rPr>
      </w:pPr>
      <w:r>
        <w:rPr>
          <w:rStyle w:val="45"/>
          <w:rFonts w:hint="default"/>
          <w:lang w:val="en-US" w:eastAsia="zh-CN"/>
        </w:rPr>
        <w:t>对停止使用的成果，运维部从运维环境中移除，研发部同步在配置库中标记为“已废止”，不再纳入维护范围</w:t>
      </w:r>
      <w:r>
        <w:rPr>
          <w:rFonts w:hint="default"/>
          <w:lang w:val="en-US" w:eastAsia="zh-CN"/>
        </w:rPr>
        <w:t>。</w:t>
      </w:r>
    </w:p>
    <w:p w14:paraId="0F5C76BD">
      <w:pPr>
        <w:pStyle w:val="31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40" w:name="_Toc30958"/>
      <w:r>
        <w:rPr>
          <w:rFonts w:hint="eastAsia"/>
          <w:lang w:val="en-US" w:eastAsia="zh-CN"/>
        </w:rPr>
        <w:t>考核指标</w:t>
      </w:r>
      <w:bookmarkEnd w:id="40"/>
    </w:p>
    <w:tbl>
      <w:tblPr>
        <w:tblStyle w:val="22"/>
        <w:tblW w:w="847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4568"/>
        <w:gridCol w:w="1147"/>
        <w:gridCol w:w="911"/>
      </w:tblGrid>
      <w:tr w14:paraId="10DB4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48" w:type="dxa"/>
            <w:vAlign w:val="center"/>
          </w:tcPr>
          <w:p w14:paraId="1832037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指标度量项</w:t>
            </w:r>
          </w:p>
        </w:tc>
        <w:tc>
          <w:tcPr>
            <w:tcW w:w="4568" w:type="dxa"/>
            <w:vAlign w:val="center"/>
          </w:tcPr>
          <w:p w14:paraId="7BE89BC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计算公式</w:t>
            </w:r>
          </w:p>
        </w:tc>
        <w:tc>
          <w:tcPr>
            <w:tcW w:w="1147" w:type="dxa"/>
            <w:vAlign w:val="center"/>
          </w:tcPr>
          <w:p w14:paraId="5B5B63D4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center"/>
              <w:rPr>
                <w:rFonts w:hint="default" w:eastAsia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vertAlign w:val="baseline"/>
                <w:lang w:val="en-US" w:eastAsia="zh-CN"/>
              </w:rPr>
              <w:t>指标要求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38BDF2AD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center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z w:val="18"/>
                <w:szCs w:val="18"/>
              </w:rPr>
              <w:t>频率</w:t>
            </w:r>
          </w:p>
        </w:tc>
      </w:tr>
      <w:tr w14:paraId="35B56C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" w:hRule="atLeast"/>
          <w:jc w:val="center"/>
        </w:trPr>
        <w:tc>
          <w:tcPr>
            <w:tcW w:w="1848" w:type="dxa"/>
            <w:vAlign w:val="center"/>
          </w:tcPr>
          <w:p w14:paraId="7F488913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技术研发成果达成率</w:t>
            </w:r>
          </w:p>
        </w:tc>
        <w:tc>
          <w:tcPr>
            <w:tcW w:w="4568" w:type="dxa"/>
            <w:vAlign w:val="center"/>
          </w:tcPr>
          <w:p w14:paraId="6E882406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技术研发成果达成数量/计划研发成果数量</w:t>
            </w:r>
            <w:r>
              <w:rPr>
                <w:rFonts w:hint="eastAsia" w:ascii="宋体" w:hAnsi="宋体" w:eastAsia="宋体" w:cs="宋体"/>
                <w:sz w:val="18"/>
                <w:szCs w:val="18"/>
                <w:lang w:eastAsia="zh-CN"/>
              </w:rPr>
              <w:t>*</w:t>
            </w:r>
            <w:r>
              <w:rPr>
                <w:rFonts w:hint="eastAsia" w:ascii="宋体" w:hAnsi="宋体" w:eastAsia="宋体" w:cs="宋体"/>
                <w:sz w:val="18"/>
                <w:szCs w:val="18"/>
              </w:rPr>
              <w:t>100%</w:t>
            </w:r>
          </w:p>
        </w:tc>
        <w:tc>
          <w:tcPr>
            <w:tcW w:w="1147" w:type="dxa"/>
            <w:vAlign w:val="center"/>
          </w:tcPr>
          <w:p w14:paraId="6E61E681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center"/>
              <w:rPr>
                <w:vertAlign w:val="baseline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≥90%</w:t>
            </w:r>
          </w:p>
        </w:tc>
        <w:tc>
          <w:tcPr>
            <w:tcW w:w="911" w:type="dxa"/>
            <w:shd w:val="clear" w:color="auto" w:fill="auto"/>
            <w:vAlign w:val="center"/>
          </w:tcPr>
          <w:p w14:paraId="2C08FC4F">
            <w:pPr>
              <w:keepNext w:val="0"/>
              <w:keepLines w:val="0"/>
              <w:pageBreakBefore w:val="0"/>
              <w:widowControl w:val="0"/>
              <w:wordWrap/>
              <w:overflowPunct/>
              <w:topLinePunct w:val="0"/>
              <w:bidi w:val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</w:rPr>
              <w:t>每</w:t>
            </w:r>
            <w:r>
              <w:rPr>
                <w:rFonts w:hint="eastAsia" w:ascii="宋体" w:hAnsi="宋体" w:eastAsia="宋体" w:cs="宋体"/>
                <w:sz w:val="18"/>
                <w:szCs w:val="18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z w:val="18"/>
                <w:szCs w:val="18"/>
                <w:lang w:val="en-US" w:eastAsia="zh-CN"/>
              </w:rPr>
              <w:t>度</w:t>
            </w:r>
          </w:p>
        </w:tc>
      </w:tr>
    </w:tbl>
    <w:p w14:paraId="1F6F522D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Style w:val="39"/>
          <w:rFonts w:hint="default" w:eastAsia="宋体"/>
          <w:lang w:val="en-US" w:eastAsia="zh-CN"/>
        </w:rPr>
      </w:pPr>
      <w:bookmarkStart w:id="41" w:name="_Toc3642"/>
      <w:r>
        <w:rPr>
          <w:rStyle w:val="39"/>
          <w:rFonts w:hint="eastAsia" w:eastAsia="宋体"/>
          <w:lang w:val="en-US" w:eastAsia="zh-CN"/>
        </w:rPr>
        <w:t>附则</w:t>
      </w:r>
      <w:bookmarkEnd w:id="16"/>
      <w:bookmarkEnd w:id="41"/>
    </w:p>
    <w:p w14:paraId="0A1B1C47">
      <w:pPr>
        <w:pStyle w:val="30"/>
        <w:keepNext w:val="0"/>
        <w:keepLines w:val="0"/>
        <w:pageBreakBefore w:val="0"/>
        <w:widowControl w:val="0"/>
        <w:numPr>
          <w:ilvl w:val="0"/>
          <w:numId w:val="15"/>
        </w:numPr>
        <w:wordWrap/>
        <w:overflowPunct/>
        <w:topLinePunct w:val="0"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此制度最终解释权归研发部所有</w:t>
      </w:r>
    </w:p>
    <w:p w14:paraId="484F1AC8">
      <w:pPr>
        <w:pStyle w:val="30"/>
        <w:keepNext w:val="0"/>
        <w:keepLines w:val="0"/>
        <w:pageBreakBefore w:val="0"/>
        <w:widowControl w:val="0"/>
        <w:numPr>
          <w:ilvl w:val="0"/>
          <w:numId w:val="15"/>
        </w:numPr>
        <w:wordWrap/>
        <w:overflowPunct/>
        <w:topLinePunct w:val="0"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此制度自发布之日起实施</w:t>
      </w:r>
    </w:p>
    <w:p w14:paraId="0D76EEC1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bookmarkStart w:id="42" w:name="bookmark14"/>
      <w:bookmarkEnd w:id="42"/>
      <w:bookmarkStart w:id="43" w:name="_Toc363"/>
      <w:r>
        <w:rPr>
          <w:rFonts w:hint="eastAsia"/>
          <w:lang w:val="en-US" w:eastAsia="zh-CN"/>
        </w:rPr>
        <w:t>附件</w:t>
      </w:r>
      <w:bookmarkEnd w:id="43"/>
    </w:p>
    <w:p w14:paraId="3EEF3616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5B964106">
      <w:pPr>
        <w:pStyle w:val="29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eastAsia"/>
          <w:lang w:val="en-US" w:eastAsia="zh-CN"/>
        </w:rPr>
      </w:pPr>
      <w:bookmarkStart w:id="44" w:name="_Toc6213"/>
      <w:r>
        <w:rPr>
          <w:rFonts w:hint="eastAsia"/>
          <w:lang w:val="en-US" w:eastAsia="zh-CN"/>
        </w:rPr>
        <w:t>记录</w:t>
      </w:r>
      <w:bookmarkEnd w:id="44"/>
    </w:p>
    <w:p w14:paraId="2585AD5D">
      <w:pPr>
        <w:pStyle w:val="30"/>
        <w:keepNext w:val="0"/>
        <w:keepLines w:val="0"/>
        <w:pageBreakBefore w:val="0"/>
        <w:widowControl w:val="0"/>
        <w:wordWrap/>
        <w:overflowPunct/>
        <w:topLinePunct w:val="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B28D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西安泽玺信息科技有限公司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8A3285"/>
    <w:multiLevelType w:val="singleLevel"/>
    <w:tmpl w:val="838A328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66D34FB"/>
    <w:multiLevelType w:val="singleLevel"/>
    <w:tmpl w:val="866D34F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8A1E147F"/>
    <w:multiLevelType w:val="singleLevel"/>
    <w:tmpl w:val="8A1E147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8C7D16CE"/>
    <w:multiLevelType w:val="singleLevel"/>
    <w:tmpl w:val="8C7D1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5">
    <w:nsid w:val="9258D70F"/>
    <w:multiLevelType w:val="singleLevel"/>
    <w:tmpl w:val="9258D7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AE5D3A9"/>
    <w:multiLevelType w:val="singleLevel"/>
    <w:tmpl w:val="DAE5D3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E8AD92B3"/>
    <w:multiLevelType w:val="singleLevel"/>
    <w:tmpl w:val="E8AD92B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2EA6898"/>
    <w:multiLevelType w:val="singleLevel"/>
    <w:tmpl w:val="22EA689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24986C67"/>
    <w:multiLevelType w:val="singleLevel"/>
    <w:tmpl w:val="24986C6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33B7D8A9"/>
    <w:multiLevelType w:val="singleLevel"/>
    <w:tmpl w:val="33B7D8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4BC8F928"/>
    <w:multiLevelType w:val="singleLevel"/>
    <w:tmpl w:val="4BC8F92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59EB1DAF"/>
    <w:multiLevelType w:val="singleLevel"/>
    <w:tmpl w:val="59EB1DA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6940EB06"/>
    <w:multiLevelType w:val="singleLevel"/>
    <w:tmpl w:val="6940EB0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7FC464CD"/>
    <w:multiLevelType w:val="singleLevel"/>
    <w:tmpl w:val="7FC464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4"/>
  </w:num>
  <w:num w:numId="2">
    <w:abstractNumId w:val="9"/>
  </w:num>
  <w:num w:numId="3">
    <w:abstractNumId w:val="5"/>
  </w:num>
  <w:num w:numId="4">
    <w:abstractNumId w:val="7"/>
  </w:num>
  <w:num w:numId="5">
    <w:abstractNumId w:val="14"/>
  </w:num>
  <w:num w:numId="6">
    <w:abstractNumId w:val="13"/>
  </w:num>
  <w:num w:numId="7">
    <w:abstractNumId w:val="12"/>
  </w:num>
  <w:num w:numId="8">
    <w:abstractNumId w:val="2"/>
  </w:num>
  <w:num w:numId="9">
    <w:abstractNumId w:val="3"/>
  </w:num>
  <w:num w:numId="10">
    <w:abstractNumId w:val="10"/>
  </w:num>
  <w:num w:numId="11">
    <w:abstractNumId w:val="0"/>
  </w:num>
  <w:num w:numId="12">
    <w:abstractNumId w:val="8"/>
  </w:num>
  <w:num w:numId="13">
    <w:abstractNumId w:val="6"/>
  </w:num>
  <w:num w:numId="14">
    <w:abstractNumId w:val="11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509B1CAD"/>
    <w:rsid w:val="625B657B"/>
    <w:rsid w:val="79FB4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3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19">
    <w:name w:val="Normal (Web)"/>
    <w:basedOn w:val="1"/>
    <w:qFormat/>
    <w:uiPriority w:val="0"/>
    <w:rPr>
      <w:sz w:val="24"/>
    </w:rPr>
  </w:style>
  <w:style w:type="paragraph" w:styleId="20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Strong"/>
    <w:basedOn w:val="23"/>
    <w:qFormat/>
    <w:uiPriority w:val="0"/>
    <w:rPr>
      <w:b/>
    </w:rPr>
  </w:style>
  <w:style w:type="paragraph" w:customStyle="1" w:styleId="25">
    <w:name w:val="柴_公司名"/>
    <w:basedOn w:val="20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20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5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character" w:customStyle="1" w:styleId="40">
    <w:name w:val="柴_题注 Char"/>
    <w:link w:val="41"/>
    <w:qFormat/>
    <w:uiPriority w:val="0"/>
  </w:style>
  <w:style w:type="paragraph" w:customStyle="1" w:styleId="41">
    <w:name w:val="柴_题注"/>
    <w:basedOn w:val="18"/>
    <w:link w:val="40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table" w:customStyle="1" w:styleId="43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4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character" w:customStyle="1" w:styleId="45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3138</Words>
  <Characters>3342</Characters>
  <Lines>0</Lines>
  <Paragraphs>0</Paragraphs>
  <TotalTime>0</TotalTime>
  <ScaleCrop>false</ScaleCrop>
  <LinksUpToDate>false</LinksUpToDate>
  <CharactersWithSpaces>3496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2026-08-24T05:08:12Z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2052-12.1.0.28500</vt:lpwstr>
  </property>
  <property fmtid="{D5CDD505-2E9C-101B-9397-08002B2CF9AE}" pid="4" name="KSOTemplateDocerSaveRecord">
    <vt:lpwstr>eyJoZGlkIjoiMDY5NmFjMmM4ZTljMGJiZDAxN2JmYTc0NGI0NmFiNDgiLCJ1c2VySWQiOiIxMDc1MzgyOSJ9</vt:lpwstr>
  </property>
</Properties>
</file>