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557AA">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2-05</w:t>
      </w:r>
    </w:p>
    <w:p w14:paraId="52CEA6B5">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F27A6E1">
      <w:pPr>
        <w:pStyle w:val="25"/>
        <w:widowControl w:val="0"/>
        <w:spacing w:after="1872"/>
        <w:rPr>
          <w:lang w:eastAsia="zh-CN"/>
        </w:rPr>
      </w:pPr>
      <w:bookmarkStart w:id="0" w:name="_Toc23584"/>
      <w:r>
        <w:rPr>
          <w:lang w:eastAsia="zh-CN"/>
        </w:rPr>
        <w:t>西安泽玺信息科技有限公司</w:t>
      </w:r>
      <w:bookmarkEnd w:id="0"/>
    </w:p>
    <w:p w14:paraId="1EEE6697">
      <w:pPr>
        <w:pStyle w:val="26"/>
        <w:bidi w:val="0"/>
        <w:rPr>
          <w:rFonts w:hint="default"/>
          <w:sz w:val="44"/>
          <w:szCs w:val="44"/>
          <w:lang w:val="en-US" w:eastAsia="zh-CN"/>
        </w:rPr>
      </w:pPr>
      <w:bookmarkStart w:id="1" w:name="_Toc6296"/>
      <w:r>
        <w:rPr>
          <w:rFonts w:hint="eastAsia"/>
          <w:sz w:val="44"/>
          <w:szCs w:val="44"/>
          <w:lang w:eastAsia="zh-CN"/>
        </w:rPr>
        <w:t>银川输油气分公司2026年度桌面及信息网络综合运维技术服务项目</w:t>
      </w:r>
      <w:r>
        <w:rPr>
          <w:rFonts w:hint="eastAsia"/>
          <w:sz w:val="44"/>
          <w:szCs w:val="44"/>
          <w:lang w:val="en-US" w:eastAsia="zh-CN"/>
        </w:rPr>
        <w:t>交付方案</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5642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57AEE7CB">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丁嘉涛</w:t>
            </w:r>
          </w:p>
        </w:tc>
        <w:tc>
          <w:tcPr>
            <w:tcW w:w="4261" w:type="dxa"/>
          </w:tcPr>
          <w:p w14:paraId="624879B5">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2026.1.</w:t>
            </w:r>
            <w:r>
              <w:rPr>
                <w:rFonts w:hint="eastAsia"/>
                <w:sz w:val="21"/>
                <w:u w:val="single"/>
                <w:lang w:val="en-US" w:eastAsia="zh-CN"/>
              </w:rPr>
              <w:t>10</w:t>
            </w:r>
          </w:p>
        </w:tc>
      </w:tr>
      <w:tr w14:paraId="2395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318272EE">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孙晓玲</w:t>
            </w:r>
          </w:p>
        </w:tc>
        <w:tc>
          <w:tcPr>
            <w:tcW w:w="4261" w:type="dxa"/>
          </w:tcPr>
          <w:p w14:paraId="6E8C1161">
            <w:pPr>
              <w:pStyle w:val="30"/>
              <w:widowControl w:val="0"/>
              <w:ind w:firstLine="420"/>
              <w:jc w:val="both"/>
              <w:rPr>
                <w:rFonts w:hint="eastAsia" w:ascii="宋体" w:hAnsi="宋体" w:cs="宋体"/>
                <w:sz w:val="21"/>
              </w:rPr>
            </w:pPr>
            <w:r>
              <w:rPr>
                <w:rFonts w:hint="eastAsia" w:ascii="宋体" w:hAnsi="宋体" w:cs="宋体"/>
                <w:sz w:val="21"/>
                <w:lang w:val="en-US" w:eastAsia="zh-CN"/>
              </w:rPr>
              <w:t>审核</w:t>
            </w:r>
            <w:r>
              <w:rPr>
                <w:rFonts w:hint="eastAsia" w:ascii="宋体" w:hAnsi="宋体" w:cs="宋体"/>
                <w:sz w:val="21"/>
              </w:rPr>
              <w:t>时间:</w:t>
            </w:r>
            <w:r>
              <w:rPr>
                <w:sz w:val="21"/>
                <w:u w:val="single"/>
              </w:rPr>
              <w:t>2026.1.</w:t>
            </w:r>
            <w:r>
              <w:rPr>
                <w:rFonts w:hint="eastAsia"/>
                <w:sz w:val="21"/>
                <w:u w:val="single"/>
                <w:lang w:val="en-US" w:eastAsia="zh-CN"/>
              </w:rPr>
              <w:t>10</w:t>
            </w:r>
          </w:p>
        </w:tc>
      </w:tr>
      <w:tr w14:paraId="1CF72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16E1A20">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tcPr>
          <w:p w14:paraId="5076CB52">
            <w:pPr>
              <w:pStyle w:val="30"/>
              <w:widowControl w:val="0"/>
              <w:ind w:firstLine="420"/>
              <w:jc w:val="both"/>
              <w:rPr>
                <w:rFonts w:hint="eastAsia" w:ascii="宋体" w:hAnsi="宋体" w:cs="宋体"/>
                <w:sz w:val="21"/>
              </w:rPr>
            </w:pPr>
            <w:r>
              <w:rPr>
                <w:rFonts w:hint="eastAsia" w:ascii="宋体" w:hAnsi="宋体" w:cs="宋体"/>
                <w:sz w:val="21"/>
              </w:rPr>
              <w:t>审批时间:</w:t>
            </w:r>
            <w:r>
              <w:rPr>
                <w:sz w:val="21"/>
                <w:u w:val="single"/>
              </w:rPr>
              <w:t>2026.1.</w:t>
            </w:r>
            <w:r>
              <w:rPr>
                <w:rFonts w:hint="eastAsia"/>
                <w:sz w:val="21"/>
                <w:u w:val="single"/>
                <w:lang w:val="en-US" w:eastAsia="zh-CN"/>
              </w:rPr>
              <w:t>10</w:t>
            </w:r>
          </w:p>
        </w:tc>
      </w:tr>
    </w:tbl>
    <w:p w14:paraId="74392621">
      <w:pPr>
        <w:pStyle w:val="30"/>
        <w:widowControl w:val="0"/>
        <w:ind w:firstLine="480"/>
      </w:pPr>
      <w:r>
        <w:br w:type="page"/>
      </w:r>
    </w:p>
    <w:p w14:paraId="2FCE9B85">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E99C4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2EAE26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6E51BEAF">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F2C05D8">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E823C8E">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A9B339B">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7B25921">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3122C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05AFC1">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2026.1.</w:t>
            </w:r>
            <w:r>
              <w:rPr>
                <w:rFonts w:hint="eastAsia" w:ascii="宋体" w:hAnsi="宋体" w:cs="宋体"/>
                <w:spacing w:val="3"/>
                <w:position w:val="1"/>
                <w:sz w:val="20"/>
                <w:szCs w:val="20"/>
                <w:lang w:eastAsia="zh-CN"/>
              </w:rPr>
              <w:t>10</w:t>
            </w:r>
          </w:p>
        </w:tc>
        <w:tc>
          <w:tcPr>
            <w:tcW w:w="919" w:type="dxa"/>
          </w:tcPr>
          <w:p w14:paraId="2F533F08">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A651C14">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2A740AFC">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58025179">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5B713182">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08FEBC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C987A1">
            <w:pPr>
              <w:pStyle w:val="28"/>
              <w:widowControl w:val="0"/>
              <w:rPr>
                <w:rFonts w:hint="eastAsia"/>
              </w:rPr>
            </w:pPr>
          </w:p>
        </w:tc>
        <w:tc>
          <w:tcPr>
            <w:tcW w:w="919" w:type="dxa"/>
          </w:tcPr>
          <w:p w14:paraId="2E9583D1">
            <w:pPr>
              <w:pStyle w:val="28"/>
              <w:widowControl w:val="0"/>
              <w:rPr>
                <w:rFonts w:hint="eastAsia"/>
              </w:rPr>
            </w:pPr>
          </w:p>
        </w:tc>
        <w:tc>
          <w:tcPr>
            <w:tcW w:w="2289" w:type="dxa"/>
          </w:tcPr>
          <w:p w14:paraId="4D227CAD">
            <w:pPr>
              <w:pStyle w:val="28"/>
              <w:widowControl w:val="0"/>
              <w:rPr>
                <w:rFonts w:hint="eastAsia"/>
              </w:rPr>
            </w:pPr>
          </w:p>
        </w:tc>
        <w:tc>
          <w:tcPr>
            <w:tcW w:w="1148" w:type="dxa"/>
          </w:tcPr>
          <w:p w14:paraId="4C7F5401">
            <w:pPr>
              <w:widowControl w:val="0"/>
              <w:spacing w:before="172" w:line="228" w:lineRule="auto"/>
              <w:ind w:left="313"/>
            </w:pPr>
          </w:p>
        </w:tc>
        <w:tc>
          <w:tcPr>
            <w:tcW w:w="1150" w:type="dxa"/>
          </w:tcPr>
          <w:p w14:paraId="42EF805E">
            <w:pPr>
              <w:widowControl w:val="0"/>
              <w:spacing w:before="172" w:line="228" w:lineRule="auto"/>
              <w:ind w:left="313"/>
            </w:pPr>
          </w:p>
        </w:tc>
        <w:tc>
          <w:tcPr>
            <w:tcW w:w="1240" w:type="dxa"/>
          </w:tcPr>
          <w:p w14:paraId="42D6A1E1">
            <w:pPr>
              <w:pStyle w:val="28"/>
              <w:widowControl w:val="0"/>
              <w:rPr>
                <w:rFonts w:hint="eastAsia"/>
              </w:rPr>
            </w:pPr>
          </w:p>
        </w:tc>
      </w:tr>
      <w:tr w14:paraId="7A1444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A3D50BC">
            <w:pPr>
              <w:pStyle w:val="28"/>
              <w:widowControl w:val="0"/>
              <w:rPr>
                <w:rFonts w:hint="eastAsia"/>
              </w:rPr>
            </w:pPr>
          </w:p>
        </w:tc>
        <w:tc>
          <w:tcPr>
            <w:tcW w:w="919" w:type="dxa"/>
          </w:tcPr>
          <w:p w14:paraId="2B40D23E">
            <w:pPr>
              <w:pStyle w:val="28"/>
              <w:widowControl w:val="0"/>
              <w:rPr>
                <w:rFonts w:hint="eastAsia"/>
              </w:rPr>
            </w:pPr>
          </w:p>
        </w:tc>
        <w:tc>
          <w:tcPr>
            <w:tcW w:w="2289" w:type="dxa"/>
          </w:tcPr>
          <w:p w14:paraId="0E7B7226">
            <w:pPr>
              <w:pStyle w:val="28"/>
              <w:widowControl w:val="0"/>
              <w:rPr>
                <w:rFonts w:hint="eastAsia"/>
              </w:rPr>
            </w:pPr>
          </w:p>
        </w:tc>
        <w:tc>
          <w:tcPr>
            <w:tcW w:w="1148" w:type="dxa"/>
          </w:tcPr>
          <w:p w14:paraId="1DA7E518">
            <w:pPr>
              <w:widowControl w:val="0"/>
              <w:spacing w:before="173" w:line="229" w:lineRule="auto"/>
              <w:ind w:left="314"/>
            </w:pPr>
          </w:p>
        </w:tc>
        <w:tc>
          <w:tcPr>
            <w:tcW w:w="1150" w:type="dxa"/>
          </w:tcPr>
          <w:p w14:paraId="6BDDD6B7">
            <w:pPr>
              <w:widowControl w:val="0"/>
              <w:spacing w:before="173" w:line="229" w:lineRule="auto"/>
              <w:ind w:left="314"/>
            </w:pPr>
          </w:p>
        </w:tc>
        <w:tc>
          <w:tcPr>
            <w:tcW w:w="1240" w:type="dxa"/>
          </w:tcPr>
          <w:p w14:paraId="46BAB448">
            <w:pPr>
              <w:pStyle w:val="28"/>
              <w:widowControl w:val="0"/>
              <w:rPr>
                <w:rFonts w:hint="eastAsia"/>
              </w:rPr>
            </w:pPr>
          </w:p>
        </w:tc>
      </w:tr>
      <w:tr w14:paraId="4F6BCE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3B186F4">
            <w:pPr>
              <w:pStyle w:val="28"/>
              <w:widowControl w:val="0"/>
              <w:rPr>
                <w:rFonts w:hint="eastAsia"/>
              </w:rPr>
            </w:pPr>
          </w:p>
        </w:tc>
        <w:tc>
          <w:tcPr>
            <w:tcW w:w="919" w:type="dxa"/>
          </w:tcPr>
          <w:p w14:paraId="6BD8F123">
            <w:pPr>
              <w:pStyle w:val="28"/>
              <w:widowControl w:val="0"/>
              <w:rPr>
                <w:rFonts w:hint="eastAsia"/>
              </w:rPr>
            </w:pPr>
          </w:p>
        </w:tc>
        <w:tc>
          <w:tcPr>
            <w:tcW w:w="2289" w:type="dxa"/>
          </w:tcPr>
          <w:p w14:paraId="207F92A2">
            <w:pPr>
              <w:pStyle w:val="28"/>
              <w:widowControl w:val="0"/>
              <w:rPr>
                <w:rFonts w:hint="eastAsia"/>
              </w:rPr>
            </w:pPr>
          </w:p>
        </w:tc>
        <w:tc>
          <w:tcPr>
            <w:tcW w:w="1148" w:type="dxa"/>
          </w:tcPr>
          <w:p w14:paraId="32F90D12">
            <w:pPr>
              <w:pStyle w:val="28"/>
              <w:widowControl w:val="0"/>
              <w:rPr>
                <w:rFonts w:hint="eastAsia"/>
              </w:rPr>
            </w:pPr>
          </w:p>
        </w:tc>
        <w:tc>
          <w:tcPr>
            <w:tcW w:w="1150" w:type="dxa"/>
          </w:tcPr>
          <w:p w14:paraId="266169C2">
            <w:pPr>
              <w:pStyle w:val="28"/>
              <w:widowControl w:val="0"/>
              <w:rPr>
                <w:rFonts w:hint="eastAsia"/>
              </w:rPr>
            </w:pPr>
          </w:p>
        </w:tc>
        <w:tc>
          <w:tcPr>
            <w:tcW w:w="1240" w:type="dxa"/>
          </w:tcPr>
          <w:p w14:paraId="7E3D1C64">
            <w:pPr>
              <w:pStyle w:val="28"/>
              <w:widowControl w:val="0"/>
              <w:rPr>
                <w:rFonts w:hint="eastAsia"/>
              </w:rPr>
            </w:pPr>
          </w:p>
        </w:tc>
      </w:tr>
      <w:tr w14:paraId="4C2012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6CC316D">
            <w:pPr>
              <w:pStyle w:val="28"/>
              <w:widowControl w:val="0"/>
              <w:rPr>
                <w:rFonts w:hint="eastAsia"/>
              </w:rPr>
            </w:pPr>
          </w:p>
        </w:tc>
        <w:tc>
          <w:tcPr>
            <w:tcW w:w="919" w:type="dxa"/>
          </w:tcPr>
          <w:p w14:paraId="756B468E">
            <w:pPr>
              <w:pStyle w:val="28"/>
              <w:widowControl w:val="0"/>
              <w:rPr>
                <w:rFonts w:hint="eastAsia"/>
              </w:rPr>
            </w:pPr>
          </w:p>
        </w:tc>
        <w:tc>
          <w:tcPr>
            <w:tcW w:w="2289" w:type="dxa"/>
          </w:tcPr>
          <w:p w14:paraId="3D98344F">
            <w:pPr>
              <w:pStyle w:val="28"/>
              <w:widowControl w:val="0"/>
              <w:rPr>
                <w:rFonts w:hint="eastAsia"/>
              </w:rPr>
            </w:pPr>
          </w:p>
        </w:tc>
        <w:tc>
          <w:tcPr>
            <w:tcW w:w="1148" w:type="dxa"/>
          </w:tcPr>
          <w:p w14:paraId="20D6C6F9">
            <w:pPr>
              <w:pStyle w:val="28"/>
              <w:widowControl w:val="0"/>
              <w:rPr>
                <w:rFonts w:hint="eastAsia"/>
              </w:rPr>
            </w:pPr>
          </w:p>
        </w:tc>
        <w:tc>
          <w:tcPr>
            <w:tcW w:w="1150" w:type="dxa"/>
          </w:tcPr>
          <w:p w14:paraId="5A092844">
            <w:pPr>
              <w:pStyle w:val="28"/>
              <w:widowControl w:val="0"/>
              <w:rPr>
                <w:rFonts w:hint="eastAsia"/>
              </w:rPr>
            </w:pPr>
          </w:p>
        </w:tc>
        <w:tc>
          <w:tcPr>
            <w:tcW w:w="1240" w:type="dxa"/>
          </w:tcPr>
          <w:p w14:paraId="46681536">
            <w:pPr>
              <w:pStyle w:val="28"/>
              <w:widowControl w:val="0"/>
              <w:rPr>
                <w:rFonts w:hint="eastAsia"/>
              </w:rPr>
            </w:pPr>
          </w:p>
        </w:tc>
      </w:tr>
      <w:tr w14:paraId="35FD03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5D90B48">
            <w:pPr>
              <w:pStyle w:val="28"/>
              <w:widowControl w:val="0"/>
              <w:rPr>
                <w:rFonts w:hint="eastAsia"/>
              </w:rPr>
            </w:pPr>
          </w:p>
        </w:tc>
        <w:tc>
          <w:tcPr>
            <w:tcW w:w="919" w:type="dxa"/>
          </w:tcPr>
          <w:p w14:paraId="45C31231">
            <w:pPr>
              <w:pStyle w:val="28"/>
              <w:widowControl w:val="0"/>
              <w:rPr>
                <w:rFonts w:hint="eastAsia"/>
              </w:rPr>
            </w:pPr>
          </w:p>
        </w:tc>
        <w:tc>
          <w:tcPr>
            <w:tcW w:w="2289" w:type="dxa"/>
          </w:tcPr>
          <w:p w14:paraId="43A6A1A3">
            <w:pPr>
              <w:pStyle w:val="28"/>
              <w:widowControl w:val="0"/>
              <w:rPr>
                <w:rFonts w:hint="eastAsia"/>
              </w:rPr>
            </w:pPr>
          </w:p>
        </w:tc>
        <w:tc>
          <w:tcPr>
            <w:tcW w:w="1148" w:type="dxa"/>
          </w:tcPr>
          <w:p w14:paraId="09608682">
            <w:pPr>
              <w:pStyle w:val="28"/>
              <w:widowControl w:val="0"/>
              <w:rPr>
                <w:rFonts w:hint="eastAsia"/>
              </w:rPr>
            </w:pPr>
          </w:p>
        </w:tc>
        <w:tc>
          <w:tcPr>
            <w:tcW w:w="1150" w:type="dxa"/>
          </w:tcPr>
          <w:p w14:paraId="4D6FC0B0">
            <w:pPr>
              <w:pStyle w:val="28"/>
              <w:widowControl w:val="0"/>
              <w:rPr>
                <w:rFonts w:hint="eastAsia"/>
              </w:rPr>
            </w:pPr>
          </w:p>
        </w:tc>
        <w:tc>
          <w:tcPr>
            <w:tcW w:w="1240" w:type="dxa"/>
          </w:tcPr>
          <w:p w14:paraId="089619C0">
            <w:pPr>
              <w:pStyle w:val="28"/>
              <w:widowControl w:val="0"/>
              <w:rPr>
                <w:rFonts w:hint="eastAsia"/>
              </w:rPr>
            </w:pPr>
          </w:p>
        </w:tc>
      </w:tr>
    </w:tbl>
    <w:p w14:paraId="1F6C2D08">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4A354D1">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620B95EF">
          <w:pPr>
            <w:pStyle w:val="16"/>
            <w:tabs>
              <w:tab w:val="right" w:leader="dot" w:pos="8306"/>
            </w:tabs>
          </w:pPr>
          <w:bookmarkStart w:id="50" w:name="_GoBack"/>
          <w:bookmarkEnd w:id="50"/>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_Toc23584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_Toc23584 \h </w:instrText>
          </w:r>
          <w:r>
            <w:fldChar w:fldCharType="separate"/>
          </w:r>
          <w:r>
            <w:t>1</w:t>
          </w:r>
          <w:r>
            <w:fldChar w:fldCharType="end"/>
          </w:r>
          <w:r>
            <w:rPr>
              <w:rFonts w:hint="eastAsia" w:ascii="宋体" w:hAnsi="宋体" w:eastAsia="宋体" w:cs="宋体"/>
              <w:szCs w:val="24"/>
            </w:rPr>
            <w:fldChar w:fldCharType="end"/>
          </w:r>
        </w:p>
        <w:p w14:paraId="292F59A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_Toc6296 </w:instrText>
          </w:r>
          <w:r>
            <w:rPr>
              <w:rFonts w:hint="eastAsia" w:ascii="宋体" w:hAnsi="宋体" w:cs="宋体"/>
              <w:szCs w:val="24"/>
            </w:rPr>
            <w:fldChar w:fldCharType="separate"/>
          </w:r>
          <w:r>
            <w:rPr>
              <w:rFonts w:hint="eastAsia"/>
              <w:szCs w:val="44"/>
              <w:lang w:eastAsia="zh-CN"/>
            </w:rPr>
            <w:t>银川输油气分公司2026年度桌面及信息网络综合运维技术服务项目</w:t>
          </w:r>
          <w:r>
            <w:rPr>
              <w:rFonts w:hint="eastAsia"/>
              <w:szCs w:val="44"/>
              <w:lang w:val="en-US" w:eastAsia="zh-CN"/>
            </w:rPr>
            <w:t>交付方案</w:t>
          </w:r>
          <w:r>
            <w:tab/>
          </w:r>
          <w:r>
            <w:fldChar w:fldCharType="begin"/>
          </w:r>
          <w:r>
            <w:instrText xml:space="preserve"> PAGEREF _Toc6296 \h </w:instrText>
          </w:r>
          <w:r>
            <w:fldChar w:fldCharType="separate"/>
          </w:r>
          <w:r>
            <w:t>1</w:t>
          </w:r>
          <w:r>
            <w:fldChar w:fldCharType="end"/>
          </w:r>
          <w:r>
            <w:rPr>
              <w:rFonts w:hint="eastAsia" w:ascii="宋体" w:hAnsi="宋体" w:cs="宋体"/>
              <w:szCs w:val="24"/>
            </w:rPr>
            <w:fldChar w:fldCharType="end"/>
          </w:r>
        </w:p>
        <w:p w14:paraId="7BADAD2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_Toc29830 </w:instrText>
          </w:r>
          <w:r>
            <w:rPr>
              <w:rFonts w:hint="eastAsia" w:ascii="宋体" w:hAnsi="宋体" w:cs="宋体"/>
              <w:szCs w:val="24"/>
            </w:rPr>
            <w:fldChar w:fldCharType="separate"/>
          </w:r>
          <w:r>
            <w:rPr>
              <w:rFonts w:hint="default"/>
            </w:rPr>
            <w:t xml:space="preserve">1. </w:t>
          </w:r>
          <w:r>
            <w:t>项目总览</w:t>
          </w:r>
          <w:r>
            <w:tab/>
          </w:r>
          <w:r>
            <w:fldChar w:fldCharType="begin"/>
          </w:r>
          <w:r>
            <w:instrText xml:space="preserve"> PAGEREF _Toc29830 \h </w:instrText>
          </w:r>
          <w:r>
            <w:fldChar w:fldCharType="separate"/>
          </w:r>
          <w:r>
            <w:t>4</w:t>
          </w:r>
          <w:r>
            <w:fldChar w:fldCharType="end"/>
          </w:r>
          <w:r>
            <w:rPr>
              <w:rFonts w:hint="eastAsia" w:ascii="宋体" w:hAnsi="宋体" w:cs="宋体"/>
              <w:szCs w:val="24"/>
            </w:rPr>
            <w:fldChar w:fldCharType="end"/>
          </w:r>
        </w:p>
        <w:p w14:paraId="021A49B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_Toc15914 </w:instrText>
          </w:r>
          <w:r>
            <w:rPr>
              <w:rFonts w:hint="eastAsia" w:ascii="宋体" w:hAnsi="宋体" w:cs="宋体"/>
              <w:szCs w:val="24"/>
            </w:rPr>
            <w:fldChar w:fldCharType="separate"/>
          </w:r>
          <w:r>
            <w:rPr>
              <w:rFonts w:hint="default"/>
            </w:rPr>
            <w:t xml:space="preserve">1.1. </w:t>
          </w:r>
          <w:r>
            <w:t>项目目标</w:t>
          </w:r>
          <w:r>
            <w:tab/>
          </w:r>
          <w:r>
            <w:fldChar w:fldCharType="begin"/>
          </w:r>
          <w:r>
            <w:instrText xml:space="preserve"> PAGEREF _Toc15914 \h </w:instrText>
          </w:r>
          <w:r>
            <w:fldChar w:fldCharType="separate"/>
          </w:r>
          <w:r>
            <w:t>4</w:t>
          </w:r>
          <w:r>
            <w:fldChar w:fldCharType="end"/>
          </w:r>
          <w:r>
            <w:rPr>
              <w:rFonts w:hint="eastAsia" w:ascii="宋体" w:hAnsi="宋体" w:cs="宋体"/>
              <w:szCs w:val="24"/>
            </w:rPr>
            <w:fldChar w:fldCharType="end"/>
          </w:r>
        </w:p>
        <w:p w14:paraId="0DE5AAE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_Toc21665 </w:instrText>
          </w:r>
          <w:r>
            <w:rPr>
              <w:rFonts w:hint="eastAsia" w:ascii="宋体" w:hAnsi="宋体" w:cs="宋体"/>
              <w:szCs w:val="24"/>
            </w:rPr>
            <w:fldChar w:fldCharType="separate"/>
          </w:r>
          <w:r>
            <w:rPr>
              <w:rFonts w:hint="default"/>
            </w:rPr>
            <w:t xml:space="preserve">1.2. </w:t>
          </w:r>
          <w:r>
            <w:t>交付范围</w:t>
          </w:r>
          <w:r>
            <w:tab/>
          </w:r>
          <w:r>
            <w:fldChar w:fldCharType="begin"/>
          </w:r>
          <w:r>
            <w:instrText xml:space="preserve"> PAGEREF _Toc21665 \h </w:instrText>
          </w:r>
          <w:r>
            <w:fldChar w:fldCharType="separate"/>
          </w:r>
          <w:r>
            <w:t>4</w:t>
          </w:r>
          <w:r>
            <w:fldChar w:fldCharType="end"/>
          </w:r>
          <w:r>
            <w:rPr>
              <w:rFonts w:hint="eastAsia" w:ascii="宋体" w:hAnsi="宋体" w:cs="宋体"/>
              <w:szCs w:val="24"/>
            </w:rPr>
            <w:fldChar w:fldCharType="end"/>
          </w:r>
        </w:p>
        <w:p w14:paraId="753A202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_Toc21511 </w:instrText>
          </w:r>
          <w:r>
            <w:rPr>
              <w:rFonts w:hint="eastAsia" w:ascii="宋体" w:hAnsi="宋体" w:cs="宋体"/>
              <w:szCs w:val="24"/>
            </w:rPr>
            <w:fldChar w:fldCharType="separate"/>
          </w:r>
          <w:r>
            <w:rPr>
              <w:rFonts w:hint="default"/>
            </w:rPr>
            <w:t xml:space="preserve">1.3. </w:t>
          </w:r>
          <w:r>
            <w:t>项目管理原则</w:t>
          </w:r>
          <w:r>
            <w:tab/>
          </w:r>
          <w:r>
            <w:fldChar w:fldCharType="begin"/>
          </w:r>
          <w:r>
            <w:instrText xml:space="preserve"> PAGEREF _Toc21511 \h </w:instrText>
          </w:r>
          <w:r>
            <w:fldChar w:fldCharType="separate"/>
          </w:r>
          <w:r>
            <w:t>5</w:t>
          </w:r>
          <w:r>
            <w:fldChar w:fldCharType="end"/>
          </w:r>
          <w:r>
            <w:rPr>
              <w:rFonts w:hint="eastAsia" w:ascii="宋体" w:hAnsi="宋体" w:cs="宋体"/>
              <w:szCs w:val="24"/>
            </w:rPr>
            <w:fldChar w:fldCharType="end"/>
          </w:r>
        </w:p>
        <w:p w14:paraId="0C2340F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_Toc30379 </w:instrText>
          </w:r>
          <w:r>
            <w:rPr>
              <w:rFonts w:hint="eastAsia" w:ascii="宋体" w:hAnsi="宋体" w:cs="宋体"/>
              <w:szCs w:val="24"/>
            </w:rPr>
            <w:fldChar w:fldCharType="separate"/>
          </w:r>
          <w:r>
            <w:rPr>
              <w:rFonts w:hint="default"/>
            </w:rPr>
            <w:t xml:space="preserve">2. </w:t>
          </w:r>
          <w:r>
            <w:t>项目组织与职责</w:t>
          </w:r>
          <w:r>
            <w:tab/>
          </w:r>
          <w:r>
            <w:fldChar w:fldCharType="begin"/>
          </w:r>
          <w:r>
            <w:instrText xml:space="preserve"> PAGEREF _Toc30379 \h </w:instrText>
          </w:r>
          <w:r>
            <w:fldChar w:fldCharType="separate"/>
          </w:r>
          <w:r>
            <w:t>5</w:t>
          </w:r>
          <w:r>
            <w:fldChar w:fldCharType="end"/>
          </w:r>
          <w:r>
            <w:rPr>
              <w:rFonts w:hint="eastAsia" w:ascii="宋体" w:hAnsi="宋体" w:cs="宋体"/>
              <w:szCs w:val="24"/>
            </w:rPr>
            <w:fldChar w:fldCharType="end"/>
          </w:r>
        </w:p>
        <w:p w14:paraId="12A27B0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_Toc12460 </w:instrText>
          </w:r>
          <w:r>
            <w:rPr>
              <w:rFonts w:hint="eastAsia" w:ascii="宋体" w:hAnsi="宋体" w:cs="宋体"/>
              <w:szCs w:val="24"/>
            </w:rPr>
            <w:fldChar w:fldCharType="separate"/>
          </w:r>
          <w:r>
            <w:rPr>
              <w:rFonts w:hint="default"/>
            </w:rPr>
            <w:t xml:space="preserve">3. </w:t>
          </w:r>
          <w:r>
            <w:t>项目交付总体规划</w:t>
          </w:r>
          <w:r>
            <w:tab/>
          </w:r>
          <w:r>
            <w:fldChar w:fldCharType="begin"/>
          </w:r>
          <w:r>
            <w:instrText xml:space="preserve"> PAGEREF _Toc12460 \h </w:instrText>
          </w:r>
          <w:r>
            <w:fldChar w:fldCharType="separate"/>
          </w:r>
          <w:r>
            <w:t>6</w:t>
          </w:r>
          <w:r>
            <w:fldChar w:fldCharType="end"/>
          </w:r>
          <w:r>
            <w:rPr>
              <w:rFonts w:hint="eastAsia" w:ascii="宋体" w:hAnsi="宋体" w:cs="宋体"/>
              <w:szCs w:val="24"/>
            </w:rPr>
            <w:fldChar w:fldCharType="end"/>
          </w:r>
        </w:p>
        <w:p w14:paraId="62C33F6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_Toc20369 </w:instrText>
          </w:r>
          <w:r>
            <w:rPr>
              <w:rFonts w:hint="eastAsia" w:ascii="宋体" w:hAnsi="宋体" w:cs="宋体"/>
              <w:szCs w:val="24"/>
            </w:rPr>
            <w:fldChar w:fldCharType="separate"/>
          </w:r>
          <w:r>
            <w:rPr>
              <w:rFonts w:hint="default"/>
            </w:rPr>
            <w:t xml:space="preserve">3.1. </w:t>
          </w:r>
          <w:r>
            <w:t>第一阶段：项目启动与现状调研（2026年1月）</w:t>
          </w:r>
          <w:r>
            <w:tab/>
          </w:r>
          <w:r>
            <w:fldChar w:fldCharType="begin"/>
          </w:r>
          <w:r>
            <w:instrText xml:space="preserve"> PAGEREF _Toc20369 \h </w:instrText>
          </w:r>
          <w:r>
            <w:fldChar w:fldCharType="separate"/>
          </w:r>
          <w:r>
            <w:t>6</w:t>
          </w:r>
          <w:r>
            <w:fldChar w:fldCharType="end"/>
          </w:r>
          <w:r>
            <w:rPr>
              <w:rFonts w:hint="eastAsia" w:ascii="宋体" w:hAnsi="宋体" w:cs="宋体"/>
              <w:szCs w:val="24"/>
            </w:rPr>
            <w:fldChar w:fldCharType="end"/>
          </w:r>
        </w:p>
        <w:p w14:paraId="5C64893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_Toc13334 </w:instrText>
          </w:r>
          <w:r>
            <w:rPr>
              <w:rFonts w:hint="eastAsia" w:ascii="宋体" w:hAnsi="宋体" w:cs="宋体"/>
              <w:szCs w:val="24"/>
            </w:rPr>
            <w:fldChar w:fldCharType="separate"/>
          </w:r>
          <w:r>
            <w:rPr>
              <w:rFonts w:hint="default"/>
            </w:rPr>
            <w:t xml:space="preserve">3.2. </w:t>
          </w:r>
          <w:r>
            <w:t>第二阶段：系统维护部署与数据清洗（2026年2月-3月）</w:t>
          </w:r>
          <w:r>
            <w:tab/>
          </w:r>
          <w:r>
            <w:fldChar w:fldCharType="begin"/>
          </w:r>
          <w:r>
            <w:instrText xml:space="preserve"> PAGEREF _Toc13334 \h </w:instrText>
          </w:r>
          <w:r>
            <w:fldChar w:fldCharType="separate"/>
          </w:r>
          <w:r>
            <w:t>6</w:t>
          </w:r>
          <w:r>
            <w:fldChar w:fldCharType="end"/>
          </w:r>
          <w:r>
            <w:rPr>
              <w:rFonts w:hint="eastAsia" w:ascii="宋体" w:hAnsi="宋体" w:cs="宋体"/>
              <w:szCs w:val="24"/>
            </w:rPr>
            <w:fldChar w:fldCharType="end"/>
          </w:r>
        </w:p>
        <w:p w14:paraId="301084D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_Toc2843 </w:instrText>
          </w:r>
          <w:r>
            <w:rPr>
              <w:rFonts w:hint="eastAsia" w:ascii="宋体" w:hAnsi="宋体" w:cs="宋体"/>
              <w:szCs w:val="24"/>
            </w:rPr>
            <w:fldChar w:fldCharType="separate"/>
          </w:r>
          <w:r>
            <w:rPr>
              <w:rFonts w:hint="default"/>
            </w:rPr>
            <w:t xml:space="preserve">3.3. </w:t>
          </w:r>
          <w:r>
            <w:t>第三阶段：系统优化与培训（2026年4月-5月）</w:t>
          </w:r>
          <w:r>
            <w:tab/>
          </w:r>
          <w:r>
            <w:fldChar w:fldCharType="begin"/>
          </w:r>
          <w:r>
            <w:instrText xml:space="preserve"> PAGEREF _Toc2843 \h </w:instrText>
          </w:r>
          <w:r>
            <w:fldChar w:fldCharType="separate"/>
          </w:r>
          <w:r>
            <w:t>7</w:t>
          </w:r>
          <w:r>
            <w:fldChar w:fldCharType="end"/>
          </w:r>
          <w:r>
            <w:rPr>
              <w:rFonts w:hint="eastAsia" w:ascii="宋体" w:hAnsi="宋体" w:cs="宋体"/>
              <w:szCs w:val="24"/>
            </w:rPr>
            <w:fldChar w:fldCharType="end"/>
          </w:r>
        </w:p>
        <w:p w14:paraId="56F1829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_Toc24513 </w:instrText>
          </w:r>
          <w:r>
            <w:rPr>
              <w:rFonts w:hint="eastAsia" w:ascii="宋体" w:hAnsi="宋体" w:cs="宋体"/>
              <w:szCs w:val="24"/>
            </w:rPr>
            <w:fldChar w:fldCharType="separate"/>
          </w:r>
          <w:r>
            <w:rPr>
              <w:rFonts w:hint="default"/>
            </w:rPr>
            <w:t xml:space="preserve">3.4. </w:t>
          </w:r>
          <w:r>
            <w:t>第四阶段：常态化运行与监控（2026年6月-10月）</w:t>
          </w:r>
          <w:r>
            <w:tab/>
          </w:r>
          <w:r>
            <w:fldChar w:fldCharType="begin"/>
          </w:r>
          <w:r>
            <w:instrText xml:space="preserve"> PAGEREF _Toc24513 \h </w:instrText>
          </w:r>
          <w:r>
            <w:fldChar w:fldCharType="separate"/>
          </w:r>
          <w:r>
            <w:t>7</w:t>
          </w:r>
          <w:r>
            <w:fldChar w:fldCharType="end"/>
          </w:r>
          <w:r>
            <w:rPr>
              <w:rFonts w:hint="eastAsia" w:ascii="宋体" w:hAnsi="宋体" w:cs="宋体"/>
              <w:szCs w:val="24"/>
            </w:rPr>
            <w:fldChar w:fldCharType="end"/>
          </w:r>
        </w:p>
        <w:p w14:paraId="4499AD6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_Toc24157 </w:instrText>
          </w:r>
          <w:r>
            <w:rPr>
              <w:rFonts w:hint="eastAsia" w:ascii="宋体" w:hAnsi="宋体" w:cs="宋体"/>
              <w:szCs w:val="24"/>
            </w:rPr>
            <w:fldChar w:fldCharType="separate"/>
          </w:r>
          <w:r>
            <w:rPr>
              <w:rFonts w:hint="default"/>
            </w:rPr>
            <w:t xml:space="preserve">3.5. </w:t>
          </w:r>
          <w:r>
            <w:t>第五阶段：年度总结与验收（2026年11月-12月）</w:t>
          </w:r>
          <w:r>
            <w:tab/>
          </w:r>
          <w:r>
            <w:fldChar w:fldCharType="begin"/>
          </w:r>
          <w:r>
            <w:instrText xml:space="preserve"> PAGEREF _Toc24157 \h </w:instrText>
          </w:r>
          <w:r>
            <w:fldChar w:fldCharType="separate"/>
          </w:r>
          <w:r>
            <w:t>8</w:t>
          </w:r>
          <w:r>
            <w:fldChar w:fldCharType="end"/>
          </w:r>
          <w:r>
            <w:rPr>
              <w:rFonts w:hint="eastAsia" w:ascii="宋体" w:hAnsi="宋体" w:cs="宋体"/>
              <w:szCs w:val="24"/>
            </w:rPr>
            <w:fldChar w:fldCharType="end"/>
          </w:r>
        </w:p>
        <w:p w14:paraId="3662900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_Toc4053 </w:instrText>
          </w:r>
          <w:r>
            <w:rPr>
              <w:rFonts w:hint="eastAsia" w:ascii="宋体" w:hAnsi="宋体" w:cs="宋体"/>
              <w:szCs w:val="24"/>
            </w:rPr>
            <w:fldChar w:fldCharType="separate"/>
          </w:r>
          <w:r>
            <w:rPr>
              <w:rFonts w:hint="default"/>
            </w:rPr>
            <w:t xml:space="preserve">4. </w:t>
          </w:r>
          <w:r>
            <w:t>风险管理策略</w:t>
          </w:r>
          <w:r>
            <w:tab/>
          </w:r>
          <w:r>
            <w:fldChar w:fldCharType="begin"/>
          </w:r>
          <w:r>
            <w:instrText xml:space="preserve"> PAGEREF _Toc4053 \h </w:instrText>
          </w:r>
          <w:r>
            <w:fldChar w:fldCharType="separate"/>
          </w:r>
          <w:r>
            <w:t>8</w:t>
          </w:r>
          <w:r>
            <w:fldChar w:fldCharType="end"/>
          </w:r>
          <w:r>
            <w:rPr>
              <w:rFonts w:hint="eastAsia" w:ascii="宋体" w:hAnsi="宋体" w:cs="宋体"/>
              <w:szCs w:val="24"/>
            </w:rPr>
            <w:fldChar w:fldCharType="end"/>
          </w:r>
        </w:p>
        <w:p w14:paraId="45CFAEE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_Toc19128 </w:instrText>
          </w:r>
          <w:r>
            <w:rPr>
              <w:rFonts w:hint="eastAsia" w:ascii="宋体" w:hAnsi="宋体" w:cs="宋体"/>
              <w:szCs w:val="24"/>
            </w:rPr>
            <w:fldChar w:fldCharType="separate"/>
          </w:r>
          <w:r>
            <w:rPr>
              <w:rFonts w:hint="default"/>
            </w:rPr>
            <w:t xml:space="preserve">4.1. </w:t>
          </w:r>
          <w:r>
            <w:t>技术风险</w:t>
          </w:r>
          <w:r>
            <w:tab/>
          </w:r>
          <w:r>
            <w:fldChar w:fldCharType="begin"/>
          </w:r>
          <w:r>
            <w:instrText xml:space="preserve"> PAGEREF _Toc19128 \h </w:instrText>
          </w:r>
          <w:r>
            <w:fldChar w:fldCharType="separate"/>
          </w:r>
          <w:r>
            <w:t>8</w:t>
          </w:r>
          <w:r>
            <w:fldChar w:fldCharType="end"/>
          </w:r>
          <w:r>
            <w:rPr>
              <w:rFonts w:hint="eastAsia" w:ascii="宋体" w:hAnsi="宋体" w:cs="宋体"/>
              <w:szCs w:val="24"/>
            </w:rPr>
            <w:fldChar w:fldCharType="end"/>
          </w:r>
        </w:p>
        <w:p w14:paraId="200C043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_Toc26267 </w:instrText>
          </w:r>
          <w:r>
            <w:rPr>
              <w:rFonts w:hint="eastAsia" w:ascii="宋体" w:hAnsi="宋体" w:cs="宋体"/>
              <w:szCs w:val="24"/>
            </w:rPr>
            <w:fldChar w:fldCharType="separate"/>
          </w:r>
          <w:r>
            <w:rPr>
              <w:rFonts w:hint="default"/>
            </w:rPr>
            <w:t xml:space="preserve">4.2. </w:t>
          </w:r>
          <w:r>
            <w:t>服务响应风险</w:t>
          </w:r>
          <w:r>
            <w:tab/>
          </w:r>
          <w:r>
            <w:fldChar w:fldCharType="begin"/>
          </w:r>
          <w:r>
            <w:instrText xml:space="preserve"> PAGEREF _Toc26267 \h </w:instrText>
          </w:r>
          <w:r>
            <w:fldChar w:fldCharType="separate"/>
          </w:r>
          <w:r>
            <w:t>9</w:t>
          </w:r>
          <w:r>
            <w:fldChar w:fldCharType="end"/>
          </w:r>
          <w:r>
            <w:rPr>
              <w:rFonts w:hint="eastAsia" w:ascii="宋体" w:hAnsi="宋体" w:cs="宋体"/>
              <w:szCs w:val="24"/>
            </w:rPr>
            <w:fldChar w:fldCharType="end"/>
          </w:r>
        </w:p>
        <w:p w14:paraId="396DEE2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_Toc15868 </w:instrText>
          </w:r>
          <w:r>
            <w:rPr>
              <w:rFonts w:hint="eastAsia" w:ascii="宋体" w:hAnsi="宋体" w:cs="宋体"/>
              <w:szCs w:val="24"/>
            </w:rPr>
            <w:fldChar w:fldCharType="separate"/>
          </w:r>
          <w:r>
            <w:rPr>
              <w:rFonts w:hint="default"/>
            </w:rPr>
            <w:t xml:space="preserve">4.3. </w:t>
          </w:r>
          <w:r>
            <w:t>数据质量风险</w:t>
          </w:r>
          <w:r>
            <w:tab/>
          </w:r>
          <w:r>
            <w:fldChar w:fldCharType="begin"/>
          </w:r>
          <w:r>
            <w:instrText xml:space="preserve"> PAGEREF _Toc15868 \h </w:instrText>
          </w:r>
          <w:r>
            <w:fldChar w:fldCharType="separate"/>
          </w:r>
          <w:r>
            <w:t>9</w:t>
          </w:r>
          <w:r>
            <w:fldChar w:fldCharType="end"/>
          </w:r>
          <w:r>
            <w:rPr>
              <w:rFonts w:hint="eastAsia" w:ascii="宋体" w:hAnsi="宋体" w:cs="宋体"/>
              <w:szCs w:val="24"/>
            </w:rPr>
            <w:fldChar w:fldCharType="end"/>
          </w:r>
        </w:p>
        <w:p w14:paraId="0A39CDC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_Toc17578 </w:instrText>
          </w:r>
          <w:r>
            <w:rPr>
              <w:rFonts w:hint="eastAsia" w:ascii="宋体" w:hAnsi="宋体" w:cs="宋体"/>
              <w:szCs w:val="24"/>
            </w:rPr>
            <w:fldChar w:fldCharType="separate"/>
          </w:r>
          <w:r>
            <w:rPr>
              <w:rFonts w:hint="default"/>
            </w:rPr>
            <w:t xml:space="preserve">4.4. </w:t>
          </w:r>
          <w:r>
            <w:t>沟通风险</w:t>
          </w:r>
          <w:r>
            <w:tab/>
          </w:r>
          <w:r>
            <w:fldChar w:fldCharType="begin"/>
          </w:r>
          <w:r>
            <w:instrText xml:space="preserve"> PAGEREF _Toc17578 \h </w:instrText>
          </w:r>
          <w:r>
            <w:fldChar w:fldCharType="separate"/>
          </w:r>
          <w:r>
            <w:t>9</w:t>
          </w:r>
          <w:r>
            <w:fldChar w:fldCharType="end"/>
          </w:r>
          <w:r>
            <w:rPr>
              <w:rFonts w:hint="eastAsia" w:ascii="宋体" w:hAnsi="宋体" w:cs="宋体"/>
              <w:szCs w:val="24"/>
            </w:rPr>
            <w:fldChar w:fldCharType="end"/>
          </w:r>
        </w:p>
        <w:p w14:paraId="497146F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_Toc8288 </w:instrText>
          </w:r>
          <w:r>
            <w:rPr>
              <w:rFonts w:hint="eastAsia" w:ascii="宋体" w:hAnsi="宋体" w:cs="宋体"/>
              <w:szCs w:val="24"/>
            </w:rPr>
            <w:fldChar w:fldCharType="separate"/>
          </w:r>
          <w:r>
            <w:rPr>
              <w:rFonts w:hint="default"/>
            </w:rPr>
            <w:t xml:space="preserve">4.5. </w:t>
          </w:r>
          <w:r>
            <w:t>人员变动风险</w:t>
          </w:r>
          <w:r>
            <w:tab/>
          </w:r>
          <w:r>
            <w:fldChar w:fldCharType="begin"/>
          </w:r>
          <w:r>
            <w:instrText xml:space="preserve"> PAGEREF _Toc8288 \h </w:instrText>
          </w:r>
          <w:r>
            <w:fldChar w:fldCharType="separate"/>
          </w:r>
          <w:r>
            <w:t>10</w:t>
          </w:r>
          <w:r>
            <w:fldChar w:fldCharType="end"/>
          </w:r>
          <w:r>
            <w:rPr>
              <w:rFonts w:hint="eastAsia" w:ascii="宋体" w:hAnsi="宋体" w:cs="宋体"/>
              <w:szCs w:val="24"/>
            </w:rPr>
            <w:fldChar w:fldCharType="end"/>
          </w:r>
        </w:p>
        <w:p w14:paraId="528BB4C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_Toc15213 </w:instrText>
          </w:r>
          <w:r>
            <w:rPr>
              <w:rFonts w:hint="eastAsia" w:ascii="宋体" w:hAnsi="宋体" w:cs="宋体"/>
              <w:szCs w:val="24"/>
            </w:rPr>
            <w:fldChar w:fldCharType="separate"/>
          </w:r>
          <w:r>
            <w:rPr>
              <w:rFonts w:hint="default"/>
            </w:rPr>
            <w:t xml:space="preserve">5. </w:t>
          </w:r>
          <w:r>
            <w:t>质量控制与交付物管理</w:t>
          </w:r>
          <w:r>
            <w:tab/>
          </w:r>
          <w:r>
            <w:fldChar w:fldCharType="begin"/>
          </w:r>
          <w:r>
            <w:instrText xml:space="preserve"> PAGEREF _Toc15213 \h </w:instrText>
          </w:r>
          <w:r>
            <w:fldChar w:fldCharType="separate"/>
          </w:r>
          <w:r>
            <w:t>10</w:t>
          </w:r>
          <w:r>
            <w:fldChar w:fldCharType="end"/>
          </w:r>
          <w:r>
            <w:rPr>
              <w:rFonts w:hint="eastAsia" w:ascii="宋体" w:hAnsi="宋体" w:cs="宋体"/>
              <w:szCs w:val="24"/>
            </w:rPr>
            <w:fldChar w:fldCharType="end"/>
          </w:r>
        </w:p>
        <w:p w14:paraId="199ADAB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_Toc10090 </w:instrText>
          </w:r>
          <w:r>
            <w:rPr>
              <w:rFonts w:hint="eastAsia" w:ascii="宋体" w:hAnsi="宋体" w:cs="宋体"/>
              <w:szCs w:val="24"/>
            </w:rPr>
            <w:fldChar w:fldCharType="separate"/>
          </w:r>
          <w:r>
            <w:rPr>
              <w:rFonts w:hint="default"/>
            </w:rPr>
            <w:t xml:space="preserve">5.1. </w:t>
          </w:r>
          <w:r>
            <w:t>四级质量控制体系</w:t>
          </w:r>
          <w:r>
            <w:tab/>
          </w:r>
          <w:r>
            <w:fldChar w:fldCharType="begin"/>
          </w:r>
          <w:r>
            <w:instrText xml:space="preserve"> PAGEREF _Toc10090 \h </w:instrText>
          </w:r>
          <w:r>
            <w:fldChar w:fldCharType="separate"/>
          </w:r>
          <w:r>
            <w:t>10</w:t>
          </w:r>
          <w:r>
            <w:fldChar w:fldCharType="end"/>
          </w:r>
          <w:r>
            <w:rPr>
              <w:rFonts w:hint="eastAsia" w:ascii="宋体" w:hAnsi="宋体" w:cs="宋体"/>
              <w:szCs w:val="24"/>
            </w:rPr>
            <w:fldChar w:fldCharType="end"/>
          </w:r>
        </w:p>
        <w:p w14:paraId="533F9F1F">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_Toc5364 </w:instrText>
          </w:r>
          <w:r>
            <w:rPr>
              <w:rFonts w:hint="eastAsia" w:ascii="宋体" w:hAnsi="宋体" w:cs="宋体"/>
              <w:szCs w:val="24"/>
            </w:rPr>
            <w:fldChar w:fldCharType="separate"/>
          </w:r>
          <w:r>
            <w:rPr>
              <w:rFonts w:hint="default"/>
            </w:rPr>
            <w:t xml:space="preserve">5.1.1. </w:t>
          </w:r>
          <w:r>
            <w:t>第一级：自检</w:t>
          </w:r>
          <w:r>
            <w:tab/>
          </w:r>
          <w:r>
            <w:fldChar w:fldCharType="begin"/>
          </w:r>
          <w:r>
            <w:instrText xml:space="preserve"> PAGEREF _Toc5364 \h </w:instrText>
          </w:r>
          <w:r>
            <w:fldChar w:fldCharType="separate"/>
          </w:r>
          <w:r>
            <w:t>10</w:t>
          </w:r>
          <w:r>
            <w:fldChar w:fldCharType="end"/>
          </w:r>
          <w:r>
            <w:rPr>
              <w:rFonts w:hint="eastAsia" w:ascii="宋体" w:hAnsi="宋体" w:cs="宋体"/>
              <w:szCs w:val="24"/>
            </w:rPr>
            <w:fldChar w:fldCharType="end"/>
          </w:r>
        </w:p>
        <w:p w14:paraId="25E8D86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_Toc15622 </w:instrText>
          </w:r>
          <w:r>
            <w:rPr>
              <w:rFonts w:hint="eastAsia" w:ascii="宋体" w:hAnsi="宋体" w:cs="宋体"/>
              <w:szCs w:val="24"/>
            </w:rPr>
            <w:fldChar w:fldCharType="separate"/>
          </w:r>
          <w:r>
            <w:rPr>
              <w:rFonts w:hint="default"/>
            </w:rPr>
            <w:t xml:space="preserve">5.1.2. </w:t>
          </w:r>
          <w:r>
            <w:t>第二级：互检</w:t>
          </w:r>
          <w:r>
            <w:tab/>
          </w:r>
          <w:r>
            <w:fldChar w:fldCharType="begin"/>
          </w:r>
          <w:r>
            <w:instrText xml:space="preserve"> PAGEREF _Toc15622 \h </w:instrText>
          </w:r>
          <w:r>
            <w:fldChar w:fldCharType="separate"/>
          </w:r>
          <w:r>
            <w:t>10</w:t>
          </w:r>
          <w:r>
            <w:fldChar w:fldCharType="end"/>
          </w:r>
          <w:r>
            <w:rPr>
              <w:rFonts w:hint="eastAsia" w:ascii="宋体" w:hAnsi="宋体" w:cs="宋体"/>
              <w:szCs w:val="24"/>
            </w:rPr>
            <w:fldChar w:fldCharType="end"/>
          </w:r>
        </w:p>
        <w:p w14:paraId="78239DD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_Toc9004 </w:instrText>
          </w:r>
          <w:r>
            <w:rPr>
              <w:rFonts w:hint="eastAsia" w:ascii="宋体" w:hAnsi="宋体" w:cs="宋体"/>
              <w:szCs w:val="24"/>
            </w:rPr>
            <w:fldChar w:fldCharType="separate"/>
          </w:r>
          <w:r>
            <w:rPr>
              <w:rFonts w:hint="default"/>
            </w:rPr>
            <w:t xml:space="preserve">5.1.3. </w:t>
          </w:r>
          <w:r>
            <w:t>第三级：专检</w:t>
          </w:r>
          <w:r>
            <w:tab/>
          </w:r>
          <w:r>
            <w:fldChar w:fldCharType="begin"/>
          </w:r>
          <w:r>
            <w:instrText xml:space="preserve"> PAGEREF _Toc9004 \h </w:instrText>
          </w:r>
          <w:r>
            <w:fldChar w:fldCharType="separate"/>
          </w:r>
          <w:r>
            <w:t>11</w:t>
          </w:r>
          <w:r>
            <w:fldChar w:fldCharType="end"/>
          </w:r>
          <w:r>
            <w:rPr>
              <w:rFonts w:hint="eastAsia" w:ascii="宋体" w:hAnsi="宋体" w:cs="宋体"/>
              <w:szCs w:val="24"/>
            </w:rPr>
            <w:fldChar w:fldCharType="end"/>
          </w:r>
        </w:p>
        <w:p w14:paraId="6DF785D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_Toc1112 </w:instrText>
          </w:r>
          <w:r>
            <w:rPr>
              <w:rFonts w:hint="eastAsia" w:ascii="宋体" w:hAnsi="宋体" w:cs="宋体"/>
              <w:szCs w:val="24"/>
            </w:rPr>
            <w:fldChar w:fldCharType="separate"/>
          </w:r>
          <w:r>
            <w:rPr>
              <w:rFonts w:hint="default"/>
            </w:rPr>
            <w:t xml:space="preserve">5.1.4. </w:t>
          </w:r>
          <w:r>
            <w:t>第四级：客户确认</w:t>
          </w:r>
          <w:r>
            <w:tab/>
          </w:r>
          <w:r>
            <w:fldChar w:fldCharType="begin"/>
          </w:r>
          <w:r>
            <w:instrText xml:space="preserve"> PAGEREF _Toc1112 \h </w:instrText>
          </w:r>
          <w:r>
            <w:fldChar w:fldCharType="separate"/>
          </w:r>
          <w:r>
            <w:t>11</w:t>
          </w:r>
          <w:r>
            <w:fldChar w:fldCharType="end"/>
          </w:r>
          <w:r>
            <w:rPr>
              <w:rFonts w:hint="eastAsia" w:ascii="宋体" w:hAnsi="宋体" w:cs="宋体"/>
              <w:szCs w:val="24"/>
            </w:rPr>
            <w:fldChar w:fldCharType="end"/>
          </w:r>
        </w:p>
        <w:p w14:paraId="11D3584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_Toc23023 </w:instrText>
          </w:r>
          <w:r>
            <w:rPr>
              <w:rFonts w:hint="eastAsia" w:ascii="宋体" w:hAnsi="宋体" w:cs="宋体"/>
              <w:szCs w:val="24"/>
            </w:rPr>
            <w:fldChar w:fldCharType="separate"/>
          </w:r>
          <w:r>
            <w:rPr>
              <w:rFonts w:hint="default"/>
            </w:rPr>
            <w:t xml:space="preserve">5.2. </w:t>
          </w:r>
          <w:r>
            <w:t>交付物管理</w:t>
          </w:r>
          <w:r>
            <w:tab/>
          </w:r>
          <w:r>
            <w:fldChar w:fldCharType="begin"/>
          </w:r>
          <w:r>
            <w:instrText xml:space="preserve"> PAGEREF _Toc23023 \h </w:instrText>
          </w:r>
          <w:r>
            <w:fldChar w:fldCharType="separate"/>
          </w:r>
          <w:r>
            <w:t>11</w:t>
          </w:r>
          <w:r>
            <w:fldChar w:fldCharType="end"/>
          </w:r>
          <w:r>
            <w:rPr>
              <w:rFonts w:hint="eastAsia" w:ascii="宋体" w:hAnsi="宋体" w:cs="宋体"/>
              <w:szCs w:val="24"/>
            </w:rPr>
            <w:fldChar w:fldCharType="end"/>
          </w:r>
        </w:p>
        <w:p w14:paraId="2B3F007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_Toc4616 </w:instrText>
          </w:r>
          <w:r>
            <w:rPr>
              <w:rFonts w:hint="eastAsia" w:ascii="宋体" w:hAnsi="宋体" w:cs="宋体"/>
              <w:szCs w:val="24"/>
            </w:rPr>
            <w:fldChar w:fldCharType="separate"/>
          </w:r>
          <w:r>
            <w:rPr>
              <w:rFonts w:hint="default"/>
            </w:rPr>
            <w:t xml:space="preserve">6. </w:t>
          </w:r>
          <w:r>
            <w:t>项目交付成果</w:t>
          </w:r>
          <w:r>
            <w:tab/>
          </w:r>
          <w:r>
            <w:fldChar w:fldCharType="begin"/>
          </w:r>
          <w:r>
            <w:instrText xml:space="preserve"> PAGEREF _Toc4616 \h </w:instrText>
          </w:r>
          <w:r>
            <w:fldChar w:fldCharType="separate"/>
          </w:r>
          <w:r>
            <w:t>11</w:t>
          </w:r>
          <w:r>
            <w:fldChar w:fldCharType="end"/>
          </w:r>
          <w:r>
            <w:rPr>
              <w:rFonts w:hint="eastAsia" w:ascii="宋体" w:hAnsi="宋体" w:cs="宋体"/>
              <w:szCs w:val="24"/>
            </w:rPr>
            <w:fldChar w:fldCharType="end"/>
          </w:r>
        </w:p>
        <w:p w14:paraId="5494189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_Toc4755 </w:instrText>
          </w:r>
          <w:r>
            <w:rPr>
              <w:rFonts w:hint="eastAsia" w:ascii="宋体" w:hAnsi="宋体" w:cs="宋体"/>
              <w:szCs w:val="24"/>
            </w:rPr>
            <w:fldChar w:fldCharType="separate"/>
          </w:r>
          <w:r>
            <w:rPr>
              <w:rFonts w:hint="default"/>
            </w:rPr>
            <w:t xml:space="preserve">7. </w:t>
          </w:r>
          <w:r>
            <w:t>项目收尾与知识转移</w:t>
          </w:r>
          <w:r>
            <w:tab/>
          </w:r>
          <w:r>
            <w:fldChar w:fldCharType="begin"/>
          </w:r>
          <w:r>
            <w:instrText xml:space="preserve"> PAGEREF _Toc4755 \h </w:instrText>
          </w:r>
          <w:r>
            <w:fldChar w:fldCharType="separate"/>
          </w:r>
          <w:r>
            <w:t>12</w:t>
          </w:r>
          <w:r>
            <w:fldChar w:fldCharType="end"/>
          </w:r>
          <w:r>
            <w:rPr>
              <w:rFonts w:hint="eastAsia" w:ascii="宋体" w:hAnsi="宋体" w:cs="宋体"/>
              <w:szCs w:val="24"/>
            </w:rPr>
            <w:fldChar w:fldCharType="end"/>
          </w:r>
        </w:p>
        <w:p w14:paraId="571F0AB7">
          <w:pPr>
            <w:widowControl w:val="0"/>
            <w:rPr>
              <w:rFonts w:hint="eastAsia" w:ascii="宋体" w:hAnsi="宋体" w:cs="宋体"/>
              <w:sz w:val="24"/>
              <w:szCs w:val="24"/>
            </w:rPr>
          </w:pPr>
          <w:r>
            <w:rPr>
              <w:rFonts w:hint="eastAsia" w:ascii="宋体" w:hAnsi="宋体" w:cs="宋体"/>
              <w:szCs w:val="24"/>
            </w:rPr>
            <w:fldChar w:fldCharType="end"/>
          </w:r>
        </w:p>
      </w:sdtContent>
    </w:sdt>
    <w:p w14:paraId="2B8B2B0A">
      <w:pPr>
        <w:pStyle w:val="29"/>
        <w:bidi w:val="0"/>
      </w:pPr>
      <w:bookmarkStart w:id="2" w:name="heading_1"/>
      <w:bookmarkStart w:id="3" w:name="_Toc29830"/>
      <w:r>
        <w:t>项目总览</w:t>
      </w:r>
      <w:bookmarkEnd w:id="2"/>
      <w:bookmarkEnd w:id="3"/>
    </w:p>
    <w:p w14:paraId="59F3AD80">
      <w:pPr>
        <w:pStyle w:val="31"/>
        <w:bidi w:val="0"/>
      </w:pPr>
      <w:bookmarkStart w:id="4" w:name="heading_2"/>
      <w:bookmarkStart w:id="5" w:name="_Toc15914"/>
      <w:r>
        <w:t>项目目标</w:t>
      </w:r>
      <w:bookmarkEnd w:id="4"/>
      <w:bookmarkEnd w:id="5"/>
    </w:p>
    <w:p w14:paraId="5FDF0E05">
      <w:pPr>
        <w:pStyle w:val="30"/>
        <w:bidi w:val="0"/>
      </w:pPr>
      <w:r>
        <w:t>本方案旨在全面指导 “银川输油气分公司2026年度桌面及信息网络综合运维技术服务项目” 的交付工作。我们的核心目标是，在合同约定的服务期内，高质量地完成桌面及信息网络系统及设备维护的各项交付内容，确保银川输油气分公司桌面及信息网络系统及其相关模块的稳定、高效运行。通过提供专业的系统维护、问题解决、知识转移和系统体检服务，保障运维服务业务连续性和数据准确性，最终实现客户满意度的持续提升，确保项目顺利通过年度服务验收。</w:t>
      </w:r>
    </w:p>
    <w:p w14:paraId="26E3A53A">
      <w:pPr>
        <w:pStyle w:val="31"/>
        <w:bidi w:val="0"/>
      </w:pPr>
      <w:bookmarkStart w:id="6" w:name="heading_3"/>
      <w:bookmarkStart w:id="7" w:name="_Toc21665"/>
      <w:r>
        <w:t>交付范围</w:t>
      </w:r>
      <w:bookmarkEnd w:id="6"/>
      <w:bookmarkEnd w:id="7"/>
    </w:p>
    <w:p w14:paraId="51D5B6BC">
      <w:pPr>
        <w:pStyle w:val="30"/>
        <w:bidi w:val="0"/>
      </w:pPr>
      <w:r>
        <w:t>本项目的实施范围严格遵循主合同《银川输油气分公司桌面及信息网络系统及设备维护合同》的约定。具体包括：</w:t>
      </w:r>
    </w:p>
    <w:p w14:paraId="01FCEBE9">
      <w:pPr>
        <w:pStyle w:val="40"/>
        <w:numPr>
          <w:ilvl w:val="0"/>
          <w:numId w:val="2"/>
        </w:numPr>
        <w:bidi w:val="0"/>
        <w:ind w:left="425" w:leftChars="0" w:hanging="425" w:firstLineChars="0"/>
      </w:pPr>
      <w:r>
        <w:t>系统运行维护服务：提供桌面及信息网络系统的日常运行监控、故障诊断与修复、性能优化等服务，确保系统7×24小时稳定运行。</w:t>
      </w:r>
    </w:p>
    <w:p w14:paraId="744A11BE">
      <w:pPr>
        <w:pStyle w:val="40"/>
        <w:numPr>
          <w:ilvl w:val="0"/>
          <w:numId w:val="2"/>
        </w:numPr>
        <w:bidi w:val="0"/>
        <w:ind w:left="425" w:leftChars="0" w:hanging="425" w:firstLineChars="0"/>
      </w:pPr>
      <w:r>
        <w:t>设备维护服务：对运维中心相关设备（包括服务器、网络设备、运维监控基站、网络设备终端、显示大屏等）进行定期巡检、故障维修、备件更换，保障设备正常运行。</w:t>
      </w:r>
    </w:p>
    <w:p w14:paraId="0172FB72">
      <w:pPr>
        <w:pStyle w:val="40"/>
        <w:numPr>
          <w:ilvl w:val="0"/>
          <w:numId w:val="2"/>
        </w:numPr>
        <w:bidi w:val="0"/>
        <w:ind w:left="425" w:leftChars="0" w:hanging="425" w:firstLineChars="0"/>
      </w:pPr>
      <w:r>
        <w:t>问题解决服务：通过服务热线、在线支持平台等方式，为客户提供7×10小时人工咨询服务，及时响应并解决客户在使用桌面及信息网络系统过程中遇到的各类故障和问题。</w:t>
      </w:r>
    </w:p>
    <w:p w14:paraId="5506E311">
      <w:pPr>
        <w:pStyle w:val="40"/>
        <w:numPr>
          <w:ilvl w:val="0"/>
          <w:numId w:val="2"/>
        </w:numPr>
        <w:bidi w:val="0"/>
        <w:ind w:left="425" w:leftChars="0" w:hanging="425" w:firstLineChars="0"/>
      </w:pPr>
      <w:r>
        <w:rPr>
          <w:rFonts w:hint="eastAsia"/>
          <w:lang w:val="en-US" w:eastAsia="zh-CN"/>
        </w:rPr>
        <w:t>服务知识</w:t>
      </w:r>
      <w:r>
        <w:t>转移服务：为客户提供系统操作手册、运维指南、故障排除知识库等文档资料，支持客户团队能力提升。</w:t>
      </w:r>
    </w:p>
    <w:p w14:paraId="518640E2">
      <w:pPr>
        <w:pStyle w:val="40"/>
        <w:numPr>
          <w:ilvl w:val="0"/>
          <w:numId w:val="2"/>
        </w:numPr>
        <w:bidi w:val="0"/>
        <w:ind w:left="425" w:leftChars="0" w:hanging="425" w:firstLineChars="0"/>
      </w:pPr>
      <w:r>
        <w:t>系统体检服务：定期对桌面及信息网络系统进行健康体检，生成体检报告，实现系统运行健康状况的主动监控与风险预警。</w:t>
      </w:r>
    </w:p>
    <w:p w14:paraId="7D37B2DB">
      <w:pPr>
        <w:pStyle w:val="40"/>
        <w:numPr>
          <w:ilvl w:val="0"/>
          <w:numId w:val="2"/>
        </w:numPr>
        <w:bidi w:val="0"/>
        <w:ind w:left="425" w:leftChars="0" w:hanging="425" w:firstLineChars="0"/>
      </w:pPr>
      <w:r>
        <w:t>数据清洗与质量保障：作为专项服务内容，依据《数据清洗策略方案》对桌面及信息网络系统各模块（运维服务计划、设备运行状态、运维人员排班、设备运维、费用结算等）的核心业务数据进行清洗、校验与质量监控，确保数据的准确性、完整性和一致性，满足运维作业安全管理要求。</w:t>
      </w:r>
    </w:p>
    <w:p w14:paraId="0BA10579">
      <w:pPr>
        <w:pStyle w:val="31"/>
        <w:bidi w:val="0"/>
      </w:pPr>
      <w:bookmarkStart w:id="8" w:name="heading_4"/>
      <w:bookmarkStart w:id="9" w:name="_Toc21511"/>
      <w:r>
        <w:t>项目管理原则</w:t>
      </w:r>
      <w:bookmarkEnd w:id="8"/>
      <w:bookmarkEnd w:id="9"/>
    </w:p>
    <w:p w14:paraId="0361FEDD">
      <w:pPr>
        <w:pStyle w:val="30"/>
        <w:bidi w:val="0"/>
      </w:pPr>
      <w:r>
        <w:t>本项目将遵循以下核心原则进行管理：</w:t>
      </w:r>
    </w:p>
    <w:p w14:paraId="15C7D287">
      <w:pPr>
        <w:pStyle w:val="40"/>
        <w:numPr>
          <w:ilvl w:val="0"/>
          <w:numId w:val="3"/>
        </w:numPr>
        <w:bidi w:val="0"/>
        <w:ind w:left="425" w:leftChars="0" w:hanging="425" w:firstLineChars="0"/>
      </w:pPr>
      <w:r>
        <w:t>计划先行：所有服务活动均以本方案及细化计划为依据，确保各项工作有序推进，资源合理配置。</w:t>
      </w:r>
    </w:p>
    <w:p w14:paraId="512C087A">
      <w:pPr>
        <w:pStyle w:val="40"/>
        <w:numPr>
          <w:ilvl w:val="0"/>
          <w:numId w:val="3"/>
        </w:numPr>
        <w:bidi w:val="0"/>
        <w:ind w:left="425" w:leftChars="0" w:hanging="425" w:firstLineChars="0"/>
      </w:pPr>
      <w:r>
        <w:t>客户导向：始终将客户需求放在首位，所有服务活动以解决客户问题、提升客户满意度为核心目标。</w:t>
      </w:r>
    </w:p>
    <w:p w14:paraId="2071CF66">
      <w:pPr>
        <w:pStyle w:val="40"/>
        <w:numPr>
          <w:ilvl w:val="0"/>
          <w:numId w:val="3"/>
        </w:numPr>
        <w:bidi w:val="0"/>
        <w:ind w:left="425" w:leftChars="0" w:hanging="425" w:firstLineChars="0"/>
      </w:pPr>
      <w:r>
        <w:t>质量为本：严格执行服务质量检查体系，对每一次服务响应、每一个问题处理、每一份交付成果进行质量把关。</w:t>
      </w:r>
    </w:p>
    <w:p w14:paraId="5D66801A">
      <w:pPr>
        <w:pStyle w:val="40"/>
        <w:numPr>
          <w:ilvl w:val="0"/>
          <w:numId w:val="3"/>
        </w:numPr>
        <w:bidi w:val="0"/>
        <w:ind w:left="425" w:leftChars="0" w:hanging="425" w:firstLineChars="0"/>
      </w:pPr>
      <w:r>
        <w:t>风险预控：主动识别并评估服务过程中可能出现的各类风险，提前制定应对措施，确保服务连续性。</w:t>
      </w:r>
    </w:p>
    <w:p w14:paraId="08E88546">
      <w:pPr>
        <w:pStyle w:val="40"/>
        <w:numPr>
          <w:ilvl w:val="0"/>
          <w:numId w:val="3"/>
        </w:numPr>
        <w:bidi w:val="0"/>
        <w:ind w:left="425" w:leftChars="0" w:hanging="425" w:firstLineChars="0"/>
      </w:pPr>
      <w:r>
        <w:t>沟通顺畅：建立与客户的定期沟通机制，确保服务进展、问题状态、改进建议等信息传递及时、准确。</w:t>
      </w:r>
    </w:p>
    <w:p w14:paraId="0C5E95FA">
      <w:pPr>
        <w:pStyle w:val="29"/>
        <w:bidi w:val="0"/>
      </w:pPr>
      <w:bookmarkStart w:id="10" w:name="heading_5"/>
      <w:bookmarkStart w:id="11" w:name="_Toc30379"/>
      <w:r>
        <w:t>项目组织与职责</w:t>
      </w:r>
      <w:bookmarkEnd w:id="10"/>
      <w:bookmarkEnd w:id="11"/>
    </w:p>
    <w:p w14:paraId="0AAEA66F">
      <w:pPr>
        <w:pStyle w:val="30"/>
        <w:bidi w:val="0"/>
      </w:pPr>
      <w:r>
        <w:t>为保障项目高效推进，我司特成立专职项目团队，组织架构与职责如下：</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4"/>
        <w:gridCol w:w="979"/>
        <w:gridCol w:w="1320"/>
        <w:gridCol w:w="5079"/>
      </w:tblGrid>
      <w:tr w14:paraId="71859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4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46242B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角色</w:t>
            </w:r>
          </w:p>
        </w:tc>
        <w:tc>
          <w:tcPr>
            <w:tcW w:w="97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DDBFA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姓名</w:t>
            </w:r>
          </w:p>
        </w:tc>
        <w:tc>
          <w:tcPr>
            <w:tcW w:w="132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124D6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职务</w:t>
            </w:r>
          </w:p>
        </w:tc>
        <w:tc>
          <w:tcPr>
            <w:tcW w:w="507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21C6E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主要职责</w:t>
            </w:r>
          </w:p>
        </w:tc>
      </w:tr>
      <w:tr w14:paraId="33FE8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4FE9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管理者代表</w:t>
            </w:r>
          </w:p>
        </w:tc>
        <w:tc>
          <w:tcPr>
            <w:tcW w:w="97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CB7A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孙晓玲</w:t>
            </w:r>
          </w:p>
        </w:tc>
        <w:tc>
          <w:tcPr>
            <w:tcW w:w="132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C2E0C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管理者代表</w:t>
            </w:r>
          </w:p>
        </w:tc>
        <w:tc>
          <w:tcPr>
            <w:tcW w:w="507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7C74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作为项目最高决策层，对项目整体战略方向、资源配置及重大事项决策负总责；监督项目执行，确保项目目标与公司战略一致。</w:t>
            </w:r>
          </w:p>
        </w:tc>
      </w:tr>
      <w:tr w14:paraId="4E523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8994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项目经理</w:t>
            </w:r>
          </w:p>
        </w:tc>
        <w:tc>
          <w:tcPr>
            <w:tcW w:w="97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47CA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丁嘉涛</w:t>
            </w:r>
          </w:p>
        </w:tc>
        <w:tc>
          <w:tcPr>
            <w:tcW w:w="132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E7C2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507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F9311D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全面负责项目的整体规划、资源协调、进度管控与客户沟通；对项目交付质量和客户满意度负总责；定期向客户及公司管理层汇报项目进展。</w:t>
            </w:r>
          </w:p>
        </w:tc>
      </w:tr>
      <w:tr w14:paraId="63885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309D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技术负责人</w:t>
            </w:r>
          </w:p>
        </w:tc>
        <w:tc>
          <w:tcPr>
            <w:tcW w:w="97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B1FD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禹海龙</w:t>
            </w:r>
          </w:p>
        </w:tc>
        <w:tc>
          <w:tcPr>
            <w:tcW w:w="132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00F1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507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7DED6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负责桌面及信息网络系统及设备维护的技术交付工作，包括系统架构设计、技术方案评审、疑难问题攻关；指导数据清洗规则开发与系统优化工作。</w:t>
            </w:r>
          </w:p>
        </w:tc>
      </w:tr>
      <w:tr w14:paraId="2B837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A0670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质量负责人</w:t>
            </w:r>
          </w:p>
        </w:tc>
        <w:tc>
          <w:tcPr>
            <w:tcW w:w="97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C31F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张清琳</w:t>
            </w:r>
          </w:p>
        </w:tc>
        <w:tc>
          <w:tcPr>
            <w:tcW w:w="132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62D8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质量部经理</w:t>
            </w:r>
          </w:p>
        </w:tc>
        <w:tc>
          <w:tcPr>
            <w:tcW w:w="507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D58A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负责制定服务质量标准，监控服务过程质量，审核交付物；定期组织服务质量评审，推动持续改进。</w:t>
            </w:r>
          </w:p>
        </w:tc>
      </w:tr>
      <w:tr w14:paraId="16DF6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956A3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培训负责人</w:t>
            </w:r>
          </w:p>
        </w:tc>
        <w:tc>
          <w:tcPr>
            <w:tcW w:w="97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1D644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张宝晶</w:t>
            </w:r>
          </w:p>
        </w:tc>
        <w:tc>
          <w:tcPr>
            <w:tcW w:w="132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1C312C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人力部经理</w:t>
            </w:r>
          </w:p>
        </w:tc>
        <w:tc>
          <w:tcPr>
            <w:tcW w:w="507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26E52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负责项目培训工作的组织与协调，包括培训计划制定、培训资源安排、培训效果评估；组织知识转移活动。</w:t>
            </w:r>
          </w:p>
        </w:tc>
      </w:tr>
    </w:tbl>
    <w:p w14:paraId="07E371B2">
      <w:pPr>
        <w:pStyle w:val="30"/>
        <w:bidi w:val="0"/>
      </w:pPr>
      <w:r>
        <w:t>项目组将建立周例会制度，每周五下午与客户召开项目沟通会，同步本周服务进展、问题处理情况、下周工作计划，并听取客户反馈意见。同时，建立月度服务报告机制，每月5日前提交上月度《服务月报》，全面汇总服务数据与质量指标。</w:t>
      </w:r>
    </w:p>
    <w:p w14:paraId="4C0BEB8A">
      <w:pPr>
        <w:pStyle w:val="29"/>
        <w:bidi w:val="0"/>
      </w:pPr>
      <w:bookmarkStart w:id="12" w:name="heading_6"/>
      <w:bookmarkStart w:id="13" w:name="_Toc12460"/>
      <w:r>
        <w:t>项目交付总体规划</w:t>
      </w:r>
      <w:bookmarkEnd w:id="12"/>
      <w:bookmarkEnd w:id="13"/>
    </w:p>
    <w:p w14:paraId="70B39139">
      <w:pPr>
        <w:pStyle w:val="30"/>
        <w:bidi w:val="0"/>
      </w:pPr>
      <w:r>
        <w:t>本项目总服务期为202</w:t>
      </w:r>
      <w:r>
        <w:rPr>
          <w:rFonts w:hint="eastAsia"/>
          <w:lang w:val="en-US" w:eastAsia="zh-CN"/>
        </w:rPr>
        <w:t>6</w:t>
      </w:r>
      <w:r>
        <w:t>年</w:t>
      </w:r>
      <w:r>
        <w:rPr>
          <w:rFonts w:hint="eastAsia"/>
          <w:lang w:val="en-US" w:eastAsia="zh-CN"/>
        </w:rPr>
        <w:t>1</w:t>
      </w:r>
      <w:r>
        <w:t>月至2026年</w:t>
      </w:r>
      <w:r>
        <w:rPr>
          <w:rFonts w:hint="eastAsia"/>
          <w:lang w:val="en-US" w:eastAsia="zh-CN"/>
        </w:rPr>
        <w:t>12</w:t>
      </w:r>
      <w:r>
        <w:t>月，共计</w:t>
      </w:r>
      <w:r>
        <w:rPr>
          <w:rFonts w:hint="eastAsia"/>
          <w:lang w:val="en-US" w:eastAsia="zh-CN"/>
        </w:rPr>
        <w:t>12</w:t>
      </w:r>
      <w:r>
        <w:t>个月。为确保服务可控、质量可追溯，我们将整体工作划分为五个关键阶段，各阶段相互衔接、有序推进。</w:t>
      </w:r>
    </w:p>
    <w:p w14:paraId="07672406">
      <w:pPr>
        <w:pStyle w:val="31"/>
        <w:bidi w:val="0"/>
      </w:pPr>
      <w:bookmarkStart w:id="14" w:name="heading_7"/>
      <w:bookmarkStart w:id="15" w:name="_Toc20369"/>
      <w:r>
        <w:t>第一阶段：项目启动与现状调研（2026年1月）</w:t>
      </w:r>
      <w:bookmarkEnd w:id="14"/>
      <w:bookmarkEnd w:id="15"/>
    </w:p>
    <w:p w14:paraId="2D986A85">
      <w:pPr>
        <w:pStyle w:val="30"/>
        <w:bidi w:val="0"/>
      </w:pPr>
      <w:r>
        <w:t>本阶段核心任务是完成项目团队组建、与客户建立沟通机制、全面了解客户系统及设备现状与服务需求。</w:t>
      </w:r>
    </w:p>
    <w:p w14:paraId="11347070">
      <w:pPr>
        <w:pStyle w:val="40"/>
        <w:numPr>
          <w:ilvl w:val="0"/>
          <w:numId w:val="4"/>
        </w:numPr>
        <w:bidi w:val="0"/>
        <w:ind w:left="425" w:leftChars="0" w:hanging="425" w:firstLineChars="0"/>
      </w:pPr>
      <w:r>
        <w:t>主要工作内容：</w:t>
      </w:r>
    </w:p>
    <w:p w14:paraId="489A6720">
      <w:pPr>
        <w:pStyle w:val="30"/>
        <w:bidi w:val="0"/>
      </w:pPr>
      <w:r>
        <w:t>召开项目启动会，明确双方项目团队、沟通渠道、汇报机制</w:t>
      </w:r>
    </w:p>
    <w:p w14:paraId="56E86D46">
      <w:pPr>
        <w:pStyle w:val="30"/>
        <w:bidi w:val="0"/>
      </w:pPr>
      <w:r>
        <w:t>收集客户桌面及信息网络系统环境信息（版本、模块、部署方式、用户规模等）</w:t>
      </w:r>
    </w:p>
    <w:p w14:paraId="7EEB228D">
      <w:pPr>
        <w:pStyle w:val="30"/>
        <w:bidi w:val="0"/>
      </w:pPr>
      <w:r>
        <w:t>调研客户现有设备清单（服务器、网络设备、运维监控基站、网络设备终端等）</w:t>
      </w:r>
    </w:p>
    <w:p w14:paraId="033FF670">
      <w:pPr>
        <w:pStyle w:val="30"/>
        <w:bidi w:val="0"/>
      </w:pPr>
      <w:r>
        <w:t>建立服务台账模板与问题跟踪机制</w:t>
      </w:r>
    </w:p>
    <w:p w14:paraId="4B529448">
      <w:pPr>
        <w:pStyle w:val="30"/>
        <w:bidi w:val="0"/>
      </w:pPr>
      <w:r>
        <w:t>制定《系统维护执行计划》与《数据清洗详细实施计划》</w:t>
      </w:r>
    </w:p>
    <w:p w14:paraId="18B5166F">
      <w:pPr>
        <w:pStyle w:val="40"/>
        <w:numPr>
          <w:ilvl w:val="0"/>
          <w:numId w:val="4"/>
        </w:numPr>
        <w:bidi w:val="0"/>
        <w:ind w:left="425" w:leftChars="0" w:hanging="425" w:firstLineChars="0"/>
      </w:pPr>
      <w:r>
        <w:t>关键交付物：</w:t>
      </w:r>
    </w:p>
    <w:p w14:paraId="6E6B0E15">
      <w:pPr>
        <w:pStyle w:val="30"/>
        <w:bidi w:val="0"/>
      </w:pPr>
      <w:r>
        <w:t>《项目启动会纪要》</w:t>
      </w:r>
    </w:p>
    <w:p w14:paraId="25FAE175">
      <w:pPr>
        <w:pStyle w:val="30"/>
        <w:bidi w:val="0"/>
      </w:pPr>
      <w:r>
        <w:t>《客户系统及设备现状调研报告》</w:t>
      </w:r>
    </w:p>
    <w:p w14:paraId="26369807">
      <w:pPr>
        <w:pStyle w:val="30"/>
        <w:bidi w:val="0"/>
      </w:pPr>
      <w:r>
        <w:t>《系统维护执行计划》</w:t>
      </w:r>
    </w:p>
    <w:p w14:paraId="77DE4377">
      <w:pPr>
        <w:pStyle w:val="31"/>
        <w:bidi w:val="0"/>
      </w:pPr>
      <w:bookmarkStart w:id="16" w:name="heading_8"/>
      <w:bookmarkStart w:id="17" w:name="_Toc13334"/>
      <w:r>
        <w:t>第二阶段：系统维护部署与数据清洗（2026年2月-3月）</w:t>
      </w:r>
      <w:bookmarkEnd w:id="16"/>
      <w:bookmarkEnd w:id="17"/>
    </w:p>
    <w:p w14:paraId="478E3CC2">
      <w:pPr>
        <w:pStyle w:val="30"/>
        <w:bidi w:val="0"/>
      </w:pPr>
      <w:r>
        <w:t>本阶段核心任务是全面启动系统维护服务，并同步开展数据清洗专项工作。</w:t>
      </w:r>
    </w:p>
    <w:p w14:paraId="0B5E4343">
      <w:pPr>
        <w:pStyle w:val="40"/>
        <w:numPr>
          <w:ilvl w:val="0"/>
          <w:numId w:val="5"/>
        </w:numPr>
        <w:bidi w:val="0"/>
        <w:ind w:left="425" w:leftChars="0" w:hanging="425" w:firstLineChars="0"/>
      </w:pPr>
      <w:r>
        <w:t>主要工作内容：</w:t>
      </w:r>
    </w:p>
    <w:p w14:paraId="5055C137">
      <w:pPr>
        <w:pStyle w:val="30"/>
        <w:bidi w:val="0"/>
      </w:pPr>
      <w:r>
        <w:t>建立客户专属服务档案，录入服务管理系统</w:t>
      </w:r>
    </w:p>
    <w:p w14:paraId="09492B62">
      <w:pPr>
        <w:pStyle w:val="30"/>
        <w:bidi w:val="0"/>
      </w:pPr>
      <w:r>
        <w:t>部署系统运行监控平台，建立7×24小时监控机制</w:t>
      </w:r>
    </w:p>
    <w:p w14:paraId="5F1E26DE">
      <w:pPr>
        <w:pStyle w:val="30"/>
        <w:bidi w:val="0"/>
      </w:pPr>
      <w:r>
        <w:t>启动首次系统体检，生成《系统体检报告》</w:t>
      </w:r>
    </w:p>
    <w:p w14:paraId="0DBE88CE">
      <w:pPr>
        <w:pStyle w:val="30"/>
        <w:bidi w:val="0"/>
      </w:pPr>
      <w:r>
        <w:t>依据《数据清洗策略方案》开展数据清洗规则开发与测试</w:t>
      </w:r>
    </w:p>
    <w:p w14:paraId="6A0EEAFB">
      <w:pPr>
        <w:pStyle w:val="30"/>
        <w:bidi w:val="0"/>
      </w:pPr>
      <w:r>
        <w:t>部署数据质量监控看板，建立数据质量日报机制</w:t>
      </w:r>
    </w:p>
    <w:p w14:paraId="2280F9FA">
      <w:pPr>
        <w:pStyle w:val="30"/>
        <w:bidi w:val="0"/>
      </w:pPr>
      <w:r>
        <w:t>开始受理日常服务请求与故障报修</w:t>
      </w:r>
    </w:p>
    <w:p w14:paraId="42F78A18">
      <w:pPr>
        <w:pStyle w:val="40"/>
        <w:numPr>
          <w:ilvl w:val="0"/>
          <w:numId w:val="5"/>
        </w:numPr>
        <w:bidi w:val="0"/>
        <w:ind w:left="425" w:leftChars="0" w:hanging="425" w:firstLineChars="0"/>
      </w:pPr>
      <w:r>
        <w:t>关键交付物：</w:t>
      </w:r>
    </w:p>
    <w:p w14:paraId="5A64B78C">
      <w:pPr>
        <w:pStyle w:val="30"/>
        <w:bidi w:val="0"/>
      </w:pPr>
      <w:r>
        <w:t>《系统体检报告》</w:t>
      </w:r>
    </w:p>
    <w:p w14:paraId="64DE9CBA">
      <w:pPr>
        <w:pStyle w:val="30"/>
        <w:bidi w:val="0"/>
      </w:pPr>
      <w:r>
        <w:t>《数据清洗模块测试报告》</w:t>
      </w:r>
    </w:p>
    <w:p w14:paraId="4A13CD7C">
      <w:pPr>
        <w:pStyle w:val="30"/>
        <w:bidi w:val="0"/>
      </w:pPr>
      <w:r>
        <w:t>数据质量监控看板（可访问）</w:t>
      </w:r>
    </w:p>
    <w:p w14:paraId="7F457896">
      <w:pPr>
        <w:pStyle w:val="31"/>
        <w:bidi w:val="0"/>
      </w:pPr>
      <w:bookmarkStart w:id="18" w:name="heading_9"/>
      <w:bookmarkStart w:id="19" w:name="_Toc2843"/>
      <w:r>
        <w:t>第三阶段：系统优化与培训（2026年4月-5月）</w:t>
      </w:r>
      <w:bookmarkEnd w:id="18"/>
      <w:bookmarkEnd w:id="19"/>
    </w:p>
    <w:p w14:paraId="5D724BBC">
      <w:pPr>
        <w:pStyle w:val="30"/>
        <w:bidi w:val="0"/>
      </w:pPr>
      <w:r>
        <w:t>本阶段核心任务是在稳定服务的基础上，主动识别优化机会，提升客户团队能力。</w:t>
      </w:r>
    </w:p>
    <w:p w14:paraId="158BC44D">
      <w:pPr>
        <w:pStyle w:val="40"/>
        <w:numPr>
          <w:ilvl w:val="0"/>
          <w:numId w:val="6"/>
        </w:numPr>
        <w:bidi w:val="0"/>
        <w:ind w:left="425" w:leftChars="0" w:hanging="425" w:firstLineChars="0"/>
      </w:pPr>
      <w:r>
        <w:t>主要工作内容：</w:t>
      </w:r>
    </w:p>
    <w:p w14:paraId="71BDD0B6">
      <w:pPr>
        <w:pStyle w:val="30"/>
        <w:bidi w:val="0"/>
      </w:pPr>
      <w:r>
        <w:t>分析历史问题数据，识别高频故障与潜在风险</w:t>
      </w:r>
    </w:p>
    <w:p w14:paraId="0AD5903B">
      <w:pPr>
        <w:pStyle w:val="30"/>
        <w:bidi w:val="0"/>
      </w:pPr>
      <w:r>
        <w:t>针对典型问题编制《常见故障处理手册》</w:t>
      </w:r>
    </w:p>
    <w:p w14:paraId="5A5F6AF3">
      <w:pPr>
        <w:pStyle w:val="30"/>
        <w:bidi w:val="0"/>
      </w:pPr>
      <w:r>
        <w:t>组织客户关键用户进行系统运维培训</w:t>
      </w:r>
    </w:p>
    <w:p w14:paraId="2174C39C">
      <w:pPr>
        <w:pStyle w:val="30"/>
        <w:bidi w:val="0"/>
      </w:pPr>
      <w:r>
        <w:t>开展数据质量深度分析，优化清洗规则</w:t>
      </w:r>
    </w:p>
    <w:p w14:paraId="12B39EF1">
      <w:pPr>
        <w:pStyle w:val="30"/>
        <w:bidi w:val="0"/>
      </w:pPr>
      <w:r>
        <w:t>根据客户需求提供专项优化建议（如系统性能、网络配置等）</w:t>
      </w:r>
    </w:p>
    <w:p w14:paraId="69C5959A">
      <w:pPr>
        <w:pStyle w:val="40"/>
        <w:numPr>
          <w:ilvl w:val="0"/>
          <w:numId w:val="6"/>
        </w:numPr>
        <w:bidi w:val="0"/>
        <w:ind w:left="425" w:leftChars="0" w:hanging="425" w:firstLineChars="0"/>
      </w:pPr>
      <w:r>
        <w:t>关键交付物：</w:t>
      </w:r>
    </w:p>
    <w:p w14:paraId="216F04BC">
      <w:pPr>
        <w:pStyle w:val="30"/>
        <w:bidi w:val="0"/>
      </w:pPr>
      <w:r>
        <w:t>《常见故障处理手册》</w:t>
      </w:r>
    </w:p>
    <w:p w14:paraId="22F32F7C">
      <w:pPr>
        <w:pStyle w:val="30"/>
        <w:bidi w:val="0"/>
      </w:pPr>
      <w:r>
        <w:t>《培训记录》（含签到表、培训材料）</w:t>
      </w:r>
    </w:p>
    <w:p w14:paraId="3036E7DF">
      <w:pPr>
        <w:pStyle w:val="30"/>
        <w:bidi w:val="0"/>
      </w:pPr>
      <w:r>
        <w:t>《数据质量分析报告》</w:t>
      </w:r>
    </w:p>
    <w:p w14:paraId="0094D4C4">
      <w:pPr>
        <w:pStyle w:val="31"/>
        <w:bidi w:val="0"/>
      </w:pPr>
      <w:bookmarkStart w:id="20" w:name="heading_10"/>
      <w:bookmarkStart w:id="21" w:name="_Toc24513"/>
      <w:r>
        <w:t>第四阶段：常态化运行与监控（2026年6月-10月）</w:t>
      </w:r>
      <w:bookmarkEnd w:id="20"/>
      <w:bookmarkEnd w:id="21"/>
    </w:p>
    <w:p w14:paraId="7E38436D">
      <w:pPr>
        <w:pStyle w:val="30"/>
        <w:bidi w:val="0"/>
      </w:pPr>
      <w:r>
        <w:t>本阶段核心任务是保持服务常态化运行，持续监控服务质量与数据质量。</w:t>
      </w:r>
    </w:p>
    <w:p w14:paraId="3D8C78D5">
      <w:pPr>
        <w:pStyle w:val="40"/>
        <w:numPr>
          <w:ilvl w:val="0"/>
          <w:numId w:val="7"/>
        </w:numPr>
        <w:bidi w:val="0"/>
        <w:ind w:left="425" w:leftChars="0" w:hanging="425" w:firstLineChars="0"/>
      </w:pPr>
      <w:r>
        <w:t>主要工作内容：</w:t>
      </w:r>
    </w:p>
    <w:p w14:paraId="2B530AEC">
      <w:pPr>
        <w:pStyle w:val="30"/>
        <w:bidi w:val="0"/>
      </w:pPr>
      <w:r>
        <w:t>持续受理日常服务请求，按SLA要求及时响应</w:t>
      </w:r>
    </w:p>
    <w:p w14:paraId="4ECD8B7F">
      <w:pPr>
        <w:pStyle w:val="30"/>
        <w:bidi w:val="0"/>
      </w:pPr>
      <w:r>
        <w:t>每月定期开展系统体检，跟踪系统健康趋势</w:t>
      </w:r>
    </w:p>
    <w:p w14:paraId="4E115CE7">
      <w:pPr>
        <w:pStyle w:val="30"/>
        <w:bidi w:val="0"/>
      </w:pPr>
      <w:r>
        <w:t>持续监控数据质量KPI，异常时及时预警与处置</w:t>
      </w:r>
    </w:p>
    <w:p w14:paraId="49576517">
      <w:pPr>
        <w:pStyle w:val="30"/>
        <w:bidi w:val="0"/>
      </w:pPr>
      <w:r>
        <w:t>每季度提交《季度服务总结报告》</w:t>
      </w:r>
    </w:p>
    <w:p w14:paraId="27949039">
      <w:pPr>
        <w:pStyle w:val="30"/>
        <w:bidi w:val="0"/>
      </w:pPr>
      <w:r>
        <w:t>根据客户需求变化，适时调整服务策略与清洗规则</w:t>
      </w:r>
    </w:p>
    <w:p w14:paraId="41456C32">
      <w:pPr>
        <w:pStyle w:val="40"/>
        <w:numPr>
          <w:ilvl w:val="0"/>
          <w:numId w:val="7"/>
        </w:numPr>
        <w:bidi w:val="0"/>
        <w:ind w:left="425" w:leftChars="0" w:hanging="425" w:firstLineChars="0"/>
      </w:pPr>
      <w:r>
        <w:t>关键交付物：</w:t>
      </w:r>
    </w:p>
    <w:p w14:paraId="1CE3766A">
      <w:pPr>
        <w:pStyle w:val="30"/>
        <w:bidi w:val="0"/>
      </w:pPr>
      <w:r>
        <w:t>月度《服务月报》</w:t>
      </w:r>
    </w:p>
    <w:p w14:paraId="23F83152">
      <w:pPr>
        <w:pStyle w:val="30"/>
        <w:bidi w:val="0"/>
      </w:pPr>
      <w:r>
        <w:t>季度《服务质量总结报告》</w:t>
      </w:r>
    </w:p>
    <w:p w14:paraId="6EB608AC">
      <w:pPr>
        <w:pStyle w:val="30"/>
        <w:bidi w:val="0"/>
      </w:pPr>
      <w:r>
        <w:t>《数据质量季度分析报告》</w:t>
      </w:r>
    </w:p>
    <w:p w14:paraId="39EDA9A1">
      <w:pPr>
        <w:pStyle w:val="31"/>
        <w:bidi w:val="0"/>
      </w:pPr>
      <w:bookmarkStart w:id="22" w:name="heading_11"/>
      <w:bookmarkStart w:id="23" w:name="_Toc24157"/>
      <w:r>
        <w:t>第五阶段：年度总结与验收（2026年11月-12月）</w:t>
      </w:r>
      <w:bookmarkEnd w:id="22"/>
      <w:bookmarkEnd w:id="23"/>
    </w:p>
    <w:p w14:paraId="0D7090E1">
      <w:pPr>
        <w:pStyle w:val="30"/>
        <w:bidi w:val="0"/>
      </w:pPr>
      <w:r>
        <w:t>本阶段核心任务是全面总结年度服务成果，准备验收材料，配合客户完成年度服务验收。</w:t>
      </w:r>
    </w:p>
    <w:p w14:paraId="5F77201D">
      <w:pPr>
        <w:pStyle w:val="30"/>
        <w:bidi w:val="0"/>
      </w:pPr>
      <w:r>
        <w:t>主要工作内容：</w:t>
      </w:r>
    </w:p>
    <w:p w14:paraId="25E19415">
      <w:pPr>
        <w:pStyle w:val="30"/>
        <w:numPr>
          <w:ilvl w:val="0"/>
          <w:numId w:val="8"/>
        </w:numPr>
        <w:bidi w:val="0"/>
        <w:ind w:left="425" w:leftChars="0" w:hanging="425" w:firstLineChars="0"/>
      </w:pPr>
      <w:r>
        <w:t>汇总全年服务数据，编制《年度服务总结报告》</w:t>
      </w:r>
    </w:p>
    <w:p w14:paraId="7718E2FF">
      <w:pPr>
        <w:pStyle w:val="30"/>
        <w:numPr>
          <w:ilvl w:val="0"/>
          <w:numId w:val="8"/>
        </w:numPr>
        <w:bidi w:val="0"/>
        <w:ind w:left="425" w:leftChars="0" w:hanging="425" w:firstLineChars="0"/>
      </w:pPr>
      <w:r>
        <w:t>整理全年交付物清单，形成完整服务档案</w:t>
      </w:r>
    </w:p>
    <w:p w14:paraId="1272D7A3">
      <w:pPr>
        <w:pStyle w:val="30"/>
        <w:numPr>
          <w:ilvl w:val="0"/>
          <w:numId w:val="8"/>
        </w:numPr>
        <w:bidi w:val="0"/>
        <w:ind w:left="425" w:leftChars="0" w:hanging="425" w:firstLineChars="0"/>
      </w:pPr>
      <w:r>
        <w:t>协助客户进行年度服务满意度评价</w:t>
      </w:r>
    </w:p>
    <w:p w14:paraId="73FA3E42">
      <w:pPr>
        <w:pStyle w:val="30"/>
        <w:numPr>
          <w:ilvl w:val="0"/>
          <w:numId w:val="8"/>
        </w:numPr>
        <w:bidi w:val="0"/>
        <w:ind w:left="425" w:leftChars="0" w:hanging="425" w:firstLineChars="0"/>
      </w:pPr>
      <w:r>
        <w:t>配合客户完成服务验收，签署《服务验收单》</w:t>
      </w:r>
    </w:p>
    <w:p w14:paraId="217C27C3">
      <w:pPr>
        <w:pStyle w:val="30"/>
        <w:numPr>
          <w:ilvl w:val="0"/>
          <w:numId w:val="8"/>
        </w:numPr>
        <w:bidi w:val="0"/>
        <w:ind w:left="425" w:leftChars="0" w:hanging="425" w:firstLineChars="0"/>
      </w:pPr>
      <w:r>
        <w:t>制定下一年度服务优化建议</w:t>
      </w:r>
    </w:p>
    <w:p w14:paraId="79A8B69A">
      <w:pPr>
        <w:pStyle w:val="29"/>
        <w:bidi w:val="0"/>
      </w:pPr>
      <w:bookmarkStart w:id="24" w:name="heading_12"/>
      <w:bookmarkStart w:id="25" w:name="_Toc4053"/>
      <w:r>
        <w:t>风险管理策略</w:t>
      </w:r>
      <w:bookmarkEnd w:id="24"/>
      <w:bookmarkEnd w:id="25"/>
    </w:p>
    <w:p w14:paraId="736105E0">
      <w:pPr>
        <w:pStyle w:val="30"/>
        <w:bidi w:val="0"/>
      </w:pPr>
      <w:r>
        <w:t>我们已经识别出本项目可能面临的几类主要风险，并制定了相应的应对策略。</w:t>
      </w:r>
    </w:p>
    <w:p w14:paraId="4EE20089">
      <w:pPr>
        <w:pStyle w:val="31"/>
        <w:bidi w:val="0"/>
      </w:pPr>
      <w:bookmarkStart w:id="26" w:name="heading_13"/>
      <w:bookmarkStart w:id="27" w:name="_Toc19128"/>
      <w:r>
        <w:t>技术风险</w:t>
      </w:r>
      <w:bookmarkEnd w:id="26"/>
      <w:bookmarkEnd w:id="27"/>
    </w:p>
    <w:p w14:paraId="268A7518">
      <w:pPr>
        <w:pStyle w:val="40"/>
        <w:numPr>
          <w:ilvl w:val="0"/>
          <w:numId w:val="9"/>
        </w:numPr>
        <w:bidi w:val="0"/>
        <w:ind w:left="425" w:leftChars="0" w:hanging="425" w:firstLineChars="0"/>
      </w:pPr>
      <w:r>
        <w:t>风险描述：</w:t>
      </w:r>
    </w:p>
    <w:p w14:paraId="7CC0BEF4">
      <w:pPr>
        <w:spacing w:before="120" w:after="120" w:line="288" w:lineRule="auto"/>
        <w:ind w:left="0"/>
        <w:jc w:val="left"/>
      </w:pPr>
      <w:r>
        <w:rPr>
          <w:rStyle w:val="43"/>
        </w:rPr>
        <w:t>桌面及信息网络系统环境复杂，问题诊断难度大；数据清洗规则可能因业务理解偏差导致效果不佳。</w:t>
      </w:r>
    </w:p>
    <w:p w14:paraId="2488DF6A">
      <w:pPr>
        <w:pStyle w:val="40"/>
        <w:numPr>
          <w:ilvl w:val="0"/>
          <w:numId w:val="9"/>
        </w:numPr>
        <w:bidi w:val="0"/>
        <w:ind w:left="425" w:leftChars="0" w:hanging="425" w:firstLineChars="0"/>
      </w:pPr>
      <w:r>
        <w:t>应对措施：</w:t>
      </w:r>
    </w:p>
    <w:p w14:paraId="2A94A7C1">
      <w:pPr>
        <w:pStyle w:val="30"/>
        <w:bidi w:val="0"/>
      </w:pPr>
      <w:r>
        <w:t>运维</w:t>
      </w:r>
      <w:r>
        <w:rPr>
          <w:rFonts w:hint="eastAsia"/>
          <w:lang w:val="en-US" w:eastAsia="zh-CN"/>
        </w:rPr>
        <w:t>实施</w:t>
      </w:r>
      <w:r>
        <w:t>工程师具备5年以上同类系统服务经验，熟悉运维服务业务场景</w:t>
      </w:r>
    </w:p>
    <w:p w14:paraId="27A4DF1F">
      <w:pPr>
        <w:pStyle w:val="30"/>
        <w:bidi w:val="0"/>
      </w:pPr>
      <w:r>
        <w:t>数据清洗规则开发前，与客户业务部门（运维调度科、设备管理科、计费科等）充分沟通确认业务逻辑</w:t>
      </w:r>
    </w:p>
    <w:p w14:paraId="6C76BCA8">
      <w:pPr>
        <w:pStyle w:val="30"/>
        <w:bidi w:val="0"/>
      </w:pPr>
      <w:r>
        <w:t>所有清洗规则上线前必须在测试环境充分验证</w:t>
      </w:r>
    </w:p>
    <w:p w14:paraId="47DC565A">
      <w:pPr>
        <w:pStyle w:val="30"/>
        <w:bidi w:val="0"/>
      </w:pPr>
      <w:r>
        <w:t>建立问题升级机制，疑难问题可协调原厂技术支持</w:t>
      </w:r>
    </w:p>
    <w:p w14:paraId="1DDA4A42">
      <w:pPr>
        <w:pStyle w:val="31"/>
        <w:bidi w:val="0"/>
      </w:pPr>
      <w:bookmarkStart w:id="28" w:name="heading_14"/>
      <w:bookmarkStart w:id="29" w:name="_Toc26267"/>
      <w:r>
        <w:t>服务响应风险</w:t>
      </w:r>
      <w:bookmarkEnd w:id="28"/>
      <w:bookmarkEnd w:id="29"/>
    </w:p>
    <w:p w14:paraId="5F90AC0A">
      <w:pPr>
        <w:pStyle w:val="40"/>
        <w:numPr>
          <w:ilvl w:val="0"/>
          <w:numId w:val="10"/>
        </w:numPr>
        <w:bidi w:val="0"/>
        <w:ind w:left="425" w:leftChars="0" w:hanging="425" w:firstLineChars="0"/>
      </w:pPr>
      <w:r>
        <w:t>风险描述：</w:t>
      </w:r>
    </w:p>
    <w:p w14:paraId="467FD568">
      <w:pPr>
        <w:spacing w:before="120" w:after="120" w:line="288" w:lineRule="auto"/>
        <w:ind w:left="0"/>
        <w:jc w:val="left"/>
      </w:pPr>
      <w:r>
        <w:rPr>
          <w:rStyle w:val="43"/>
        </w:rPr>
        <w:t>服务请求高峰期可能出现响应延迟，影响客户满意度。</w:t>
      </w:r>
    </w:p>
    <w:p w14:paraId="21BC99F1">
      <w:pPr>
        <w:pStyle w:val="40"/>
        <w:numPr>
          <w:ilvl w:val="0"/>
          <w:numId w:val="10"/>
        </w:numPr>
        <w:bidi w:val="0"/>
        <w:ind w:left="425" w:leftChars="0" w:hanging="425" w:firstLineChars="0"/>
      </w:pPr>
      <w:r>
        <w:t>应对措施：</w:t>
      </w:r>
    </w:p>
    <w:p w14:paraId="2D2F7352">
      <w:pPr>
        <w:pStyle w:val="30"/>
        <w:bidi w:val="0"/>
      </w:pPr>
      <w:r>
        <w:t>建立服务请求分级机制，根据紧急程度分配响应资源</w:t>
      </w:r>
    </w:p>
    <w:p w14:paraId="2A31EC60">
      <w:pPr>
        <w:pStyle w:val="30"/>
        <w:bidi w:val="0"/>
      </w:pPr>
      <w:r>
        <w:t>服务台专员每日跟踪未关闭工单，确保不超期</w:t>
      </w:r>
    </w:p>
    <w:p w14:paraId="65044518">
      <w:pPr>
        <w:pStyle w:val="30"/>
        <w:bidi w:val="0"/>
      </w:pPr>
      <w:r>
        <w:t>建立备岗机制，关键人员休假时由备岗接替</w:t>
      </w:r>
    </w:p>
    <w:p w14:paraId="238D595E">
      <w:pPr>
        <w:pStyle w:val="30"/>
        <w:bidi w:val="0"/>
      </w:pPr>
      <w:r>
        <w:t>定期分析服务请求趋势，提前预判高峰期</w:t>
      </w:r>
    </w:p>
    <w:p w14:paraId="6423E565">
      <w:pPr>
        <w:pStyle w:val="31"/>
        <w:bidi w:val="0"/>
      </w:pPr>
      <w:bookmarkStart w:id="30" w:name="heading_15"/>
      <w:bookmarkStart w:id="31" w:name="_Toc15868"/>
      <w:r>
        <w:t>数据质量风险</w:t>
      </w:r>
      <w:bookmarkEnd w:id="30"/>
      <w:bookmarkEnd w:id="31"/>
    </w:p>
    <w:p w14:paraId="5EB77F43">
      <w:pPr>
        <w:pStyle w:val="40"/>
        <w:numPr>
          <w:ilvl w:val="0"/>
          <w:numId w:val="11"/>
        </w:numPr>
        <w:bidi w:val="0"/>
        <w:ind w:left="425" w:leftChars="0" w:hanging="425" w:firstLineChars="0"/>
      </w:pPr>
      <w:r>
        <w:t>风险描述：</w:t>
      </w:r>
    </w:p>
    <w:p w14:paraId="5C863091">
      <w:pPr>
        <w:spacing w:before="120" w:after="120" w:line="288" w:lineRule="auto"/>
        <w:ind w:left="0"/>
        <w:jc w:val="left"/>
      </w:pPr>
      <w:r>
        <w:rPr>
          <w:rStyle w:val="43"/>
        </w:rPr>
        <w:t>数据清洗规则在实际运行中可能未达预期，影响运维作业决策准确性。</w:t>
      </w:r>
    </w:p>
    <w:p w14:paraId="0E4E5A45">
      <w:pPr>
        <w:pStyle w:val="40"/>
        <w:numPr>
          <w:ilvl w:val="0"/>
          <w:numId w:val="11"/>
        </w:numPr>
        <w:bidi w:val="0"/>
        <w:ind w:left="425" w:leftChars="0" w:hanging="425" w:firstLineChars="0"/>
      </w:pPr>
      <w:r>
        <w:t>应对措施：</w:t>
      </w:r>
    </w:p>
    <w:p w14:paraId="37573CB2">
      <w:pPr>
        <w:pStyle w:val="30"/>
        <w:bidi w:val="0"/>
      </w:pPr>
      <w:r>
        <w:t>建立数据质量日盯盘机制，每日监控核心KPI</w:t>
      </w:r>
    </w:p>
    <w:p w14:paraId="22B7D59A">
      <w:pPr>
        <w:pStyle w:val="30"/>
        <w:bidi w:val="0"/>
      </w:pPr>
      <w:r>
        <w:t>一旦指标偏离阈值，立即启动问题分析与规则调优</w:t>
      </w:r>
    </w:p>
    <w:p w14:paraId="3616C47C">
      <w:pPr>
        <w:pStyle w:val="30"/>
        <w:bidi w:val="0"/>
      </w:pPr>
      <w:r>
        <w:t>所有清洗规则变更需经客户业务负责人书面审批</w:t>
      </w:r>
    </w:p>
    <w:p w14:paraId="37E4F009">
      <w:pPr>
        <w:pStyle w:val="30"/>
        <w:bidi w:val="0"/>
      </w:pPr>
      <w:r>
        <w:t>保留完整的数据血缘日志，确保问题可追溯</w:t>
      </w:r>
    </w:p>
    <w:p w14:paraId="5A785C8C">
      <w:pPr>
        <w:pStyle w:val="31"/>
        <w:bidi w:val="0"/>
      </w:pPr>
      <w:bookmarkStart w:id="32" w:name="heading_16"/>
      <w:bookmarkStart w:id="33" w:name="_Toc17578"/>
      <w:r>
        <w:t>沟通风险</w:t>
      </w:r>
      <w:bookmarkEnd w:id="32"/>
      <w:bookmarkEnd w:id="33"/>
    </w:p>
    <w:p w14:paraId="6FEBFE9A">
      <w:pPr>
        <w:pStyle w:val="40"/>
        <w:numPr>
          <w:ilvl w:val="0"/>
          <w:numId w:val="12"/>
        </w:numPr>
        <w:bidi w:val="0"/>
        <w:ind w:left="425" w:leftChars="0" w:hanging="425" w:firstLineChars="0"/>
      </w:pPr>
      <w:r>
        <w:t>风险描述：</w:t>
      </w:r>
    </w:p>
    <w:p w14:paraId="0AD6B6F6">
      <w:pPr>
        <w:spacing w:before="120" w:after="120" w:line="288" w:lineRule="auto"/>
        <w:ind w:left="0"/>
        <w:jc w:val="left"/>
      </w:pPr>
      <w:r>
        <w:rPr>
          <w:rStyle w:val="43"/>
        </w:rPr>
        <w:t>与客户沟通不畅，需求理解偏差或信息传递不及时。</w:t>
      </w:r>
    </w:p>
    <w:p w14:paraId="1BEC5A9E">
      <w:pPr>
        <w:pStyle w:val="40"/>
        <w:numPr>
          <w:ilvl w:val="0"/>
          <w:numId w:val="12"/>
        </w:numPr>
        <w:bidi w:val="0"/>
        <w:ind w:left="425" w:leftChars="0" w:hanging="425" w:firstLineChars="0"/>
      </w:pPr>
      <w:r>
        <w:t>应对措施：</w:t>
      </w:r>
    </w:p>
    <w:p w14:paraId="506CB2BE">
      <w:pPr>
        <w:pStyle w:val="30"/>
        <w:bidi w:val="0"/>
      </w:pPr>
      <w:r>
        <w:t>建立固定的周例会、月报告沟通机制</w:t>
      </w:r>
    </w:p>
    <w:p w14:paraId="52793131">
      <w:pPr>
        <w:pStyle w:val="30"/>
        <w:bidi w:val="0"/>
      </w:pPr>
      <w:r>
        <w:t>所有重要沟通保留书面记录</w:t>
      </w:r>
    </w:p>
    <w:p w14:paraId="00DF4D02">
      <w:pPr>
        <w:pStyle w:val="30"/>
        <w:bidi w:val="0"/>
      </w:pPr>
      <w:r>
        <w:t>服务台统一受理入口，避免多头沟通</w:t>
      </w:r>
    </w:p>
    <w:p w14:paraId="490E85DA">
      <w:pPr>
        <w:pStyle w:val="30"/>
        <w:bidi w:val="0"/>
      </w:pPr>
      <w:r>
        <w:t>建立问题升级与反馈闭环，确保事事有回应</w:t>
      </w:r>
    </w:p>
    <w:p w14:paraId="68CBB27D">
      <w:pPr>
        <w:pStyle w:val="31"/>
        <w:bidi w:val="0"/>
      </w:pPr>
      <w:bookmarkStart w:id="34" w:name="heading_17"/>
      <w:bookmarkStart w:id="35" w:name="_Toc8288"/>
      <w:r>
        <w:t>人员变动风险</w:t>
      </w:r>
      <w:bookmarkEnd w:id="34"/>
      <w:bookmarkEnd w:id="35"/>
    </w:p>
    <w:p w14:paraId="5E7BD1A4">
      <w:pPr>
        <w:pStyle w:val="40"/>
        <w:numPr>
          <w:ilvl w:val="0"/>
          <w:numId w:val="13"/>
        </w:numPr>
        <w:bidi w:val="0"/>
        <w:ind w:left="425" w:leftChars="0" w:hanging="425" w:firstLineChars="0"/>
        <w:rPr>
          <w:rFonts w:eastAsia="宋体"/>
        </w:rPr>
      </w:pPr>
      <w:r>
        <w:rPr>
          <w:rFonts w:eastAsia="宋体"/>
        </w:rPr>
        <w:t>风险描述：</w:t>
      </w:r>
    </w:p>
    <w:p w14:paraId="6E45BA69">
      <w:pPr>
        <w:spacing w:before="120" w:after="120" w:line="288" w:lineRule="auto"/>
        <w:ind w:left="0"/>
        <w:jc w:val="left"/>
      </w:pPr>
      <w:r>
        <w:rPr>
          <w:rStyle w:val="43"/>
        </w:rPr>
        <w:t>项目核心人员变动可能导致服务连续性受影响。</w:t>
      </w:r>
    </w:p>
    <w:p w14:paraId="0643F17F">
      <w:pPr>
        <w:pStyle w:val="40"/>
        <w:numPr>
          <w:ilvl w:val="0"/>
          <w:numId w:val="13"/>
        </w:numPr>
        <w:bidi w:val="0"/>
        <w:ind w:left="425" w:leftChars="0" w:hanging="425" w:firstLineChars="0"/>
        <w:rPr>
          <w:rFonts w:eastAsia="宋体"/>
        </w:rPr>
      </w:pPr>
      <w:r>
        <w:rPr>
          <w:rFonts w:eastAsia="宋体"/>
        </w:rPr>
        <w:t>应对措施：</w:t>
      </w:r>
    </w:p>
    <w:p w14:paraId="548586C7">
      <w:pPr>
        <w:pStyle w:val="30"/>
        <w:bidi w:val="0"/>
      </w:pPr>
      <w:r>
        <w:t>所有服务过程、问题处理记录完整归档</w:t>
      </w:r>
    </w:p>
    <w:p w14:paraId="354930D0">
      <w:pPr>
        <w:pStyle w:val="30"/>
        <w:bidi w:val="0"/>
      </w:pPr>
      <w:r>
        <w:t>建立知识库，沉淀常见问题解决方案</w:t>
      </w:r>
    </w:p>
    <w:p w14:paraId="4A9A1497">
      <w:pPr>
        <w:pStyle w:val="30"/>
        <w:bidi w:val="0"/>
      </w:pPr>
      <w:r>
        <w:t>关键岗位设置AB角，确保人员变动时有接替</w:t>
      </w:r>
    </w:p>
    <w:p w14:paraId="5535B0C6">
      <w:pPr>
        <w:pStyle w:val="30"/>
        <w:bidi w:val="0"/>
      </w:pPr>
      <w:r>
        <w:t>严格执行工作交接制度，交接期不少于1周</w:t>
      </w:r>
    </w:p>
    <w:p w14:paraId="0BACF08A">
      <w:pPr>
        <w:pStyle w:val="29"/>
        <w:bidi w:val="0"/>
      </w:pPr>
      <w:bookmarkStart w:id="36" w:name="heading_18"/>
      <w:bookmarkStart w:id="37" w:name="_Toc15213"/>
      <w:r>
        <w:t>质量控制与交付物管理</w:t>
      </w:r>
      <w:bookmarkEnd w:id="36"/>
      <w:bookmarkEnd w:id="37"/>
    </w:p>
    <w:p w14:paraId="6279E583">
      <w:pPr>
        <w:pStyle w:val="31"/>
        <w:bidi w:val="0"/>
      </w:pPr>
      <w:bookmarkStart w:id="38" w:name="heading_19"/>
      <w:bookmarkStart w:id="39" w:name="_Toc10090"/>
      <w:r>
        <w:t>四级质量控制体系</w:t>
      </w:r>
      <w:bookmarkEnd w:id="38"/>
      <w:bookmarkEnd w:id="39"/>
    </w:p>
    <w:p w14:paraId="57D1EC07">
      <w:pPr>
        <w:pStyle w:val="30"/>
        <w:bidi w:val="0"/>
      </w:pPr>
      <w:r>
        <w:t>我们将执行贯穿项目始终的四级质量控制体系：</w:t>
      </w:r>
    </w:p>
    <w:p w14:paraId="1CA3AF66">
      <w:pPr>
        <w:pStyle w:val="32"/>
        <w:bidi w:val="0"/>
      </w:pPr>
      <w:bookmarkStart w:id="40" w:name="_Toc5364"/>
      <w:r>
        <w:t>第一级：自检</w:t>
      </w:r>
      <w:bookmarkEnd w:id="40"/>
    </w:p>
    <w:p w14:paraId="38B4EE2D">
      <w:pPr>
        <w:pStyle w:val="30"/>
        <w:bidi w:val="0"/>
      </w:pPr>
      <w:r>
        <w:t>运维</w:t>
      </w:r>
      <w:r>
        <w:rPr>
          <w:rFonts w:hint="eastAsia"/>
          <w:lang w:val="en-US" w:eastAsia="zh-CN"/>
        </w:rPr>
        <w:t>实施</w:t>
      </w:r>
      <w:r>
        <w:t>工程师、数据治理工程师对各自负责的服务活动、交付成果进行自我检查，确保符合规范要求。</w:t>
      </w:r>
    </w:p>
    <w:p w14:paraId="7C2DE978">
      <w:pPr>
        <w:pStyle w:val="32"/>
        <w:bidi w:val="0"/>
      </w:pPr>
      <w:bookmarkStart w:id="41" w:name="_Toc15622"/>
      <w:r>
        <w:t>第二级：互检</w:t>
      </w:r>
      <w:bookmarkEnd w:id="41"/>
    </w:p>
    <w:p w14:paraId="73E8C270">
      <w:pPr>
        <w:pStyle w:val="30"/>
        <w:bidi w:val="0"/>
      </w:pPr>
      <w:r>
        <w:t>服务台专员对工单记录的完整性、准确性进行复核；项目经理对关键交付物进行审核。</w:t>
      </w:r>
    </w:p>
    <w:p w14:paraId="2137C6C1">
      <w:pPr>
        <w:pStyle w:val="32"/>
        <w:bidi w:val="0"/>
      </w:pPr>
      <w:bookmarkStart w:id="42" w:name="_Toc9004"/>
      <w:r>
        <w:t>第三级：专检</w:t>
      </w:r>
      <w:bookmarkEnd w:id="42"/>
    </w:p>
    <w:p w14:paraId="647CFEFF">
      <w:pPr>
        <w:pStyle w:val="30"/>
        <w:bidi w:val="0"/>
      </w:pPr>
      <w:r>
        <w:t>质量保障专员对服务过程、数据质量进行独立抽查，定期组织服务质量评审。</w:t>
      </w:r>
    </w:p>
    <w:p w14:paraId="3739C8BD">
      <w:pPr>
        <w:pStyle w:val="32"/>
        <w:bidi w:val="0"/>
      </w:pPr>
      <w:bookmarkStart w:id="43" w:name="_Toc1112"/>
      <w:r>
        <w:t>第四级：客户确认</w:t>
      </w:r>
      <w:bookmarkEnd w:id="43"/>
    </w:p>
    <w:p w14:paraId="4D62D19D">
      <w:pPr>
        <w:pStyle w:val="30"/>
        <w:bidi w:val="0"/>
      </w:pPr>
      <w:r>
        <w:t>关键交付物（如系统体检报告、数据质量报告）提交客户前，需经客户确认；重大问题处理结果需客户认可。</w:t>
      </w:r>
    </w:p>
    <w:p w14:paraId="19574CA4">
      <w:pPr>
        <w:pStyle w:val="31"/>
        <w:bidi w:val="0"/>
      </w:pPr>
      <w:bookmarkStart w:id="44" w:name="heading_20"/>
      <w:bookmarkStart w:id="45" w:name="_Toc23023"/>
      <w:r>
        <w:t>交付物管理</w:t>
      </w:r>
      <w:bookmarkEnd w:id="44"/>
      <w:bookmarkEnd w:id="45"/>
    </w:p>
    <w:p w14:paraId="466E50A7">
      <w:pPr>
        <w:pStyle w:val="30"/>
        <w:bidi w:val="0"/>
      </w:pPr>
      <w:r>
        <w:t>项目交付物管理是质量管控的核心。我们制定了详细的《项目交付物清单》，明确了每一份文档、报告或成果物的产出阶段、责任岗位、内容要求及提交时间。</w:t>
      </w:r>
    </w:p>
    <w:p w14:paraId="536C37DA">
      <w:pPr>
        <w:pStyle w:val="30"/>
        <w:bidi w:val="0"/>
      </w:pPr>
      <w:r>
        <w:t>交付物管理要求：</w:t>
      </w:r>
    </w:p>
    <w:p w14:paraId="31FED67B">
      <w:pPr>
        <w:pStyle w:val="30"/>
        <w:bidi w:val="0"/>
      </w:pPr>
      <w:r>
        <w:t>1. 所有交付物使用统一模板，确保格式规范</w:t>
      </w:r>
    </w:p>
    <w:p w14:paraId="0363BC66">
      <w:pPr>
        <w:pStyle w:val="30"/>
        <w:bidi w:val="0"/>
      </w:pPr>
      <w:r>
        <w:t>2. 交付物编制完成后，需经项目经理审核</w:t>
      </w:r>
    </w:p>
    <w:p w14:paraId="7FF4A132">
      <w:pPr>
        <w:pStyle w:val="30"/>
        <w:bidi w:val="0"/>
      </w:pPr>
      <w:r>
        <w:t>3. 提交客户前，需确保内容准确、数据完整</w:t>
      </w:r>
    </w:p>
    <w:p w14:paraId="70B15C09">
      <w:pPr>
        <w:pStyle w:val="30"/>
        <w:bidi w:val="0"/>
      </w:pPr>
      <w:r>
        <w:t>4. 所有交付物由质量保障专员统一归档、版本管理</w:t>
      </w:r>
    </w:p>
    <w:p w14:paraId="055F4A62">
      <w:pPr>
        <w:pStyle w:val="30"/>
        <w:bidi w:val="0"/>
      </w:pPr>
      <w:r>
        <w:t>5. 最终验收时形成完整的竣工文档集</w:t>
      </w:r>
    </w:p>
    <w:p w14:paraId="4F9F407D">
      <w:pPr>
        <w:pStyle w:val="29"/>
        <w:bidi w:val="0"/>
      </w:pPr>
      <w:bookmarkStart w:id="46" w:name="heading_21"/>
      <w:bookmarkStart w:id="47" w:name="_Toc4616"/>
      <w:r>
        <w:t>项目交付成果</w:t>
      </w:r>
      <w:bookmarkEnd w:id="46"/>
      <w:bookmarkEnd w:id="47"/>
    </w:p>
    <w:p w14:paraId="77BDEAF3">
      <w:pPr>
        <w:pStyle w:val="30"/>
        <w:bidi w:val="0"/>
      </w:pPr>
      <w:r>
        <w:t>根据合同及项目管理要求，我们将向甲方交付包括但不限于以下成果：</w:t>
      </w:r>
    </w:p>
    <w:p w14:paraId="5525D3E0">
      <w:pPr>
        <w:pStyle w:val="30"/>
        <w:bidi w:val="0"/>
      </w:pPr>
      <w:r>
        <w:t>1. 《项目启动会纪要》</w:t>
      </w:r>
    </w:p>
    <w:p w14:paraId="17C3091B">
      <w:pPr>
        <w:pStyle w:val="30"/>
        <w:bidi w:val="0"/>
      </w:pPr>
      <w:r>
        <w:t>2. 《客户系统及设备现状调研报告》</w:t>
      </w:r>
    </w:p>
    <w:p w14:paraId="4494D650">
      <w:pPr>
        <w:pStyle w:val="30"/>
        <w:bidi w:val="0"/>
      </w:pPr>
      <w:r>
        <w:t>3. 《系统维护执行计划》</w:t>
      </w:r>
    </w:p>
    <w:p w14:paraId="196B7690">
      <w:pPr>
        <w:pStyle w:val="30"/>
        <w:bidi w:val="0"/>
      </w:pPr>
      <w:r>
        <w:t>4. 《系统体检报告》及月度/季度体检记录</w:t>
      </w:r>
    </w:p>
    <w:p w14:paraId="2A3F4E18">
      <w:pPr>
        <w:pStyle w:val="30"/>
        <w:bidi w:val="0"/>
      </w:pPr>
      <w:r>
        <w:t>5. 《数据清洗策略方案》及其配套实施文档</w:t>
      </w:r>
    </w:p>
    <w:p w14:paraId="69B6881E">
      <w:pPr>
        <w:pStyle w:val="30"/>
        <w:bidi w:val="0"/>
      </w:pPr>
      <w:r>
        <w:t>6. 《数据清洗规则库》</w:t>
      </w:r>
    </w:p>
    <w:p w14:paraId="2EA352B5">
      <w:pPr>
        <w:pStyle w:val="30"/>
        <w:bidi w:val="0"/>
      </w:pPr>
      <w:r>
        <w:t>7. 《数据质量日报/周报/月报》</w:t>
      </w:r>
    </w:p>
    <w:p w14:paraId="562D9859">
      <w:pPr>
        <w:pStyle w:val="30"/>
        <w:bidi w:val="0"/>
      </w:pPr>
      <w:r>
        <w:t>8. 《清洗过程审计日志》</w:t>
      </w:r>
    </w:p>
    <w:p w14:paraId="2C974CE3">
      <w:pPr>
        <w:pStyle w:val="30"/>
        <w:bidi w:val="0"/>
      </w:pPr>
      <w:r>
        <w:t>9. 《常见故障处理手册》</w:t>
      </w:r>
    </w:p>
    <w:p w14:paraId="4B30DC5F">
      <w:pPr>
        <w:pStyle w:val="30"/>
        <w:bidi w:val="0"/>
      </w:pPr>
      <w:r>
        <w:t>10. 《系统运维手册》</w:t>
      </w:r>
    </w:p>
    <w:p w14:paraId="2F4B8C61">
      <w:pPr>
        <w:pStyle w:val="30"/>
        <w:bidi w:val="0"/>
      </w:pPr>
      <w:r>
        <w:t>11. 《培训记录》（含签到表、培训材料）</w:t>
      </w:r>
    </w:p>
    <w:p w14:paraId="2300429D">
      <w:pPr>
        <w:pStyle w:val="30"/>
        <w:bidi w:val="0"/>
      </w:pPr>
      <w:r>
        <w:t>12. 月度《服务月报》</w:t>
      </w:r>
    </w:p>
    <w:p w14:paraId="737023E9">
      <w:pPr>
        <w:pStyle w:val="30"/>
        <w:bidi w:val="0"/>
      </w:pPr>
      <w:r>
        <w:t>13. 季度《服务质量总结报告》</w:t>
      </w:r>
    </w:p>
    <w:p w14:paraId="18E1F7B6">
      <w:pPr>
        <w:pStyle w:val="30"/>
        <w:bidi w:val="0"/>
      </w:pPr>
      <w:r>
        <w:t>14. 《年度服务总结报告》</w:t>
      </w:r>
    </w:p>
    <w:p w14:paraId="0AD76537">
      <w:pPr>
        <w:pStyle w:val="30"/>
        <w:bidi w:val="0"/>
      </w:pPr>
      <w:r>
        <w:t>15. 《服务验收单》</w:t>
      </w:r>
    </w:p>
    <w:p w14:paraId="3EDD6190">
      <w:pPr>
        <w:pStyle w:val="30"/>
        <w:bidi w:val="0"/>
      </w:pPr>
      <w:r>
        <w:t>这些交付物共同构成项目最终验收的实质性基础。</w:t>
      </w:r>
    </w:p>
    <w:p w14:paraId="5AEE3253">
      <w:pPr>
        <w:pStyle w:val="29"/>
        <w:bidi w:val="0"/>
      </w:pPr>
      <w:bookmarkStart w:id="48" w:name="heading_22"/>
      <w:bookmarkStart w:id="49" w:name="_Toc4755"/>
      <w:r>
        <w:t>项目收尾与知识转移</w:t>
      </w:r>
      <w:bookmarkEnd w:id="48"/>
      <w:bookmarkEnd w:id="49"/>
    </w:p>
    <w:p w14:paraId="7CF21415">
      <w:pPr>
        <w:pStyle w:val="30"/>
        <w:bidi w:val="0"/>
      </w:pPr>
      <w:r>
        <w:t>项目通过最终验收后，我们将立即启动收尾程序。首先，完成所有项目文档的最终版整理与正式移交。其次，组织面向甲方运维团队的系统性知识转移培训，涵盖系统架构、日常操作、故障排查、设备维护及数据质量监控等核心内容，确保甲方能够独立运维。最后，项目团队将按照合同条款，将系统及设备维护工作平稳移交至我司售后服务体系，进入质保期。</w:t>
      </w:r>
    </w:p>
    <w:p w14:paraId="38D993CA">
      <w:pPr>
        <w:pStyle w:val="30"/>
        <w:widowControl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9B4C2">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3CB2198"/>
    <w:multiLevelType w:val="singleLevel"/>
    <w:tmpl w:val="B3CB2198"/>
    <w:lvl w:ilvl="0" w:tentative="0">
      <w:start w:val="1"/>
      <w:numFmt w:val="decimal"/>
      <w:lvlText w:val="%1."/>
      <w:lvlJc w:val="left"/>
      <w:pPr>
        <w:ind w:left="425" w:hanging="425"/>
      </w:pPr>
      <w:rPr>
        <w:rFonts w:hint="default"/>
      </w:rPr>
    </w:lvl>
  </w:abstractNum>
  <w:abstractNum w:abstractNumId="2">
    <w:nsid w:val="CB339AE9"/>
    <w:multiLevelType w:val="singleLevel"/>
    <w:tmpl w:val="CB339AE9"/>
    <w:lvl w:ilvl="0" w:tentative="0">
      <w:start w:val="1"/>
      <w:numFmt w:val="decimal"/>
      <w:lvlText w:val="%1."/>
      <w:lvlJc w:val="left"/>
      <w:pPr>
        <w:ind w:left="425" w:hanging="425"/>
      </w:pPr>
      <w:rPr>
        <w:rFonts w:hint="default"/>
      </w:rPr>
    </w:lvl>
  </w:abstractNum>
  <w:abstractNum w:abstractNumId="3">
    <w:nsid w:val="D910682E"/>
    <w:multiLevelType w:val="singleLevel"/>
    <w:tmpl w:val="D910682E"/>
    <w:lvl w:ilvl="0" w:tentative="0">
      <w:start w:val="1"/>
      <w:numFmt w:val="decimal"/>
      <w:lvlText w:val="%1."/>
      <w:lvlJc w:val="left"/>
      <w:pPr>
        <w:ind w:left="425" w:hanging="425"/>
      </w:pPr>
      <w:rPr>
        <w:rFonts w:hint="default"/>
      </w:rPr>
    </w:lvl>
  </w:abstractNum>
  <w:abstractNum w:abstractNumId="4">
    <w:nsid w:val="F89ECDAB"/>
    <w:multiLevelType w:val="singleLevel"/>
    <w:tmpl w:val="F89ECDAB"/>
    <w:lvl w:ilvl="0" w:tentative="0">
      <w:start w:val="1"/>
      <w:numFmt w:val="decimal"/>
      <w:lvlText w:val="%1."/>
      <w:lvlJc w:val="left"/>
      <w:pPr>
        <w:ind w:left="425" w:hanging="425"/>
      </w:pPr>
      <w:rPr>
        <w:rFonts w:hint="default"/>
      </w:rPr>
    </w:lvl>
  </w:abstractNum>
  <w:abstractNum w:abstractNumId="5">
    <w:nsid w:val="0159EC89"/>
    <w:multiLevelType w:val="singleLevel"/>
    <w:tmpl w:val="0159EC89"/>
    <w:lvl w:ilvl="0" w:tentative="0">
      <w:start w:val="1"/>
      <w:numFmt w:val="decimal"/>
      <w:lvlText w:val="%1."/>
      <w:lvlJc w:val="left"/>
      <w:pPr>
        <w:ind w:left="425" w:hanging="425"/>
      </w:pPr>
      <w:rPr>
        <w:rFonts w:hint="default"/>
      </w:rPr>
    </w:lvl>
  </w:abstractNum>
  <w:abstractNum w:abstractNumId="6">
    <w:nsid w:val="059B9303"/>
    <w:multiLevelType w:val="singleLevel"/>
    <w:tmpl w:val="059B9303"/>
    <w:lvl w:ilvl="0" w:tentative="0">
      <w:start w:val="1"/>
      <w:numFmt w:val="decimal"/>
      <w:lvlText w:val="%1."/>
      <w:lvlJc w:val="left"/>
      <w:pPr>
        <w:ind w:left="425" w:hanging="425"/>
      </w:pPr>
      <w:rPr>
        <w:rFonts w:hint="default"/>
      </w:rPr>
    </w:lvl>
  </w:abstractNum>
  <w:abstractNum w:abstractNumId="7">
    <w:nsid w:val="2A3896F6"/>
    <w:multiLevelType w:val="singleLevel"/>
    <w:tmpl w:val="2A3896F6"/>
    <w:lvl w:ilvl="0" w:tentative="0">
      <w:start w:val="1"/>
      <w:numFmt w:val="decimal"/>
      <w:lvlText w:val="%1."/>
      <w:lvlJc w:val="left"/>
      <w:pPr>
        <w:ind w:left="425" w:hanging="425"/>
      </w:pPr>
      <w:rPr>
        <w:rFonts w:hint="default"/>
      </w:rPr>
    </w:lvl>
  </w:abstractNum>
  <w:abstractNum w:abstractNumId="8">
    <w:nsid w:val="2E1A0CDB"/>
    <w:multiLevelType w:val="singleLevel"/>
    <w:tmpl w:val="2E1A0CDB"/>
    <w:lvl w:ilvl="0" w:tentative="0">
      <w:start w:val="1"/>
      <w:numFmt w:val="decimal"/>
      <w:lvlText w:val="%1."/>
      <w:lvlJc w:val="left"/>
      <w:pPr>
        <w:ind w:left="425" w:hanging="425"/>
      </w:pPr>
      <w:rPr>
        <w:rFonts w:hint="default"/>
      </w:rPr>
    </w:lvl>
  </w:abstractNum>
  <w:abstractNum w:abstractNumId="9">
    <w:nsid w:val="3B59BDB1"/>
    <w:multiLevelType w:val="singleLevel"/>
    <w:tmpl w:val="3B59BDB1"/>
    <w:lvl w:ilvl="0" w:tentative="0">
      <w:start w:val="1"/>
      <w:numFmt w:val="decimal"/>
      <w:lvlText w:val="%1."/>
      <w:lvlJc w:val="left"/>
      <w:pPr>
        <w:ind w:left="425" w:hanging="425"/>
      </w:pPr>
      <w:rPr>
        <w:rFonts w:hint="default"/>
      </w:rPr>
    </w:lvl>
  </w:abstractNum>
  <w:abstractNum w:abstractNumId="10">
    <w:nsid w:val="4CEF2964"/>
    <w:multiLevelType w:val="singleLevel"/>
    <w:tmpl w:val="4CEF2964"/>
    <w:lvl w:ilvl="0" w:tentative="0">
      <w:start w:val="1"/>
      <w:numFmt w:val="decimal"/>
      <w:lvlText w:val="%1."/>
      <w:lvlJc w:val="left"/>
      <w:pPr>
        <w:ind w:left="425" w:hanging="425"/>
      </w:pPr>
      <w:rPr>
        <w:rFonts w:hint="default"/>
      </w:rPr>
    </w:lvl>
  </w:abstractNum>
  <w:abstractNum w:abstractNumId="11">
    <w:nsid w:val="5D826130"/>
    <w:multiLevelType w:val="singleLevel"/>
    <w:tmpl w:val="5D826130"/>
    <w:lvl w:ilvl="0" w:tentative="0">
      <w:start w:val="1"/>
      <w:numFmt w:val="decimal"/>
      <w:lvlText w:val="%1."/>
      <w:lvlJc w:val="left"/>
      <w:pPr>
        <w:ind w:left="425" w:hanging="425"/>
      </w:pPr>
      <w:rPr>
        <w:rFonts w:hint="default"/>
      </w:rPr>
    </w:lvl>
  </w:abstractNum>
  <w:abstractNum w:abstractNumId="12">
    <w:nsid w:val="6C3D9661"/>
    <w:multiLevelType w:val="singleLevel"/>
    <w:tmpl w:val="6C3D9661"/>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9"/>
  </w:num>
  <w:num w:numId="4">
    <w:abstractNumId w:val="10"/>
  </w:num>
  <w:num w:numId="5">
    <w:abstractNumId w:val="8"/>
  </w:num>
  <w:num w:numId="6">
    <w:abstractNumId w:val="12"/>
  </w:num>
  <w:num w:numId="7">
    <w:abstractNumId w:val="3"/>
  </w:num>
  <w:num w:numId="8">
    <w:abstractNumId w:val="7"/>
  </w:num>
  <w:num w:numId="9">
    <w:abstractNumId w:val="5"/>
  </w:num>
  <w:num w:numId="10">
    <w:abstractNumId w:val="1"/>
  </w:num>
  <w:num w:numId="11">
    <w:abstractNumId w:val="4"/>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08D5D84"/>
    <w:rsid w:val="1D9614D0"/>
    <w:rsid w:val="2A13795C"/>
    <w:rsid w:val="2C8D7CF1"/>
    <w:rsid w:val="486004FD"/>
    <w:rsid w:val="75AF0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1527</Words>
  <Characters>1702</Characters>
  <Lines>123</Lines>
  <Paragraphs>130</Paragraphs>
  <TotalTime>0</TotalTime>
  <ScaleCrop>false</ScaleCrop>
  <LinksUpToDate>false</LinksUpToDate>
  <CharactersWithSpaces>1758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2026-07-30T15:30:23Z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