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234342">
      <w:pPr>
        <w:keepNext w:val="0"/>
        <w:keepLines w:val="0"/>
        <w:pageBreakBefore w:val="0"/>
        <w:widowControl w:val="0"/>
        <w:wordWrap/>
        <w:overflowPunct/>
        <w:topLinePunct w:val="0"/>
        <w:bidi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文件编号：ITSS-09-02-07</w:t>
      </w:r>
    </w:p>
    <w:p w14:paraId="4CC6EBAC">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版本：V1.0</w:t>
      </w:r>
    </w:p>
    <w:p w14:paraId="75FF5A52">
      <w:pPr>
        <w:pStyle w:val="25"/>
        <w:keepNext w:val="0"/>
        <w:keepLines w:val="0"/>
        <w:pageBreakBefore w:val="0"/>
        <w:widowControl w:val="0"/>
        <w:wordWrap/>
        <w:overflowPunct/>
        <w:topLinePunct w:val="0"/>
        <w:bidi w:val="0"/>
        <w:spacing w:after="1872"/>
        <w:rPr>
          <w:lang w:eastAsia="zh-CN"/>
        </w:rPr>
      </w:pPr>
      <w:bookmarkStart w:id="0" w:name="_Toc5652"/>
      <w:r>
        <w:rPr>
          <w:lang w:eastAsia="zh-CN"/>
        </w:rPr>
        <w:t>西安泽玺信息科技有限公司</w:t>
      </w:r>
      <w:bookmarkEnd w:id="0"/>
    </w:p>
    <w:p w14:paraId="5A81DBD9">
      <w:pPr>
        <w:pStyle w:val="26"/>
        <w:keepNext w:val="0"/>
        <w:keepLines w:val="0"/>
        <w:pageBreakBefore w:val="0"/>
        <w:widowControl w:val="0"/>
        <w:wordWrap/>
        <w:overflowPunct/>
        <w:topLinePunct w:val="0"/>
        <w:bidi w:val="0"/>
        <w:rPr>
          <w:rFonts w:hint="eastAsia"/>
          <w:sz w:val="30"/>
          <w:szCs w:val="30"/>
          <w:lang w:eastAsia="zh-CN"/>
        </w:rPr>
      </w:pPr>
      <w:r>
        <w:rPr>
          <w:rFonts w:hint="eastAsia"/>
          <w:sz w:val="30"/>
          <w:szCs w:val="30"/>
          <w:lang w:eastAsia="zh-CN"/>
        </w:rPr>
        <w:t>银川输油气分公司2026年度桌面及信息网络综合运维技术服务项目-交付改进报告</w:t>
      </w:r>
      <w:r>
        <w:rPr>
          <w:rFonts w:hint="eastAsia"/>
          <w:sz w:val="30"/>
          <w:szCs w:val="30"/>
          <w:lang w:eastAsia="zh-CN"/>
        </w:rPr>
        <w:br w:type="textWrapping"/>
      </w:r>
      <w:r>
        <w:rPr>
          <w:rFonts w:hint="eastAsia"/>
          <w:sz w:val="30"/>
          <w:szCs w:val="30"/>
          <w:lang w:eastAsia="zh-CN"/>
        </w:rPr>
        <w:t>（截止2026年6月）</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08CC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jc w:val="center"/>
        </w:trPr>
        <w:tc>
          <w:tcPr>
            <w:tcW w:w="1818" w:type="dxa"/>
            <w:vAlign w:val="top"/>
          </w:tcPr>
          <w:p w14:paraId="1D9497C5">
            <w:pPr>
              <w:pStyle w:val="30"/>
              <w:widowControl w:val="0"/>
              <w:ind w:firstLine="0" w:firstLineChars="0"/>
              <w:jc w:val="both"/>
              <w:rPr>
                <w:rFonts w:hint="eastAsia" w:ascii="宋体" w:hAnsi="宋体" w:eastAsia="宋体" w:cs="宋体"/>
                <w:sz w:val="21"/>
                <w:lang w:eastAsia="zh-CN"/>
              </w:rPr>
            </w:pPr>
            <w:r>
              <w:rPr>
                <w:rFonts w:hint="eastAsia" w:ascii="宋体" w:hAnsi="宋体" w:cs="宋体"/>
                <w:sz w:val="21"/>
              </w:rPr>
              <w:t>编制人:</w:t>
            </w:r>
            <w:r>
              <w:rPr>
                <w:rFonts w:hint="eastAsia" w:ascii="宋体" w:hAnsi="宋体" w:cs="宋体"/>
                <w:sz w:val="21"/>
                <w:u w:val="single"/>
              </w:rPr>
              <w:t>丁嘉涛</w:t>
            </w:r>
          </w:p>
        </w:tc>
        <w:tc>
          <w:tcPr>
            <w:tcW w:w="4261" w:type="dxa"/>
            <w:vAlign w:val="top"/>
          </w:tcPr>
          <w:p w14:paraId="083F04B0">
            <w:pPr>
              <w:pStyle w:val="30"/>
              <w:keepLines w:val="0"/>
              <w:pageBreakBefore w:val="0"/>
              <w:widowControl w:val="0"/>
              <w:wordWrap/>
              <w:overflowPunct/>
              <w:topLinePunct w:val="0"/>
              <w:bidi w:val="0"/>
              <w:ind w:firstLine="420" w:firstLineChars="200"/>
              <w:jc w:val="both"/>
              <w:rPr>
                <w:rFonts w:hint="default" w:ascii="宋体" w:hAnsi="宋体" w:eastAsia="宋体" w:cs="宋体"/>
                <w:sz w:val="21"/>
                <w:lang w:val="en-US" w:eastAsia="zh-CN"/>
              </w:rPr>
            </w:pPr>
            <w:r>
              <w:rPr>
                <w:rFonts w:hint="eastAsia" w:ascii="宋体" w:hAnsi="宋体" w:cs="宋体"/>
                <w:sz w:val="21"/>
              </w:rPr>
              <w:t>编制时间:</w:t>
            </w:r>
            <w:r>
              <w:rPr>
                <w:rFonts w:hint="eastAsia" w:ascii="宋体" w:hAnsi="宋体" w:cs="宋体"/>
                <w:sz w:val="21"/>
                <w:u w:val="single"/>
              </w:rPr>
              <w:t>2026.6.</w:t>
            </w:r>
            <w:r>
              <w:rPr>
                <w:rFonts w:hint="eastAsia" w:ascii="宋体" w:hAnsi="宋体" w:cs="宋体"/>
                <w:sz w:val="21"/>
                <w:u w:val="single"/>
                <w:lang w:val="en-US" w:eastAsia="zh-CN"/>
              </w:rPr>
              <w:t>30</w:t>
            </w:r>
          </w:p>
        </w:tc>
      </w:tr>
      <w:tr w14:paraId="6F700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vAlign w:val="top"/>
          </w:tcPr>
          <w:p w14:paraId="1681BE1A">
            <w:pPr>
              <w:pStyle w:val="30"/>
              <w:widowControl w:val="0"/>
              <w:ind w:firstLine="0" w:firstLineChars="0"/>
              <w:jc w:val="both"/>
              <w:rPr>
                <w:rFonts w:hint="eastAsia" w:ascii="宋体" w:hAnsi="宋体" w:eastAsia="宋体" w:cs="宋体"/>
                <w:sz w:val="21"/>
                <w:lang w:val="en-US" w:eastAsia="zh-CN"/>
              </w:rPr>
            </w:pPr>
            <w:r>
              <w:rPr>
                <w:rFonts w:hint="eastAsia" w:ascii="宋体" w:hAnsi="宋体" w:cs="宋体"/>
                <w:sz w:val="21"/>
              </w:rPr>
              <w:t>审核人:</w:t>
            </w:r>
            <w:r>
              <w:rPr>
                <w:rFonts w:hint="eastAsia" w:ascii="宋体" w:hAnsi="宋体" w:cs="宋体"/>
                <w:sz w:val="21"/>
                <w:u w:val="single"/>
              </w:rPr>
              <w:t>孙晓玲</w:t>
            </w:r>
          </w:p>
        </w:tc>
        <w:tc>
          <w:tcPr>
            <w:tcW w:w="4261" w:type="dxa"/>
            <w:vAlign w:val="top"/>
          </w:tcPr>
          <w:p w14:paraId="0A9C7864">
            <w:pPr>
              <w:pStyle w:val="30"/>
              <w:keepLines w:val="0"/>
              <w:pageBreakBefore w:val="0"/>
              <w:widowControl w:val="0"/>
              <w:wordWrap/>
              <w:overflowPunct/>
              <w:topLinePunct w:val="0"/>
              <w:bidi w:val="0"/>
              <w:ind w:firstLine="420" w:firstLineChars="200"/>
              <w:jc w:val="both"/>
              <w:rPr>
                <w:rFonts w:hint="default" w:ascii="宋体" w:hAnsi="宋体" w:eastAsia="宋体" w:cs="宋体"/>
                <w:sz w:val="21"/>
                <w:lang w:val="en-US" w:eastAsia="zh-CN"/>
              </w:rPr>
            </w:pPr>
            <w:r>
              <w:rPr>
                <w:rFonts w:hint="eastAsia" w:ascii="宋体" w:hAnsi="宋体" w:cs="宋体"/>
                <w:sz w:val="21"/>
                <w:lang w:val="en-US" w:eastAsia="zh-CN"/>
              </w:rPr>
              <w:t>审核</w:t>
            </w:r>
            <w:r>
              <w:rPr>
                <w:rFonts w:hint="eastAsia" w:ascii="宋体" w:hAnsi="宋体" w:cs="宋体"/>
                <w:sz w:val="21"/>
              </w:rPr>
              <w:t>时间:</w:t>
            </w:r>
            <w:r>
              <w:rPr>
                <w:rFonts w:hint="eastAsia" w:ascii="宋体" w:hAnsi="宋体" w:cs="宋体"/>
                <w:sz w:val="21"/>
                <w:u w:val="single"/>
              </w:rPr>
              <w:t>2026.6.</w:t>
            </w:r>
            <w:r>
              <w:rPr>
                <w:rFonts w:hint="eastAsia" w:ascii="宋体" w:hAnsi="宋体" w:cs="宋体"/>
                <w:sz w:val="21"/>
                <w:u w:val="single"/>
                <w:lang w:val="en-US" w:eastAsia="zh-CN"/>
              </w:rPr>
              <w:t>30</w:t>
            </w:r>
          </w:p>
        </w:tc>
      </w:tr>
      <w:tr w14:paraId="5AD9F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vAlign w:val="top"/>
          </w:tcPr>
          <w:p w14:paraId="7185FBC5">
            <w:pPr>
              <w:pStyle w:val="30"/>
              <w:keepLines w:val="0"/>
              <w:pageBreakBefore w:val="0"/>
              <w:widowControl w:val="0"/>
              <w:wordWrap/>
              <w:overflowPunct/>
              <w:topLinePunct w:val="0"/>
              <w:bidi w:val="0"/>
              <w:ind w:firstLine="0" w:firstLineChars="0"/>
              <w:jc w:val="both"/>
              <w:rPr>
                <w:rFonts w:hint="eastAsia" w:ascii="宋体" w:hAnsi="宋体" w:cs="宋体"/>
                <w:sz w:val="21"/>
              </w:rPr>
            </w:pPr>
            <w:r>
              <w:rPr>
                <w:rFonts w:hint="eastAsia" w:ascii="宋体" w:hAnsi="宋体" w:cs="宋体"/>
                <w:sz w:val="21"/>
              </w:rPr>
              <w:t>批准人:</w:t>
            </w:r>
            <w:r>
              <w:rPr>
                <w:rFonts w:hint="eastAsia" w:ascii="宋体" w:hAnsi="宋体" w:cs="宋体"/>
                <w:sz w:val="21"/>
                <w:u w:val="single"/>
              </w:rPr>
              <w:t>冯建东</w:t>
            </w:r>
          </w:p>
        </w:tc>
        <w:tc>
          <w:tcPr>
            <w:tcW w:w="4261" w:type="dxa"/>
            <w:vAlign w:val="top"/>
          </w:tcPr>
          <w:p w14:paraId="15A0B5CF">
            <w:pPr>
              <w:pStyle w:val="30"/>
              <w:keepLines w:val="0"/>
              <w:pageBreakBefore w:val="0"/>
              <w:widowControl w:val="0"/>
              <w:wordWrap/>
              <w:overflowPunct/>
              <w:topLinePunct w:val="0"/>
              <w:bidi w:val="0"/>
              <w:ind w:firstLine="420" w:firstLineChars="200"/>
              <w:jc w:val="both"/>
              <w:rPr>
                <w:rFonts w:hint="default" w:ascii="宋体" w:hAnsi="宋体" w:eastAsia="宋体" w:cs="宋体"/>
                <w:sz w:val="21"/>
                <w:lang w:val="en-US" w:eastAsia="zh-CN"/>
              </w:rPr>
            </w:pPr>
            <w:r>
              <w:rPr>
                <w:rFonts w:hint="eastAsia" w:ascii="宋体" w:hAnsi="宋体" w:cs="宋体"/>
                <w:sz w:val="21"/>
              </w:rPr>
              <w:t>审批时间:</w:t>
            </w:r>
            <w:r>
              <w:rPr>
                <w:rFonts w:hint="eastAsia" w:ascii="宋体" w:hAnsi="宋体" w:cs="宋体"/>
                <w:sz w:val="21"/>
                <w:u w:val="single"/>
              </w:rPr>
              <w:t>2026.6.</w:t>
            </w:r>
            <w:r>
              <w:rPr>
                <w:rFonts w:hint="eastAsia" w:ascii="宋体" w:hAnsi="宋体" w:cs="宋体"/>
                <w:sz w:val="21"/>
                <w:u w:val="single"/>
                <w:lang w:val="en-US" w:eastAsia="zh-CN"/>
              </w:rPr>
              <w:t>30</w:t>
            </w:r>
          </w:p>
        </w:tc>
      </w:tr>
    </w:tbl>
    <w:p w14:paraId="33B2F922">
      <w:pPr>
        <w:keepNext w:val="0"/>
        <w:keepLines w:val="0"/>
        <w:pageBreakBefore w:val="0"/>
        <w:widowControl w:val="0"/>
        <w:wordWrap/>
        <w:overflowPunct/>
        <w:topLinePunct w:val="0"/>
        <w:bidi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22C39D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36B47335">
            <w:pPr>
              <w:keepNext w:val="0"/>
              <w:keepLines w:val="0"/>
              <w:pageBreakBefore w:val="0"/>
              <w:widowControl w:val="0"/>
              <w:wordWrap/>
              <w:overflowPunct/>
              <w:topLinePunct w:val="0"/>
              <w:bidi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08802F79">
            <w:pPr>
              <w:keepNext w:val="0"/>
              <w:keepLines w:val="0"/>
              <w:pageBreakBefore w:val="0"/>
              <w:widowControl w:val="0"/>
              <w:wordWrap/>
              <w:overflowPunct/>
              <w:topLinePunct w:val="0"/>
              <w:bidi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7934C23D">
            <w:pPr>
              <w:keepNext w:val="0"/>
              <w:keepLines w:val="0"/>
              <w:pageBreakBefore w:val="0"/>
              <w:widowControl w:val="0"/>
              <w:wordWrap/>
              <w:overflowPunct/>
              <w:topLinePunct w:val="0"/>
              <w:bidi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6128863B">
            <w:pPr>
              <w:keepNext w:val="0"/>
              <w:keepLines w:val="0"/>
              <w:pageBreakBefore w:val="0"/>
              <w:widowControl w:val="0"/>
              <w:wordWrap/>
              <w:overflowPunct/>
              <w:topLinePunct w:val="0"/>
              <w:bidi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189DECCF">
            <w:pPr>
              <w:keepNext w:val="0"/>
              <w:keepLines w:val="0"/>
              <w:pageBreakBefore w:val="0"/>
              <w:widowControl w:val="0"/>
              <w:wordWrap/>
              <w:overflowPunct/>
              <w:topLinePunct w:val="0"/>
              <w:bidi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40F2E18A">
            <w:pPr>
              <w:keepNext w:val="0"/>
              <w:keepLines w:val="0"/>
              <w:pageBreakBefore w:val="0"/>
              <w:widowControl w:val="0"/>
              <w:wordWrap/>
              <w:overflowPunct/>
              <w:topLinePunct w:val="0"/>
              <w:bidi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4AFC02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512D21A">
            <w:pPr>
              <w:keepNext w:val="0"/>
              <w:keepLines w:val="0"/>
              <w:pageBreakBefore w:val="0"/>
              <w:widowControl w:val="0"/>
              <w:wordWrap/>
              <w:overflowPunct/>
              <w:topLinePunct w:val="0"/>
              <w:bidi w:val="0"/>
              <w:spacing w:before="173" w:line="267" w:lineRule="exact"/>
              <w:ind w:left="260"/>
              <w:rPr>
                <w:rFonts w:hint="default" w:ascii="宋体" w:hAnsi="宋体" w:cs="宋体"/>
                <w:sz w:val="20"/>
                <w:szCs w:val="20"/>
                <w:lang w:val="en-US" w:eastAsia="zh-CN"/>
              </w:rPr>
            </w:pPr>
            <w:r>
              <w:rPr>
                <w:rFonts w:hint="eastAsia" w:ascii="宋体" w:hAnsi="宋体" w:cs="宋体"/>
                <w:spacing w:val="3"/>
                <w:position w:val="1"/>
                <w:sz w:val="20"/>
                <w:szCs w:val="20"/>
                <w:lang w:val="en-US" w:eastAsia="zh-CN"/>
              </w:rPr>
              <w:t>2026.6.30</w:t>
            </w:r>
          </w:p>
        </w:tc>
        <w:tc>
          <w:tcPr>
            <w:tcW w:w="919" w:type="dxa"/>
          </w:tcPr>
          <w:p w14:paraId="2CA12FDD">
            <w:pPr>
              <w:keepNext w:val="0"/>
              <w:keepLines w:val="0"/>
              <w:pageBreakBefore w:val="0"/>
              <w:widowControl w:val="0"/>
              <w:wordWrap/>
              <w:overflowPunct/>
              <w:topLinePunct w:val="0"/>
              <w:bidi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38C73577">
            <w:pPr>
              <w:keepNext w:val="0"/>
              <w:keepLines w:val="0"/>
              <w:pageBreakBefore w:val="0"/>
              <w:widowControl w:val="0"/>
              <w:wordWrap/>
              <w:overflowPunct/>
              <w:topLinePunct w:val="0"/>
              <w:bidi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60AF83AC">
            <w:pPr>
              <w:keepNext w:val="0"/>
              <w:keepLines w:val="0"/>
              <w:pageBreakBefore w:val="0"/>
              <w:widowControl w:val="0"/>
              <w:wordWrap/>
              <w:overflowPunct/>
              <w:topLinePunct w:val="0"/>
              <w:bidi w:val="0"/>
              <w:spacing w:before="172" w:line="228" w:lineRule="auto"/>
              <w:ind w:left="313" w:leftChars="0"/>
              <w:rPr>
                <w:rFonts w:hint="eastAsia" w:ascii="宋体" w:hAnsi="宋体" w:cs="宋体"/>
                <w:sz w:val="20"/>
                <w:szCs w:val="20"/>
                <w:lang w:eastAsia="zh-CN"/>
              </w:rPr>
            </w:pPr>
            <w:r>
              <w:rPr>
                <w:rFonts w:hint="eastAsia" w:ascii="宋体" w:hAnsi="宋体" w:cs="宋体"/>
                <w:sz w:val="20"/>
                <w:szCs w:val="20"/>
                <w:lang w:val="en-US" w:eastAsia="zh-CN"/>
              </w:rPr>
              <w:t>丁嘉涛</w:t>
            </w:r>
          </w:p>
        </w:tc>
        <w:tc>
          <w:tcPr>
            <w:tcW w:w="1150" w:type="dxa"/>
          </w:tcPr>
          <w:p w14:paraId="0B250B05">
            <w:pPr>
              <w:keepNext w:val="0"/>
              <w:keepLines w:val="0"/>
              <w:pageBreakBefore w:val="0"/>
              <w:widowControl w:val="0"/>
              <w:wordWrap/>
              <w:overflowPunct/>
              <w:topLinePunct w:val="0"/>
              <w:bidi w:val="0"/>
              <w:spacing w:before="172" w:line="228" w:lineRule="auto"/>
              <w:ind w:left="313" w:leftChars="0"/>
              <w:rPr>
                <w:rFonts w:hint="eastAsia" w:ascii="宋体" w:hAnsi="宋体" w:cs="宋体"/>
                <w:spacing w:val="5"/>
                <w:sz w:val="20"/>
                <w:szCs w:val="20"/>
              </w:rPr>
            </w:pPr>
            <w:r>
              <w:rPr>
                <w:rFonts w:hint="eastAsia" w:ascii="宋体" w:hAnsi="宋体" w:cs="宋体"/>
                <w:spacing w:val="5"/>
                <w:sz w:val="20"/>
                <w:szCs w:val="20"/>
                <w:lang w:val="en-US" w:eastAsia="zh-CN"/>
              </w:rPr>
              <w:t>孙晓玲</w:t>
            </w:r>
          </w:p>
        </w:tc>
        <w:tc>
          <w:tcPr>
            <w:tcW w:w="1240" w:type="dxa"/>
          </w:tcPr>
          <w:p w14:paraId="2F67D1DA">
            <w:pPr>
              <w:keepNext w:val="0"/>
              <w:keepLines w:val="0"/>
              <w:pageBreakBefore w:val="0"/>
              <w:widowControl w:val="0"/>
              <w:wordWrap/>
              <w:overflowPunct/>
              <w:topLinePunct w:val="0"/>
              <w:bidi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冯建东</w:t>
            </w:r>
          </w:p>
        </w:tc>
      </w:tr>
      <w:tr w14:paraId="3B393C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A97D340">
            <w:pPr>
              <w:pStyle w:val="28"/>
              <w:keepNext w:val="0"/>
              <w:keepLines w:val="0"/>
              <w:pageBreakBefore w:val="0"/>
              <w:widowControl w:val="0"/>
              <w:wordWrap/>
              <w:overflowPunct/>
              <w:topLinePunct w:val="0"/>
              <w:bidi w:val="0"/>
              <w:rPr>
                <w:rFonts w:hint="eastAsia"/>
              </w:rPr>
            </w:pPr>
          </w:p>
        </w:tc>
        <w:tc>
          <w:tcPr>
            <w:tcW w:w="919" w:type="dxa"/>
          </w:tcPr>
          <w:p w14:paraId="77F58C14">
            <w:pPr>
              <w:pStyle w:val="28"/>
              <w:keepNext w:val="0"/>
              <w:keepLines w:val="0"/>
              <w:pageBreakBefore w:val="0"/>
              <w:widowControl w:val="0"/>
              <w:wordWrap/>
              <w:overflowPunct/>
              <w:topLinePunct w:val="0"/>
              <w:bidi w:val="0"/>
              <w:rPr>
                <w:rFonts w:hint="eastAsia"/>
              </w:rPr>
            </w:pPr>
          </w:p>
        </w:tc>
        <w:tc>
          <w:tcPr>
            <w:tcW w:w="2289" w:type="dxa"/>
          </w:tcPr>
          <w:p w14:paraId="0956A3A3">
            <w:pPr>
              <w:pStyle w:val="28"/>
              <w:keepNext w:val="0"/>
              <w:keepLines w:val="0"/>
              <w:pageBreakBefore w:val="0"/>
              <w:widowControl w:val="0"/>
              <w:wordWrap/>
              <w:overflowPunct/>
              <w:topLinePunct w:val="0"/>
              <w:bidi w:val="0"/>
              <w:rPr>
                <w:rFonts w:hint="eastAsia"/>
              </w:rPr>
            </w:pPr>
          </w:p>
        </w:tc>
        <w:tc>
          <w:tcPr>
            <w:tcW w:w="1148" w:type="dxa"/>
          </w:tcPr>
          <w:p w14:paraId="020F2431">
            <w:pPr>
              <w:keepNext w:val="0"/>
              <w:keepLines w:val="0"/>
              <w:pageBreakBefore w:val="0"/>
              <w:widowControl w:val="0"/>
              <w:wordWrap/>
              <w:overflowPunct/>
              <w:topLinePunct w:val="0"/>
              <w:bidi w:val="0"/>
              <w:spacing w:before="172" w:line="228" w:lineRule="auto"/>
              <w:ind w:left="313"/>
            </w:pPr>
          </w:p>
        </w:tc>
        <w:tc>
          <w:tcPr>
            <w:tcW w:w="1150" w:type="dxa"/>
          </w:tcPr>
          <w:p w14:paraId="7016C378">
            <w:pPr>
              <w:keepNext w:val="0"/>
              <w:keepLines w:val="0"/>
              <w:pageBreakBefore w:val="0"/>
              <w:widowControl w:val="0"/>
              <w:wordWrap/>
              <w:overflowPunct/>
              <w:topLinePunct w:val="0"/>
              <w:bidi w:val="0"/>
              <w:spacing w:before="172" w:line="228" w:lineRule="auto"/>
              <w:ind w:left="313"/>
            </w:pPr>
          </w:p>
        </w:tc>
        <w:tc>
          <w:tcPr>
            <w:tcW w:w="1240" w:type="dxa"/>
          </w:tcPr>
          <w:p w14:paraId="7BE16B3E">
            <w:pPr>
              <w:pStyle w:val="28"/>
              <w:keepNext w:val="0"/>
              <w:keepLines w:val="0"/>
              <w:pageBreakBefore w:val="0"/>
              <w:widowControl w:val="0"/>
              <w:wordWrap/>
              <w:overflowPunct/>
              <w:topLinePunct w:val="0"/>
              <w:bidi w:val="0"/>
              <w:rPr>
                <w:rFonts w:hint="eastAsia"/>
              </w:rPr>
            </w:pPr>
          </w:p>
        </w:tc>
      </w:tr>
      <w:tr w14:paraId="65684A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C15FD96">
            <w:pPr>
              <w:pStyle w:val="28"/>
              <w:keepNext w:val="0"/>
              <w:keepLines w:val="0"/>
              <w:pageBreakBefore w:val="0"/>
              <w:widowControl w:val="0"/>
              <w:wordWrap/>
              <w:overflowPunct/>
              <w:topLinePunct w:val="0"/>
              <w:bidi w:val="0"/>
              <w:rPr>
                <w:rFonts w:hint="eastAsia"/>
              </w:rPr>
            </w:pPr>
          </w:p>
        </w:tc>
        <w:tc>
          <w:tcPr>
            <w:tcW w:w="919" w:type="dxa"/>
          </w:tcPr>
          <w:p w14:paraId="34898D07">
            <w:pPr>
              <w:pStyle w:val="28"/>
              <w:keepNext w:val="0"/>
              <w:keepLines w:val="0"/>
              <w:pageBreakBefore w:val="0"/>
              <w:widowControl w:val="0"/>
              <w:wordWrap/>
              <w:overflowPunct/>
              <w:topLinePunct w:val="0"/>
              <w:bidi w:val="0"/>
              <w:rPr>
                <w:rFonts w:hint="eastAsia"/>
              </w:rPr>
            </w:pPr>
          </w:p>
        </w:tc>
        <w:tc>
          <w:tcPr>
            <w:tcW w:w="2289" w:type="dxa"/>
          </w:tcPr>
          <w:p w14:paraId="125988E9">
            <w:pPr>
              <w:pStyle w:val="28"/>
              <w:keepNext w:val="0"/>
              <w:keepLines w:val="0"/>
              <w:pageBreakBefore w:val="0"/>
              <w:widowControl w:val="0"/>
              <w:wordWrap/>
              <w:overflowPunct/>
              <w:topLinePunct w:val="0"/>
              <w:bidi w:val="0"/>
              <w:rPr>
                <w:rFonts w:hint="eastAsia"/>
              </w:rPr>
            </w:pPr>
          </w:p>
        </w:tc>
        <w:tc>
          <w:tcPr>
            <w:tcW w:w="1148" w:type="dxa"/>
          </w:tcPr>
          <w:p w14:paraId="7985F2C6">
            <w:pPr>
              <w:keepNext w:val="0"/>
              <w:keepLines w:val="0"/>
              <w:pageBreakBefore w:val="0"/>
              <w:widowControl w:val="0"/>
              <w:wordWrap/>
              <w:overflowPunct/>
              <w:topLinePunct w:val="0"/>
              <w:bidi w:val="0"/>
              <w:spacing w:before="173" w:line="229" w:lineRule="auto"/>
              <w:ind w:left="314"/>
            </w:pPr>
          </w:p>
        </w:tc>
        <w:tc>
          <w:tcPr>
            <w:tcW w:w="1150" w:type="dxa"/>
          </w:tcPr>
          <w:p w14:paraId="70E3128D">
            <w:pPr>
              <w:keepNext w:val="0"/>
              <w:keepLines w:val="0"/>
              <w:pageBreakBefore w:val="0"/>
              <w:widowControl w:val="0"/>
              <w:wordWrap/>
              <w:overflowPunct/>
              <w:topLinePunct w:val="0"/>
              <w:bidi w:val="0"/>
              <w:spacing w:before="173" w:line="229" w:lineRule="auto"/>
              <w:ind w:left="314"/>
            </w:pPr>
          </w:p>
        </w:tc>
        <w:tc>
          <w:tcPr>
            <w:tcW w:w="1240" w:type="dxa"/>
          </w:tcPr>
          <w:p w14:paraId="0CD4EEC6">
            <w:pPr>
              <w:pStyle w:val="28"/>
              <w:keepNext w:val="0"/>
              <w:keepLines w:val="0"/>
              <w:pageBreakBefore w:val="0"/>
              <w:widowControl w:val="0"/>
              <w:wordWrap/>
              <w:overflowPunct/>
              <w:topLinePunct w:val="0"/>
              <w:bidi w:val="0"/>
              <w:rPr>
                <w:rFonts w:hint="eastAsia"/>
              </w:rPr>
            </w:pPr>
          </w:p>
        </w:tc>
      </w:tr>
      <w:tr w14:paraId="710D6D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57202921">
            <w:pPr>
              <w:pStyle w:val="28"/>
              <w:keepNext w:val="0"/>
              <w:keepLines w:val="0"/>
              <w:pageBreakBefore w:val="0"/>
              <w:widowControl w:val="0"/>
              <w:wordWrap/>
              <w:overflowPunct/>
              <w:topLinePunct w:val="0"/>
              <w:bidi w:val="0"/>
              <w:rPr>
                <w:rFonts w:hint="eastAsia"/>
              </w:rPr>
            </w:pPr>
          </w:p>
        </w:tc>
        <w:tc>
          <w:tcPr>
            <w:tcW w:w="919" w:type="dxa"/>
          </w:tcPr>
          <w:p w14:paraId="7421BAC8">
            <w:pPr>
              <w:pStyle w:val="28"/>
              <w:keepNext w:val="0"/>
              <w:keepLines w:val="0"/>
              <w:pageBreakBefore w:val="0"/>
              <w:widowControl w:val="0"/>
              <w:wordWrap/>
              <w:overflowPunct/>
              <w:topLinePunct w:val="0"/>
              <w:bidi w:val="0"/>
              <w:rPr>
                <w:rFonts w:hint="eastAsia"/>
              </w:rPr>
            </w:pPr>
          </w:p>
        </w:tc>
        <w:tc>
          <w:tcPr>
            <w:tcW w:w="2289" w:type="dxa"/>
          </w:tcPr>
          <w:p w14:paraId="2010A980">
            <w:pPr>
              <w:pStyle w:val="28"/>
              <w:keepNext w:val="0"/>
              <w:keepLines w:val="0"/>
              <w:pageBreakBefore w:val="0"/>
              <w:widowControl w:val="0"/>
              <w:wordWrap/>
              <w:overflowPunct/>
              <w:topLinePunct w:val="0"/>
              <w:bidi w:val="0"/>
              <w:rPr>
                <w:rFonts w:hint="eastAsia"/>
              </w:rPr>
            </w:pPr>
          </w:p>
        </w:tc>
        <w:tc>
          <w:tcPr>
            <w:tcW w:w="1148" w:type="dxa"/>
          </w:tcPr>
          <w:p w14:paraId="3A5B330B">
            <w:pPr>
              <w:pStyle w:val="28"/>
              <w:keepNext w:val="0"/>
              <w:keepLines w:val="0"/>
              <w:pageBreakBefore w:val="0"/>
              <w:widowControl w:val="0"/>
              <w:wordWrap/>
              <w:overflowPunct/>
              <w:topLinePunct w:val="0"/>
              <w:bidi w:val="0"/>
              <w:rPr>
                <w:rFonts w:hint="eastAsia"/>
              </w:rPr>
            </w:pPr>
          </w:p>
        </w:tc>
        <w:tc>
          <w:tcPr>
            <w:tcW w:w="1150" w:type="dxa"/>
          </w:tcPr>
          <w:p w14:paraId="4B8C8C2C">
            <w:pPr>
              <w:pStyle w:val="28"/>
              <w:keepNext w:val="0"/>
              <w:keepLines w:val="0"/>
              <w:pageBreakBefore w:val="0"/>
              <w:widowControl w:val="0"/>
              <w:wordWrap/>
              <w:overflowPunct/>
              <w:topLinePunct w:val="0"/>
              <w:bidi w:val="0"/>
              <w:rPr>
                <w:rFonts w:hint="eastAsia"/>
              </w:rPr>
            </w:pPr>
          </w:p>
        </w:tc>
        <w:tc>
          <w:tcPr>
            <w:tcW w:w="1240" w:type="dxa"/>
          </w:tcPr>
          <w:p w14:paraId="1D01082B">
            <w:pPr>
              <w:pStyle w:val="28"/>
              <w:keepNext w:val="0"/>
              <w:keepLines w:val="0"/>
              <w:pageBreakBefore w:val="0"/>
              <w:widowControl w:val="0"/>
              <w:wordWrap/>
              <w:overflowPunct/>
              <w:topLinePunct w:val="0"/>
              <w:bidi w:val="0"/>
              <w:rPr>
                <w:rFonts w:hint="eastAsia"/>
              </w:rPr>
            </w:pPr>
          </w:p>
        </w:tc>
      </w:tr>
      <w:tr w14:paraId="70BA33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7DA7ACF">
            <w:pPr>
              <w:pStyle w:val="28"/>
              <w:keepNext w:val="0"/>
              <w:keepLines w:val="0"/>
              <w:pageBreakBefore w:val="0"/>
              <w:widowControl w:val="0"/>
              <w:wordWrap/>
              <w:overflowPunct/>
              <w:topLinePunct w:val="0"/>
              <w:bidi w:val="0"/>
              <w:rPr>
                <w:rFonts w:hint="eastAsia"/>
              </w:rPr>
            </w:pPr>
          </w:p>
        </w:tc>
        <w:tc>
          <w:tcPr>
            <w:tcW w:w="919" w:type="dxa"/>
          </w:tcPr>
          <w:p w14:paraId="0E0E674D">
            <w:pPr>
              <w:pStyle w:val="28"/>
              <w:keepNext w:val="0"/>
              <w:keepLines w:val="0"/>
              <w:pageBreakBefore w:val="0"/>
              <w:widowControl w:val="0"/>
              <w:wordWrap/>
              <w:overflowPunct/>
              <w:topLinePunct w:val="0"/>
              <w:bidi w:val="0"/>
              <w:rPr>
                <w:rFonts w:hint="eastAsia"/>
              </w:rPr>
            </w:pPr>
          </w:p>
        </w:tc>
        <w:tc>
          <w:tcPr>
            <w:tcW w:w="2289" w:type="dxa"/>
          </w:tcPr>
          <w:p w14:paraId="5096FFF5">
            <w:pPr>
              <w:pStyle w:val="28"/>
              <w:keepNext w:val="0"/>
              <w:keepLines w:val="0"/>
              <w:pageBreakBefore w:val="0"/>
              <w:widowControl w:val="0"/>
              <w:wordWrap/>
              <w:overflowPunct/>
              <w:topLinePunct w:val="0"/>
              <w:bidi w:val="0"/>
              <w:rPr>
                <w:rFonts w:hint="eastAsia"/>
              </w:rPr>
            </w:pPr>
          </w:p>
        </w:tc>
        <w:tc>
          <w:tcPr>
            <w:tcW w:w="1148" w:type="dxa"/>
          </w:tcPr>
          <w:p w14:paraId="23543605">
            <w:pPr>
              <w:pStyle w:val="28"/>
              <w:keepNext w:val="0"/>
              <w:keepLines w:val="0"/>
              <w:pageBreakBefore w:val="0"/>
              <w:widowControl w:val="0"/>
              <w:wordWrap/>
              <w:overflowPunct/>
              <w:topLinePunct w:val="0"/>
              <w:bidi w:val="0"/>
              <w:rPr>
                <w:rFonts w:hint="eastAsia"/>
              </w:rPr>
            </w:pPr>
          </w:p>
        </w:tc>
        <w:tc>
          <w:tcPr>
            <w:tcW w:w="1150" w:type="dxa"/>
          </w:tcPr>
          <w:p w14:paraId="0D358F9B">
            <w:pPr>
              <w:pStyle w:val="28"/>
              <w:keepNext w:val="0"/>
              <w:keepLines w:val="0"/>
              <w:pageBreakBefore w:val="0"/>
              <w:widowControl w:val="0"/>
              <w:wordWrap/>
              <w:overflowPunct/>
              <w:topLinePunct w:val="0"/>
              <w:bidi w:val="0"/>
              <w:rPr>
                <w:rFonts w:hint="eastAsia"/>
              </w:rPr>
            </w:pPr>
          </w:p>
        </w:tc>
        <w:tc>
          <w:tcPr>
            <w:tcW w:w="1240" w:type="dxa"/>
          </w:tcPr>
          <w:p w14:paraId="7DC47A1C">
            <w:pPr>
              <w:pStyle w:val="28"/>
              <w:keepNext w:val="0"/>
              <w:keepLines w:val="0"/>
              <w:pageBreakBefore w:val="0"/>
              <w:widowControl w:val="0"/>
              <w:wordWrap/>
              <w:overflowPunct/>
              <w:topLinePunct w:val="0"/>
              <w:bidi w:val="0"/>
              <w:rPr>
                <w:rFonts w:hint="eastAsia"/>
              </w:rPr>
            </w:pPr>
          </w:p>
        </w:tc>
      </w:tr>
      <w:tr w14:paraId="246571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10D09778">
            <w:pPr>
              <w:pStyle w:val="28"/>
              <w:keepNext w:val="0"/>
              <w:keepLines w:val="0"/>
              <w:pageBreakBefore w:val="0"/>
              <w:widowControl w:val="0"/>
              <w:wordWrap/>
              <w:overflowPunct/>
              <w:topLinePunct w:val="0"/>
              <w:bidi w:val="0"/>
              <w:rPr>
                <w:rFonts w:hint="eastAsia"/>
              </w:rPr>
            </w:pPr>
          </w:p>
        </w:tc>
        <w:tc>
          <w:tcPr>
            <w:tcW w:w="919" w:type="dxa"/>
          </w:tcPr>
          <w:p w14:paraId="31A4A1DC">
            <w:pPr>
              <w:pStyle w:val="28"/>
              <w:keepNext w:val="0"/>
              <w:keepLines w:val="0"/>
              <w:pageBreakBefore w:val="0"/>
              <w:widowControl w:val="0"/>
              <w:wordWrap/>
              <w:overflowPunct/>
              <w:topLinePunct w:val="0"/>
              <w:bidi w:val="0"/>
              <w:rPr>
                <w:rFonts w:hint="eastAsia"/>
              </w:rPr>
            </w:pPr>
          </w:p>
        </w:tc>
        <w:tc>
          <w:tcPr>
            <w:tcW w:w="2289" w:type="dxa"/>
          </w:tcPr>
          <w:p w14:paraId="7F24EF54">
            <w:pPr>
              <w:pStyle w:val="28"/>
              <w:keepNext w:val="0"/>
              <w:keepLines w:val="0"/>
              <w:pageBreakBefore w:val="0"/>
              <w:widowControl w:val="0"/>
              <w:wordWrap/>
              <w:overflowPunct/>
              <w:topLinePunct w:val="0"/>
              <w:bidi w:val="0"/>
              <w:rPr>
                <w:rFonts w:hint="eastAsia"/>
              </w:rPr>
            </w:pPr>
          </w:p>
        </w:tc>
        <w:tc>
          <w:tcPr>
            <w:tcW w:w="1148" w:type="dxa"/>
          </w:tcPr>
          <w:p w14:paraId="057160A7">
            <w:pPr>
              <w:pStyle w:val="28"/>
              <w:keepNext w:val="0"/>
              <w:keepLines w:val="0"/>
              <w:pageBreakBefore w:val="0"/>
              <w:widowControl w:val="0"/>
              <w:wordWrap/>
              <w:overflowPunct/>
              <w:topLinePunct w:val="0"/>
              <w:bidi w:val="0"/>
              <w:rPr>
                <w:rFonts w:hint="eastAsia"/>
              </w:rPr>
            </w:pPr>
          </w:p>
        </w:tc>
        <w:tc>
          <w:tcPr>
            <w:tcW w:w="1150" w:type="dxa"/>
          </w:tcPr>
          <w:p w14:paraId="311F8692">
            <w:pPr>
              <w:pStyle w:val="28"/>
              <w:keepNext w:val="0"/>
              <w:keepLines w:val="0"/>
              <w:pageBreakBefore w:val="0"/>
              <w:widowControl w:val="0"/>
              <w:wordWrap/>
              <w:overflowPunct/>
              <w:topLinePunct w:val="0"/>
              <w:bidi w:val="0"/>
              <w:rPr>
                <w:rFonts w:hint="eastAsia"/>
              </w:rPr>
            </w:pPr>
          </w:p>
        </w:tc>
        <w:tc>
          <w:tcPr>
            <w:tcW w:w="1240" w:type="dxa"/>
          </w:tcPr>
          <w:p w14:paraId="0792EACE">
            <w:pPr>
              <w:pStyle w:val="28"/>
              <w:keepNext w:val="0"/>
              <w:keepLines w:val="0"/>
              <w:pageBreakBefore w:val="0"/>
              <w:widowControl w:val="0"/>
              <w:wordWrap/>
              <w:overflowPunct/>
              <w:topLinePunct w:val="0"/>
              <w:bidi w:val="0"/>
              <w:rPr>
                <w:rFonts w:hint="eastAsia"/>
              </w:rPr>
            </w:pPr>
          </w:p>
        </w:tc>
      </w:tr>
    </w:tbl>
    <w:p w14:paraId="7E037B6F">
      <w:pPr>
        <w:keepNext w:val="0"/>
        <w:keepLines w:val="0"/>
        <w:pageBreakBefore w:val="0"/>
        <w:widowControl w:val="0"/>
        <w:wordWrap/>
        <w:overflowPunct/>
        <w:topLinePunct w:val="0"/>
        <w:bidi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42CBD4FE">
          <w:pPr>
            <w:keepNext w:val="0"/>
            <w:keepLines w:val="0"/>
            <w:pageBreakBefore w:val="0"/>
            <w:widowControl w:val="0"/>
            <w:wordWrap/>
            <w:overflowPunct/>
            <w:topLinePunct w:val="0"/>
            <w:bidi w:val="0"/>
            <w:spacing w:line="240" w:lineRule="auto"/>
            <w:jc w:val="center"/>
            <w:rPr>
              <w:rFonts w:hint="eastAsia" w:ascii="宋体" w:hAnsi="宋体" w:cs="宋体"/>
              <w:sz w:val="24"/>
              <w:szCs w:val="24"/>
            </w:rPr>
          </w:pPr>
          <w:r>
            <w:rPr>
              <w:rFonts w:hint="eastAsia" w:ascii="宋体" w:hAnsi="宋体" w:cs="宋体"/>
              <w:sz w:val="24"/>
              <w:szCs w:val="24"/>
            </w:rPr>
            <w:t>目录</w:t>
          </w:r>
        </w:p>
        <w:p w14:paraId="2C2477E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_Toc5652 </w:instrText>
          </w:r>
          <w:r>
            <w:rPr>
              <w:rFonts w:hint="eastAsia" w:ascii="宋体" w:hAnsi="宋体" w:eastAsia="宋体" w:cs="宋体"/>
              <w:szCs w:val="24"/>
            </w:rPr>
            <w:fldChar w:fldCharType="separate"/>
          </w:r>
          <w:r>
            <w:rPr>
              <w:lang w:eastAsia="zh-CN"/>
            </w:rPr>
            <w:t>西安泽玺信息科技有限公司</w:t>
          </w:r>
          <w:r>
            <w:tab/>
          </w:r>
          <w:r>
            <w:fldChar w:fldCharType="begin"/>
          </w:r>
          <w:r>
            <w:instrText xml:space="preserve"> PAGEREF _Toc5652 \h </w:instrText>
          </w:r>
          <w:r>
            <w:fldChar w:fldCharType="separate"/>
          </w:r>
          <w:r>
            <w:t>1</w:t>
          </w:r>
          <w:r>
            <w:fldChar w:fldCharType="end"/>
          </w:r>
          <w:r>
            <w:rPr>
              <w:rFonts w:hint="eastAsia" w:ascii="宋体" w:hAnsi="宋体" w:eastAsia="宋体" w:cs="宋体"/>
              <w:szCs w:val="24"/>
            </w:rPr>
            <w:fldChar w:fldCharType="end"/>
          </w:r>
        </w:p>
        <w:p w14:paraId="333B0CFF">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_Toc10578 </w:instrText>
          </w:r>
          <w:r>
            <w:rPr>
              <w:rFonts w:hint="eastAsia" w:ascii="宋体" w:hAnsi="宋体" w:cs="宋体"/>
              <w:szCs w:val="24"/>
            </w:rPr>
            <w:fldChar w:fldCharType="separate"/>
          </w:r>
          <w:r>
            <w:rPr>
              <w:rFonts w:hint="eastAsia"/>
              <w:szCs w:val="30"/>
              <w:lang w:eastAsia="zh-CN"/>
            </w:rPr>
            <w:t>银川输油气分公司2026年度桌面及信息网络综合运维技术服务项目-交付改进报告 （截止2026年6月）</w:t>
          </w:r>
          <w:r>
            <w:tab/>
          </w:r>
          <w:r>
            <w:fldChar w:fldCharType="begin"/>
          </w:r>
          <w:r>
            <w:instrText xml:space="preserve"> PAGEREF _Toc10578 \h </w:instrText>
          </w:r>
          <w:r>
            <w:fldChar w:fldCharType="separate"/>
          </w:r>
          <w:r>
            <w:t>1</w:t>
          </w:r>
          <w:r>
            <w:fldChar w:fldCharType="end"/>
          </w:r>
          <w:r>
            <w:rPr>
              <w:rFonts w:hint="eastAsia" w:ascii="宋体" w:hAnsi="宋体" w:cs="宋体"/>
              <w:szCs w:val="24"/>
            </w:rPr>
            <w:fldChar w:fldCharType="end"/>
          </w:r>
        </w:p>
        <w:p w14:paraId="124FD05C">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_Toc16196 </w:instrText>
          </w:r>
          <w:r>
            <w:rPr>
              <w:rFonts w:hint="eastAsia" w:ascii="宋体" w:hAnsi="宋体" w:cs="宋体"/>
              <w:szCs w:val="24"/>
            </w:rPr>
            <w:fldChar w:fldCharType="separate"/>
          </w:r>
          <w:r>
            <w:rPr>
              <w:rFonts w:hint="default"/>
            </w:rPr>
            <w:t xml:space="preserve">1. </w:t>
          </w:r>
          <w:r>
            <w:t>工作概述</w:t>
          </w:r>
          <w:r>
            <w:tab/>
          </w:r>
          <w:r>
            <w:fldChar w:fldCharType="begin"/>
          </w:r>
          <w:r>
            <w:instrText xml:space="preserve"> PAGEREF _Toc16196 \h </w:instrText>
          </w:r>
          <w:r>
            <w:fldChar w:fldCharType="separate"/>
          </w:r>
          <w:r>
            <w:t>4</w:t>
          </w:r>
          <w:r>
            <w:fldChar w:fldCharType="end"/>
          </w:r>
          <w:r>
            <w:rPr>
              <w:rFonts w:hint="eastAsia" w:ascii="宋体" w:hAnsi="宋体" w:cs="宋体"/>
              <w:szCs w:val="24"/>
            </w:rPr>
            <w:fldChar w:fldCharType="end"/>
          </w:r>
        </w:p>
        <w:p w14:paraId="2270A1D8">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_Toc32028 </w:instrText>
          </w:r>
          <w:r>
            <w:rPr>
              <w:rFonts w:hint="eastAsia" w:ascii="宋体" w:hAnsi="宋体" w:cs="宋体"/>
              <w:szCs w:val="24"/>
            </w:rPr>
            <w:fldChar w:fldCharType="separate"/>
          </w:r>
          <w:r>
            <w:rPr>
              <w:rFonts w:hint="default"/>
            </w:rPr>
            <w:t xml:space="preserve">2. </w:t>
          </w:r>
          <w:r>
            <w:t>交付体系建设情况</w:t>
          </w:r>
          <w:r>
            <w:tab/>
          </w:r>
          <w:r>
            <w:fldChar w:fldCharType="begin"/>
          </w:r>
          <w:r>
            <w:instrText xml:space="preserve"> PAGEREF _Toc32028 \h </w:instrText>
          </w:r>
          <w:r>
            <w:fldChar w:fldCharType="separate"/>
          </w:r>
          <w:r>
            <w:t>4</w:t>
          </w:r>
          <w:r>
            <w:fldChar w:fldCharType="end"/>
          </w:r>
          <w:r>
            <w:rPr>
              <w:rFonts w:hint="eastAsia" w:ascii="宋体" w:hAnsi="宋体" w:cs="宋体"/>
              <w:szCs w:val="24"/>
            </w:rPr>
            <w:fldChar w:fldCharType="end"/>
          </w:r>
        </w:p>
        <w:p w14:paraId="53CBD9B4">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_Toc14461 </w:instrText>
          </w:r>
          <w:r>
            <w:rPr>
              <w:rFonts w:hint="eastAsia" w:ascii="宋体" w:hAnsi="宋体" w:cs="宋体"/>
              <w:szCs w:val="24"/>
            </w:rPr>
            <w:fldChar w:fldCharType="separate"/>
          </w:r>
          <w:r>
            <w:rPr>
              <w:rFonts w:hint="default"/>
            </w:rPr>
            <w:t xml:space="preserve">2.1. </w:t>
          </w:r>
          <w:r>
            <w:t>交付管理体系建立</w:t>
          </w:r>
          <w:r>
            <w:tab/>
          </w:r>
          <w:r>
            <w:fldChar w:fldCharType="begin"/>
          </w:r>
          <w:r>
            <w:instrText xml:space="preserve"> PAGEREF _Toc14461 \h </w:instrText>
          </w:r>
          <w:r>
            <w:fldChar w:fldCharType="separate"/>
          </w:r>
          <w:r>
            <w:t>4</w:t>
          </w:r>
          <w:r>
            <w:fldChar w:fldCharType="end"/>
          </w:r>
          <w:r>
            <w:rPr>
              <w:rFonts w:hint="eastAsia" w:ascii="宋体" w:hAnsi="宋体" w:cs="宋体"/>
              <w:szCs w:val="24"/>
            </w:rPr>
            <w:fldChar w:fldCharType="end"/>
          </w:r>
        </w:p>
        <w:p w14:paraId="604C7B9B">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_Toc3017 </w:instrText>
          </w:r>
          <w:r>
            <w:rPr>
              <w:rFonts w:hint="eastAsia" w:ascii="宋体" w:hAnsi="宋体" w:cs="宋体"/>
              <w:szCs w:val="24"/>
            </w:rPr>
            <w:fldChar w:fldCharType="separate"/>
          </w:r>
          <w:r>
            <w:rPr>
              <w:rFonts w:hint="default"/>
            </w:rPr>
            <w:t xml:space="preserve">2.2. </w:t>
          </w:r>
          <w:r>
            <w:t>组织架构与职责明确</w:t>
          </w:r>
          <w:r>
            <w:tab/>
          </w:r>
          <w:r>
            <w:fldChar w:fldCharType="begin"/>
          </w:r>
          <w:r>
            <w:instrText xml:space="preserve"> PAGEREF _Toc3017 \h </w:instrText>
          </w:r>
          <w:r>
            <w:fldChar w:fldCharType="separate"/>
          </w:r>
          <w:r>
            <w:t>4</w:t>
          </w:r>
          <w:r>
            <w:fldChar w:fldCharType="end"/>
          </w:r>
          <w:r>
            <w:rPr>
              <w:rFonts w:hint="eastAsia" w:ascii="宋体" w:hAnsi="宋体" w:cs="宋体"/>
              <w:szCs w:val="24"/>
            </w:rPr>
            <w:fldChar w:fldCharType="end"/>
          </w:r>
        </w:p>
        <w:p w14:paraId="5C8059F7">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_Toc5388 </w:instrText>
          </w:r>
          <w:r>
            <w:rPr>
              <w:rFonts w:hint="eastAsia" w:ascii="宋体" w:hAnsi="宋体" w:cs="宋体"/>
              <w:szCs w:val="24"/>
            </w:rPr>
            <w:fldChar w:fldCharType="separate"/>
          </w:r>
          <w:r>
            <w:rPr>
              <w:rFonts w:hint="default"/>
            </w:rPr>
            <w:t xml:space="preserve">2.3. </w:t>
          </w:r>
          <w:r>
            <w:t>沟通机制建立</w:t>
          </w:r>
          <w:r>
            <w:tab/>
          </w:r>
          <w:r>
            <w:fldChar w:fldCharType="begin"/>
          </w:r>
          <w:r>
            <w:instrText xml:space="preserve"> PAGEREF _Toc5388 \h </w:instrText>
          </w:r>
          <w:r>
            <w:fldChar w:fldCharType="separate"/>
          </w:r>
          <w:r>
            <w:t>5</w:t>
          </w:r>
          <w:r>
            <w:fldChar w:fldCharType="end"/>
          </w:r>
          <w:r>
            <w:rPr>
              <w:rFonts w:hint="eastAsia" w:ascii="宋体" w:hAnsi="宋体" w:cs="宋体"/>
              <w:szCs w:val="24"/>
            </w:rPr>
            <w:fldChar w:fldCharType="end"/>
          </w:r>
        </w:p>
        <w:p w14:paraId="44E3E8D8">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_Toc30080 </w:instrText>
          </w:r>
          <w:r>
            <w:rPr>
              <w:rFonts w:hint="eastAsia" w:ascii="宋体" w:hAnsi="宋体" w:cs="宋体"/>
              <w:szCs w:val="24"/>
            </w:rPr>
            <w:fldChar w:fldCharType="separate"/>
          </w:r>
          <w:r>
            <w:rPr>
              <w:rFonts w:hint="default"/>
            </w:rPr>
            <w:t xml:space="preserve">3. </w:t>
          </w:r>
          <w:r>
            <w:t>数据清洗专项改进</w:t>
          </w:r>
          <w:r>
            <w:tab/>
          </w:r>
          <w:r>
            <w:fldChar w:fldCharType="begin"/>
          </w:r>
          <w:r>
            <w:instrText xml:space="preserve"> PAGEREF _Toc30080 \h </w:instrText>
          </w:r>
          <w:r>
            <w:fldChar w:fldCharType="separate"/>
          </w:r>
          <w:r>
            <w:t>5</w:t>
          </w:r>
          <w:r>
            <w:fldChar w:fldCharType="end"/>
          </w:r>
          <w:r>
            <w:rPr>
              <w:rFonts w:hint="eastAsia" w:ascii="宋体" w:hAnsi="宋体" w:cs="宋体"/>
              <w:szCs w:val="24"/>
            </w:rPr>
            <w:fldChar w:fldCharType="end"/>
          </w:r>
        </w:p>
        <w:p w14:paraId="5364C29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_Toc3671 </w:instrText>
          </w:r>
          <w:r>
            <w:rPr>
              <w:rFonts w:hint="eastAsia" w:ascii="宋体" w:hAnsi="宋体" w:cs="宋体"/>
              <w:szCs w:val="24"/>
            </w:rPr>
            <w:fldChar w:fldCharType="separate"/>
          </w:r>
          <w:r>
            <w:rPr>
              <w:rFonts w:hint="default"/>
            </w:rPr>
            <w:t xml:space="preserve">3.1. </w:t>
          </w:r>
          <w:r>
            <w:t>数据清洗体系建设</w:t>
          </w:r>
          <w:r>
            <w:tab/>
          </w:r>
          <w:r>
            <w:fldChar w:fldCharType="begin"/>
          </w:r>
          <w:r>
            <w:instrText xml:space="preserve"> PAGEREF _Toc3671 \h </w:instrText>
          </w:r>
          <w:r>
            <w:fldChar w:fldCharType="separate"/>
          </w:r>
          <w:r>
            <w:t>5</w:t>
          </w:r>
          <w:r>
            <w:fldChar w:fldCharType="end"/>
          </w:r>
          <w:r>
            <w:rPr>
              <w:rFonts w:hint="eastAsia" w:ascii="宋体" w:hAnsi="宋体" w:cs="宋体"/>
              <w:szCs w:val="24"/>
            </w:rPr>
            <w:fldChar w:fldCharType="end"/>
          </w:r>
        </w:p>
        <w:p w14:paraId="49E078B2">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_Toc18537 </w:instrText>
          </w:r>
          <w:r>
            <w:rPr>
              <w:rFonts w:hint="eastAsia" w:ascii="宋体" w:hAnsi="宋体" w:cs="宋体"/>
              <w:szCs w:val="24"/>
            </w:rPr>
            <w:fldChar w:fldCharType="separate"/>
          </w:r>
          <w:r>
            <w:rPr>
              <w:rFonts w:hint="default"/>
            </w:rPr>
            <w:t xml:space="preserve">3.2. </w:t>
          </w:r>
          <w:r>
            <w:t>数据质量改进成果</w:t>
          </w:r>
          <w:r>
            <w:tab/>
          </w:r>
          <w:r>
            <w:fldChar w:fldCharType="begin"/>
          </w:r>
          <w:r>
            <w:instrText xml:space="preserve"> PAGEREF _Toc18537 \h </w:instrText>
          </w:r>
          <w:r>
            <w:fldChar w:fldCharType="separate"/>
          </w:r>
          <w:r>
            <w:t>5</w:t>
          </w:r>
          <w:r>
            <w:fldChar w:fldCharType="end"/>
          </w:r>
          <w:r>
            <w:rPr>
              <w:rFonts w:hint="eastAsia" w:ascii="宋体" w:hAnsi="宋体" w:cs="宋体"/>
              <w:szCs w:val="24"/>
            </w:rPr>
            <w:fldChar w:fldCharType="end"/>
          </w:r>
        </w:p>
        <w:p w14:paraId="7FEC5262">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_Toc13024 </w:instrText>
          </w:r>
          <w:r>
            <w:rPr>
              <w:rFonts w:hint="eastAsia" w:ascii="宋体" w:hAnsi="宋体" w:cs="宋体"/>
              <w:szCs w:val="24"/>
            </w:rPr>
            <w:fldChar w:fldCharType="separate"/>
          </w:r>
          <w:r>
            <w:rPr>
              <w:rFonts w:hint="default"/>
            </w:rPr>
            <w:t xml:space="preserve">3.3. </w:t>
          </w:r>
          <w:r>
            <w:t>数据质量验收</w:t>
          </w:r>
          <w:r>
            <w:tab/>
          </w:r>
          <w:r>
            <w:fldChar w:fldCharType="begin"/>
          </w:r>
          <w:r>
            <w:instrText xml:space="preserve"> PAGEREF _Toc13024 \h </w:instrText>
          </w:r>
          <w:r>
            <w:fldChar w:fldCharType="separate"/>
          </w:r>
          <w:r>
            <w:t>6</w:t>
          </w:r>
          <w:r>
            <w:fldChar w:fldCharType="end"/>
          </w:r>
          <w:r>
            <w:rPr>
              <w:rFonts w:hint="eastAsia" w:ascii="宋体" w:hAnsi="宋体" w:cs="宋体"/>
              <w:szCs w:val="24"/>
            </w:rPr>
            <w:fldChar w:fldCharType="end"/>
          </w:r>
        </w:p>
        <w:p w14:paraId="552B1BD7">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_Toc30249 </w:instrText>
          </w:r>
          <w:r>
            <w:rPr>
              <w:rFonts w:hint="eastAsia" w:ascii="宋体" w:hAnsi="宋体" w:cs="宋体"/>
              <w:szCs w:val="24"/>
            </w:rPr>
            <w:fldChar w:fldCharType="separate"/>
          </w:r>
          <w:r>
            <w:rPr>
              <w:rFonts w:hint="default"/>
            </w:rPr>
            <w:t xml:space="preserve">4. </w:t>
          </w:r>
          <w:r>
            <w:t>服务交付质量改进</w:t>
          </w:r>
          <w:r>
            <w:tab/>
          </w:r>
          <w:r>
            <w:fldChar w:fldCharType="begin"/>
          </w:r>
          <w:r>
            <w:instrText xml:space="preserve"> PAGEREF _Toc30249 \h </w:instrText>
          </w:r>
          <w:r>
            <w:fldChar w:fldCharType="separate"/>
          </w:r>
          <w:r>
            <w:t>6</w:t>
          </w:r>
          <w:r>
            <w:fldChar w:fldCharType="end"/>
          </w:r>
          <w:r>
            <w:rPr>
              <w:rFonts w:hint="eastAsia" w:ascii="宋体" w:hAnsi="宋体" w:cs="宋体"/>
              <w:szCs w:val="24"/>
            </w:rPr>
            <w:fldChar w:fldCharType="end"/>
          </w:r>
        </w:p>
        <w:p w14:paraId="2DD9F42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_Toc32309 </w:instrText>
          </w:r>
          <w:r>
            <w:rPr>
              <w:rFonts w:hint="eastAsia" w:ascii="宋体" w:hAnsi="宋体" w:cs="宋体"/>
              <w:szCs w:val="24"/>
            </w:rPr>
            <w:fldChar w:fldCharType="separate"/>
          </w:r>
          <w:r>
            <w:rPr>
              <w:rFonts w:hint="default"/>
            </w:rPr>
            <w:t xml:space="preserve">4.1. </w:t>
          </w:r>
          <w:r>
            <w:t>服务响应能力提升</w:t>
          </w:r>
          <w:r>
            <w:tab/>
          </w:r>
          <w:r>
            <w:fldChar w:fldCharType="begin"/>
          </w:r>
          <w:r>
            <w:instrText xml:space="preserve"> PAGEREF _Toc32309 \h </w:instrText>
          </w:r>
          <w:r>
            <w:fldChar w:fldCharType="separate"/>
          </w:r>
          <w:r>
            <w:t>6</w:t>
          </w:r>
          <w:r>
            <w:fldChar w:fldCharType="end"/>
          </w:r>
          <w:r>
            <w:rPr>
              <w:rFonts w:hint="eastAsia" w:ascii="宋体" w:hAnsi="宋体" w:cs="宋体"/>
              <w:szCs w:val="24"/>
            </w:rPr>
            <w:fldChar w:fldCharType="end"/>
          </w:r>
        </w:p>
        <w:p w14:paraId="16C56455">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_Toc8844 </w:instrText>
          </w:r>
          <w:r>
            <w:rPr>
              <w:rFonts w:hint="eastAsia" w:ascii="宋体" w:hAnsi="宋体" w:cs="宋体"/>
              <w:szCs w:val="24"/>
            </w:rPr>
            <w:fldChar w:fldCharType="separate"/>
          </w:r>
          <w:r>
            <w:rPr>
              <w:rFonts w:hint="default"/>
            </w:rPr>
            <w:t xml:space="preserve">4.2. </w:t>
          </w:r>
          <w:r>
            <w:t>系统运行保障</w:t>
          </w:r>
          <w:r>
            <w:tab/>
          </w:r>
          <w:r>
            <w:fldChar w:fldCharType="begin"/>
          </w:r>
          <w:r>
            <w:instrText xml:space="preserve"> PAGEREF _Toc8844 \h </w:instrText>
          </w:r>
          <w:r>
            <w:fldChar w:fldCharType="separate"/>
          </w:r>
          <w:r>
            <w:t>6</w:t>
          </w:r>
          <w:r>
            <w:fldChar w:fldCharType="end"/>
          </w:r>
          <w:r>
            <w:rPr>
              <w:rFonts w:hint="eastAsia" w:ascii="宋体" w:hAnsi="宋体" w:cs="宋体"/>
              <w:szCs w:val="24"/>
            </w:rPr>
            <w:fldChar w:fldCharType="end"/>
          </w:r>
        </w:p>
        <w:p w14:paraId="19EE1E3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_Toc10629 </w:instrText>
          </w:r>
          <w:r>
            <w:rPr>
              <w:rFonts w:hint="eastAsia" w:ascii="宋体" w:hAnsi="宋体" w:cs="宋体"/>
              <w:szCs w:val="24"/>
            </w:rPr>
            <w:fldChar w:fldCharType="separate"/>
          </w:r>
          <w:r>
            <w:rPr>
              <w:rFonts w:hint="default"/>
            </w:rPr>
            <w:t xml:space="preserve">4.3. </w:t>
          </w:r>
          <w:r>
            <w:t>客户满意度改进</w:t>
          </w:r>
          <w:r>
            <w:tab/>
          </w:r>
          <w:r>
            <w:fldChar w:fldCharType="begin"/>
          </w:r>
          <w:r>
            <w:instrText xml:space="preserve"> PAGEREF _Toc10629 \h </w:instrText>
          </w:r>
          <w:r>
            <w:fldChar w:fldCharType="separate"/>
          </w:r>
          <w:r>
            <w:t>7</w:t>
          </w:r>
          <w:r>
            <w:fldChar w:fldCharType="end"/>
          </w:r>
          <w:r>
            <w:rPr>
              <w:rFonts w:hint="eastAsia" w:ascii="宋体" w:hAnsi="宋体" w:cs="宋体"/>
              <w:szCs w:val="24"/>
            </w:rPr>
            <w:fldChar w:fldCharType="end"/>
          </w:r>
        </w:p>
        <w:p w14:paraId="5E81C765">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_Toc31826 </w:instrText>
          </w:r>
          <w:r>
            <w:rPr>
              <w:rFonts w:hint="eastAsia" w:ascii="宋体" w:hAnsi="宋体" w:cs="宋体"/>
              <w:szCs w:val="24"/>
            </w:rPr>
            <w:fldChar w:fldCharType="separate"/>
          </w:r>
          <w:r>
            <w:rPr>
              <w:rFonts w:hint="default"/>
            </w:rPr>
            <w:t xml:space="preserve">5. </w:t>
          </w:r>
          <w:r>
            <w:t>应急管理能力改进</w:t>
          </w:r>
          <w:r>
            <w:tab/>
          </w:r>
          <w:r>
            <w:fldChar w:fldCharType="begin"/>
          </w:r>
          <w:r>
            <w:instrText xml:space="preserve"> PAGEREF _Toc31826 \h </w:instrText>
          </w:r>
          <w:r>
            <w:fldChar w:fldCharType="separate"/>
          </w:r>
          <w:r>
            <w:t>7</w:t>
          </w:r>
          <w:r>
            <w:fldChar w:fldCharType="end"/>
          </w:r>
          <w:r>
            <w:rPr>
              <w:rFonts w:hint="eastAsia" w:ascii="宋体" w:hAnsi="宋体" w:cs="宋体"/>
              <w:szCs w:val="24"/>
            </w:rPr>
            <w:fldChar w:fldCharType="end"/>
          </w:r>
        </w:p>
        <w:p w14:paraId="0F546D4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_Toc16818 </w:instrText>
          </w:r>
          <w:r>
            <w:rPr>
              <w:rFonts w:hint="eastAsia" w:ascii="宋体" w:hAnsi="宋体" w:cs="宋体"/>
              <w:szCs w:val="24"/>
            </w:rPr>
            <w:fldChar w:fldCharType="separate"/>
          </w:r>
          <w:r>
            <w:rPr>
              <w:rFonts w:hint="default"/>
            </w:rPr>
            <w:t xml:space="preserve">5.1. </w:t>
          </w:r>
          <w:r>
            <w:t>应急体系建设</w:t>
          </w:r>
          <w:r>
            <w:tab/>
          </w:r>
          <w:r>
            <w:fldChar w:fldCharType="begin"/>
          </w:r>
          <w:r>
            <w:instrText xml:space="preserve"> PAGEREF _Toc16818 \h </w:instrText>
          </w:r>
          <w:r>
            <w:fldChar w:fldCharType="separate"/>
          </w:r>
          <w:r>
            <w:t>7</w:t>
          </w:r>
          <w:r>
            <w:fldChar w:fldCharType="end"/>
          </w:r>
          <w:r>
            <w:rPr>
              <w:rFonts w:hint="eastAsia" w:ascii="宋体" w:hAnsi="宋体" w:cs="宋体"/>
              <w:szCs w:val="24"/>
            </w:rPr>
            <w:fldChar w:fldCharType="end"/>
          </w:r>
        </w:p>
        <w:p w14:paraId="26BC9A4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_Toc6510 </w:instrText>
          </w:r>
          <w:r>
            <w:rPr>
              <w:rFonts w:hint="eastAsia" w:ascii="宋体" w:hAnsi="宋体" w:cs="宋体"/>
              <w:szCs w:val="24"/>
            </w:rPr>
            <w:fldChar w:fldCharType="separate"/>
          </w:r>
          <w:r>
            <w:rPr>
              <w:rFonts w:hint="default"/>
            </w:rPr>
            <w:t xml:space="preserve">5.2. </w:t>
          </w:r>
          <w:r>
            <w:t>应急演练准备</w:t>
          </w:r>
          <w:r>
            <w:tab/>
          </w:r>
          <w:r>
            <w:fldChar w:fldCharType="begin"/>
          </w:r>
          <w:r>
            <w:instrText xml:space="preserve"> PAGEREF _Toc6510 \h </w:instrText>
          </w:r>
          <w:r>
            <w:fldChar w:fldCharType="separate"/>
          </w:r>
          <w:r>
            <w:t>7</w:t>
          </w:r>
          <w:r>
            <w:fldChar w:fldCharType="end"/>
          </w:r>
          <w:r>
            <w:rPr>
              <w:rFonts w:hint="eastAsia" w:ascii="宋体" w:hAnsi="宋体" w:cs="宋体"/>
              <w:szCs w:val="24"/>
            </w:rPr>
            <w:fldChar w:fldCharType="end"/>
          </w:r>
        </w:p>
        <w:p w14:paraId="0DBA0B3C">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_Toc14101 </w:instrText>
          </w:r>
          <w:r>
            <w:rPr>
              <w:rFonts w:hint="eastAsia" w:ascii="宋体" w:hAnsi="宋体" w:cs="宋体"/>
              <w:szCs w:val="24"/>
            </w:rPr>
            <w:fldChar w:fldCharType="separate"/>
          </w:r>
          <w:r>
            <w:rPr>
              <w:rFonts w:hint="default"/>
            </w:rPr>
            <w:t xml:space="preserve">5.3. </w:t>
          </w:r>
          <w:r>
            <w:t>应急能力提升成果</w:t>
          </w:r>
          <w:r>
            <w:tab/>
          </w:r>
          <w:r>
            <w:fldChar w:fldCharType="begin"/>
          </w:r>
          <w:r>
            <w:instrText xml:space="preserve"> PAGEREF _Toc14101 \h </w:instrText>
          </w:r>
          <w:r>
            <w:fldChar w:fldCharType="separate"/>
          </w:r>
          <w:r>
            <w:t>7</w:t>
          </w:r>
          <w:r>
            <w:fldChar w:fldCharType="end"/>
          </w:r>
          <w:r>
            <w:rPr>
              <w:rFonts w:hint="eastAsia" w:ascii="宋体" w:hAnsi="宋体" w:cs="宋体"/>
              <w:szCs w:val="24"/>
            </w:rPr>
            <w:fldChar w:fldCharType="end"/>
          </w:r>
        </w:p>
        <w:p w14:paraId="14FC23D2">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_Toc23102 </w:instrText>
          </w:r>
          <w:r>
            <w:rPr>
              <w:rFonts w:hint="eastAsia" w:ascii="宋体" w:hAnsi="宋体" w:cs="宋体"/>
              <w:szCs w:val="24"/>
            </w:rPr>
            <w:fldChar w:fldCharType="separate"/>
          </w:r>
          <w:r>
            <w:rPr>
              <w:rFonts w:hint="default"/>
            </w:rPr>
            <w:t xml:space="preserve">6. </w:t>
          </w:r>
          <w:r>
            <w:t>存在问题与改进方向</w:t>
          </w:r>
          <w:r>
            <w:tab/>
          </w:r>
          <w:r>
            <w:fldChar w:fldCharType="begin"/>
          </w:r>
          <w:r>
            <w:instrText xml:space="preserve"> PAGEREF _Toc23102 \h </w:instrText>
          </w:r>
          <w:r>
            <w:fldChar w:fldCharType="separate"/>
          </w:r>
          <w:r>
            <w:t>8</w:t>
          </w:r>
          <w:r>
            <w:fldChar w:fldCharType="end"/>
          </w:r>
          <w:r>
            <w:rPr>
              <w:rFonts w:hint="eastAsia" w:ascii="宋体" w:hAnsi="宋体" w:cs="宋体"/>
              <w:szCs w:val="24"/>
            </w:rPr>
            <w:fldChar w:fldCharType="end"/>
          </w:r>
        </w:p>
        <w:p w14:paraId="493B2706">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_Toc31831 </w:instrText>
          </w:r>
          <w:r>
            <w:rPr>
              <w:rFonts w:hint="eastAsia" w:ascii="宋体" w:hAnsi="宋体" w:cs="宋体"/>
              <w:szCs w:val="24"/>
            </w:rPr>
            <w:fldChar w:fldCharType="separate"/>
          </w:r>
          <w:r>
            <w:rPr>
              <w:rFonts w:hint="default"/>
            </w:rPr>
            <w:t xml:space="preserve">6.1. </w:t>
          </w:r>
          <w:r>
            <w:t>2026年度存在不足</w:t>
          </w:r>
          <w:r>
            <w:tab/>
          </w:r>
          <w:r>
            <w:fldChar w:fldCharType="begin"/>
          </w:r>
          <w:r>
            <w:instrText xml:space="preserve"> PAGEREF _Toc31831 \h </w:instrText>
          </w:r>
          <w:r>
            <w:fldChar w:fldCharType="separate"/>
          </w:r>
          <w:r>
            <w:t>8</w:t>
          </w:r>
          <w:r>
            <w:fldChar w:fldCharType="end"/>
          </w:r>
          <w:r>
            <w:rPr>
              <w:rFonts w:hint="eastAsia" w:ascii="宋体" w:hAnsi="宋体" w:cs="宋体"/>
              <w:szCs w:val="24"/>
            </w:rPr>
            <w:fldChar w:fldCharType="end"/>
          </w:r>
        </w:p>
        <w:p w14:paraId="5678BF0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_Toc13188 </w:instrText>
          </w:r>
          <w:r>
            <w:rPr>
              <w:rFonts w:hint="eastAsia" w:ascii="宋体" w:hAnsi="宋体" w:cs="宋体"/>
              <w:szCs w:val="24"/>
            </w:rPr>
            <w:fldChar w:fldCharType="separate"/>
          </w:r>
          <w:r>
            <w:rPr>
              <w:rFonts w:hint="default"/>
            </w:rPr>
            <w:t xml:space="preserve">6.2. </w:t>
          </w:r>
          <w:r>
            <w:t>2026年度改进方向</w:t>
          </w:r>
          <w:r>
            <w:tab/>
          </w:r>
          <w:r>
            <w:fldChar w:fldCharType="begin"/>
          </w:r>
          <w:r>
            <w:instrText xml:space="preserve"> PAGEREF _Toc13188 \h </w:instrText>
          </w:r>
          <w:r>
            <w:fldChar w:fldCharType="separate"/>
          </w:r>
          <w:r>
            <w:t>8</w:t>
          </w:r>
          <w:r>
            <w:fldChar w:fldCharType="end"/>
          </w:r>
          <w:r>
            <w:rPr>
              <w:rFonts w:hint="eastAsia" w:ascii="宋体" w:hAnsi="宋体" w:cs="宋体"/>
              <w:szCs w:val="24"/>
            </w:rPr>
            <w:fldChar w:fldCharType="end"/>
          </w:r>
        </w:p>
        <w:p w14:paraId="59D81A90">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_Toc13570 </w:instrText>
          </w:r>
          <w:r>
            <w:rPr>
              <w:rFonts w:hint="eastAsia" w:ascii="宋体" w:hAnsi="宋体" w:cs="宋体"/>
              <w:szCs w:val="24"/>
            </w:rPr>
            <w:fldChar w:fldCharType="separate"/>
          </w:r>
          <w:r>
            <w:rPr>
              <w:rFonts w:hint="default"/>
            </w:rPr>
            <w:t xml:space="preserve">7. </w:t>
          </w:r>
          <w:r>
            <w:t>下一步工作计划</w:t>
          </w:r>
          <w:r>
            <w:tab/>
          </w:r>
          <w:r>
            <w:fldChar w:fldCharType="begin"/>
          </w:r>
          <w:r>
            <w:instrText xml:space="preserve"> PAGEREF _Toc13570 \h </w:instrText>
          </w:r>
          <w:r>
            <w:fldChar w:fldCharType="separate"/>
          </w:r>
          <w:r>
            <w:t>8</w:t>
          </w:r>
          <w:r>
            <w:fldChar w:fldCharType="end"/>
          </w:r>
          <w:r>
            <w:rPr>
              <w:rFonts w:hint="eastAsia" w:ascii="宋体" w:hAnsi="宋体" w:cs="宋体"/>
              <w:szCs w:val="24"/>
            </w:rPr>
            <w:fldChar w:fldCharType="end"/>
          </w:r>
        </w:p>
        <w:p w14:paraId="159C29BC">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_Toc32041 </w:instrText>
          </w:r>
          <w:r>
            <w:rPr>
              <w:rFonts w:hint="eastAsia" w:ascii="宋体" w:hAnsi="宋体" w:cs="宋体"/>
              <w:szCs w:val="24"/>
            </w:rPr>
            <w:fldChar w:fldCharType="separate"/>
          </w:r>
          <w:r>
            <w:rPr>
              <w:rFonts w:hint="default"/>
            </w:rPr>
            <w:t xml:space="preserve">8. </w:t>
          </w:r>
          <w:r>
            <w:t>总结</w:t>
          </w:r>
          <w:r>
            <w:tab/>
          </w:r>
          <w:r>
            <w:fldChar w:fldCharType="begin"/>
          </w:r>
          <w:r>
            <w:instrText xml:space="preserve"> PAGEREF _Toc32041 \h </w:instrText>
          </w:r>
          <w:r>
            <w:fldChar w:fldCharType="separate"/>
          </w:r>
          <w:r>
            <w:t>9</w:t>
          </w:r>
          <w:r>
            <w:fldChar w:fldCharType="end"/>
          </w:r>
          <w:r>
            <w:rPr>
              <w:rFonts w:hint="eastAsia" w:ascii="宋体" w:hAnsi="宋体" w:cs="宋体"/>
              <w:szCs w:val="24"/>
            </w:rPr>
            <w:fldChar w:fldCharType="end"/>
          </w:r>
        </w:p>
        <w:p w14:paraId="607EAC76">
          <w:pPr>
            <w:keepNext w:val="0"/>
            <w:keepLines w:val="0"/>
            <w:pageBreakBefore w:val="0"/>
            <w:widowControl w:val="0"/>
            <w:wordWrap/>
            <w:overflowPunct/>
            <w:topLinePunct w:val="0"/>
            <w:bidi w:val="0"/>
            <w:rPr>
              <w:rFonts w:hint="eastAsia" w:ascii="宋体" w:hAnsi="宋体" w:cs="宋体"/>
              <w:sz w:val="24"/>
              <w:szCs w:val="24"/>
            </w:rPr>
          </w:pPr>
          <w:r>
            <w:rPr>
              <w:rFonts w:hint="eastAsia" w:ascii="宋体" w:hAnsi="宋体" w:cs="宋体"/>
              <w:szCs w:val="24"/>
            </w:rPr>
            <w:fldChar w:fldCharType="end"/>
          </w:r>
        </w:p>
      </w:sdtContent>
    </w:sdt>
    <w:p w14:paraId="6A249192">
      <w:pPr>
        <w:keepNext w:val="0"/>
        <w:keepLines w:val="0"/>
        <w:pageBreakBefore w:val="0"/>
        <w:widowControl w:val="0"/>
        <w:wordWrap/>
        <w:overflowPunct/>
        <w:topLinePunct w:val="0"/>
        <w:bidi w:val="0"/>
        <w:rPr>
          <w:rFonts w:eastAsia="Arial"/>
        </w:rPr>
      </w:pPr>
      <w:r>
        <w:rPr>
          <w:rFonts w:eastAsia="Arial"/>
        </w:rPr>
        <w:br w:type="page"/>
      </w:r>
    </w:p>
    <w:p w14:paraId="4E676C9C">
      <w:pPr>
        <w:pStyle w:val="29"/>
        <w:keepNext w:val="0"/>
        <w:keepLines w:val="0"/>
        <w:pageBreakBefore w:val="0"/>
        <w:widowControl w:val="0"/>
        <w:wordWrap/>
        <w:overflowPunct/>
        <w:topLinePunct w:val="0"/>
        <w:bidi w:val="0"/>
      </w:pPr>
      <w:bookmarkStart w:id="1" w:name="_Toc16196"/>
      <w:bookmarkStart w:id="2" w:name="heading_1"/>
      <w:r>
        <w:t>工作概述</w:t>
      </w:r>
      <w:bookmarkEnd w:id="1"/>
      <w:bookmarkEnd w:id="2"/>
    </w:p>
    <w:p w14:paraId="5E7FA463">
      <w:pPr>
        <w:pStyle w:val="30"/>
        <w:bidi w:val="0"/>
      </w:pPr>
      <w:r>
        <w:t>本报告旨在全面总结银川输油气分公司2026年度桌面及信息网络综合运维技术服务项目2026年度的交付改进工作，回顾交付体系建设、数据清洗专项、服务交付质量、应急管理能力等方面的改进成果，分析存在问题，明确后续改进方向。</w:t>
      </w:r>
    </w:p>
    <w:p w14:paraId="194268B7">
      <w:pPr>
        <w:pStyle w:val="30"/>
        <w:bidi w:val="0"/>
      </w:pPr>
      <w:r>
        <w:t>报告周期：2026年1月1日至2026年6月30日</w:t>
      </w:r>
    </w:p>
    <w:p w14:paraId="73A4B6A4">
      <w:pPr>
        <w:pStyle w:val="30"/>
        <w:bidi w:val="0"/>
      </w:pPr>
      <w:r>
        <w:t>总体评价：项目交付体系已基本建立，数据清洗工作顺利完成，服务质量持续提升，应急管理能力得到有效加强，各项交付物按时保质完成，客户满意度保持高位。</w:t>
      </w:r>
    </w:p>
    <w:p w14:paraId="34514AED">
      <w:pPr>
        <w:pStyle w:val="29"/>
        <w:keepNext w:val="0"/>
        <w:keepLines w:val="0"/>
        <w:pageBreakBefore w:val="0"/>
        <w:widowControl w:val="0"/>
        <w:wordWrap/>
        <w:overflowPunct/>
        <w:topLinePunct w:val="0"/>
        <w:bidi w:val="0"/>
      </w:pPr>
      <w:bookmarkStart w:id="3" w:name="_Toc32028"/>
      <w:bookmarkStart w:id="4" w:name="heading_2"/>
      <w:r>
        <w:t>交付体系建设情况</w:t>
      </w:r>
      <w:bookmarkEnd w:id="3"/>
      <w:bookmarkEnd w:id="4"/>
    </w:p>
    <w:p w14:paraId="36420868">
      <w:pPr>
        <w:pStyle w:val="31"/>
        <w:keepNext w:val="0"/>
        <w:keepLines w:val="0"/>
        <w:pageBreakBefore w:val="0"/>
        <w:widowControl w:val="0"/>
        <w:wordWrap/>
        <w:overflowPunct/>
        <w:topLinePunct w:val="0"/>
        <w:bidi w:val="0"/>
      </w:pPr>
      <w:bookmarkStart w:id="5" w:name="heading_3"/>
      <w:bookmarkStart w:id="6" w:name="_Toc14461"/>
      <w:r>
        <w:t>交付管理体系建立</w:t>
      </w:r>
      <w:bookmarkEnd w:id="5"/>
      <w:bookmarkEnd w:id="6"/>
    </w:p>
    <w:p w14:paraId="559E6DB0">
      <w:pPr>
        <w:pStyle w:val="30"/>
        <w:keepNext w:val="0"/>
        <w:keepLines w:val="0"/>
        <w:pageBreakBefore w:val="0"/>
        <w:widowControl w:val="0"/>
        <w:wordWrap/>
        <w:overflowPunct/>
        <w:topLinePunct w:val="0"/>
        <w:bidi w:val="0"/>
      </w:pPr>
      <w:r>
        <w:t>2026年度，项目组完成了完整的交付管理体系建设，形成了“规划→执行→监控→改进”的闭环管理机制。</w:t>
      </w:r>
    </w:p>
    <w:p w14:paraId="3633E1EC">
      <w:pPr>
        <w:pStyle w:val="30"/>
        <w:keepNext w:val="0"/>
        <w:keepLines w:val="0"/>
        <w:pageBreakBefore w:val="0"/>
        <w:widowControl w:val="0"/>
        <w:wordWrap/>
        <w:overflowPunct/>
        <w:topLinePunct w:val="0"/>
        <w:bidi w:val="0"/>
      </w:pPr>
      <w:r>
        <w:t>主要交付物完成情况：</w:t>
      </w:r>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06"/>
        <w:gridCol w:w="4021"/>
        <w:gridCol w:w="1715"/>
        <w:gridCol w:w="1759"/>
      </w:tblGrid>
      <w:tr w14:paraId="34E9D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806"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25A3926A">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序号</w:t>
            </w:r>
          </w:p>
        </w:tc>
        <w:tc>
          <w:tcPr>
            <w:tcW w:w="4021"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005769DB">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交付物名称</w:t>
            </w:r>
          </w:p>
        </w:tc>
        <w:tc>
          <w:tcPr>
            <w:tcW w:w="171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4AC42BD5">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完成时间</w:t>
            </w:r>
          </w:p>
        </w:tc>
        <w:tc>
          <w:tcPr>
            <w:tcW w:w="1759"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7D721FC5">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状态</w:t>
            </w:r>
          </w:p>
        </w:tc>
      </w:tr>
      <w:tr w14:paraId="0BC0C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0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C4E2828">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1</w:t>
            </w:r>
          </w:p>
        </w:tc>
        <w:tc>
          <w:tcPr>
            <w:tcW w:w="402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79B5164">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《总体交付方案》</w:t>
            </w:r>
          </w:p>
        </w:tc>
        <w:tc>
          <w:tcPr>
            <w:tcW w:w="171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6D7924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2026年1月</w:t>
            </w:r>
          </w:p>
        </w:tc>
        <w:tc>
          <w:tcPr>
            <w:tcW w:w="175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025B806">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完成</w:t>
            </w:r>
          </w:p>
        </w:tc>
      </w:tr>
      <w:tr w14:paraId="4F0FB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0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695B46D">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2</w:t>
            </w:r>
          </w:p>
        </w:tc>
        <w:tc>
          <w:tcPr>
            <w:tcW w:w="402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490A70F">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《数据清洗策略需求分析报告》</w:t>
            </w:r>
          </w:p>
        </w:tc>
        <w:tc>
          <w:tcPr>
            <w:tcW w:w="171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C1B1A3F">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2026年1月</w:t>
            </w:r>
          </w:p>
        </w:tc>
        <w:tc>
          <w:tcPr>
            <w:tcW w:w="175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2056B13">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完成</w:t>
            </w:r>
          </w:p>
        </w:tc>
      </w:tr>
      <w:tr w14:paraId="3A64F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0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3E54E0F">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3</w:t>
            </w:r>
          </w:p>
        </w:tc>
        <w:tc>
          <w:tcPr>
            <w:tcW w:w="402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DC0E23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《数据清洗策略实施方案》</w:t>
            </w:r>
          </w:p>
        </w:tc>
        <w:tc>
          <w:tcPr>
            <w:tcW w:w="171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D6C6C9D">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2026年1月</w:t>
            </w:r>
          </w:p>
        </w:tc>
        <w:tc>
          <w:tcPr>
            <w:tcW w:w="175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87C7F52">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完成</w:t>
            </w:r>
          </w:p>
        </w:tc>
      </w:tr>
      <w:tr w14:paraId="00EEB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0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A47436A">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4</w:t>
            </w:r>
          </w:p>
        </w:tc>
        <w:tc>
          <w:tcPr>
            <w:tcW w:w="402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7AE3DDA">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《数据清洗策略实施方法》</w:t>
            </w:r>
          </w:p>
        </w:tc>
        <w:tc>
          <w:tcPr>
            <w:tcW w:w="171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C2BBA9A">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2026年1月</w:t>
            </w:r>
          </w:p>
        </w:tc>
        <w:tc>
          <w:tcPr>
            <w:tcW w:w="175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92A7B04">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完成</w:t>
            </w:r>
          </w:p>
        </w:tc>
      </w:tr>
      <w:tr w14:paraId="2F6B7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0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9CDA0AB">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5</w:t>
            </w:r>
          </w:p>
        </w:tc>
        <w:tc>
          <w:tcPr>
            <w:tcW w:w="402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32BE371">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《数据质量验收测试报告》</w:t>
            </w:r>
          </w:p>
        </w:tc>
        <w:tc>
          <w:tcPr>
            <w:tcW w:w="171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103480F">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2026年4月</w:t>
            </w:r>
          </w:p>
        </w:tc>
        <w:tc>
          <w:tcPr>
            <w:tcW w:w="175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12057EA">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完成</w:t>
            </w:r>
          </w:p>
        </w:tc>
      </w:tr>
      <w:tr w14:paraId="48201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0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F994043">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6</w:t>
            </w:r>
          </w:p>
        </w:tc>
        <w:tc>
          <w:tcPr>
            <w:tcW w:w="402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0DC8FE1">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《巡检记录》</w:t>
            </w:r>
          </w:p>
        </w:tc>
        <w:tc>
          <w:tcPr>
            <w:tcW w:w="171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58B063D">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每月</w:t>
            </w:r>
          </w:p>
        </w:tc>
        <w:tc>
          <w:tcPr>
            <w:tcW w:w="175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FDA148F">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持续执行</w:t>
            </w:r>
          </w:p>
        </w:tc>
      </w:tr>
      <w:tr w14:paraId="3958A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06"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2A8DB044">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7</w:t>
            </w:r>
          </w:p>
        </w:tc>
        <w:tc>
          <w:tcPr>
            <w:tcW w:w="4021"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683DED3">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《阶段性总结报告》</w:t>
            </w:r>
          </w:p>
        </w:tc>
        <w:tc>
          <w:tcPr>
            <w:tcW w:w="171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297CDB3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2026年6月</w:t>
            </w:r>
          </w:p>
        </w:tc>
        <w:tc>
          <w:tcPr>
            <w:tcW w:w="1759"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0280140D">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完成</w:t>
            </w:r>
          </w:p>
        </w:tc>
      </w:tr>
    </w:tbl>
    <w:p w14:paraId="5F4BAAF2">
      <w:pPr>
        <w:pStyle w:val="31"/>
        <w:keepNext w:val="0"/>
        <w:keepLines w:val="0"/>
        <w:pageBreakBefore w:val="0"/>
        <w:widowControl w:val="0"/>
        <w:wordWrap/>
        <w:overflowPunct/>
        <w:topLinePunct w:val="0"/>
        <w:bidi w:val="0"/>
      </w:pPr>
      <w:bookmarkStart w:id="7" w:name="heading_4"/>
      <w:bookmarkStart w:id="8" w:name="_Toc3017"/>
      <w:r>
        <w:t>组织架构与职责明确</w:t>
      </w:r>
      <w:bookmarkEnd w:id="7"/>
      <w:bookmarkEnd w:id="8"/>
    </w:p>
    <w:p w14:paraId="051003C3">
      <w:pPr>
        <w:pStyle w:val="30"/>
        <w:keepNext w:val="0"/>
        <w:keepLines w:val="0"/>
        <w:pageBreakBefore w:val="0"/>
        <w:widowControl w:val="0"/>
        <w:wordWrap/>
        <w:overflowPunct/>
        <w:topLinePunct w:val="0"/>
        <w:bidi w:val="0"/>
      </w:pPr>
      <w:r>
        <w:t>依据公司《组织架构及部门职责》和《人员岗位说明书》，项目明确了各岗位职责分工：</w:t>
      </w:r>
    </w:p>
    <w:p w14:paraId="2705361F">
      <w:r>
        <w:br w:type="page"/>
      </w:r>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897"/>
        <w:gridCol w:w="1350"/>
        <w:gridCol w:w="5054"/>
      </w:tblGrid>
      <w:tr w14:paraId="0C6FB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897"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7CD61868">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角色</w:t>
            </w:r>
          </w:p>
        </w:tc>
        <w:tc>
          <w:tcPr>
            <w:tcW w:w="135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3608B49">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人员</w:t>
            </w:r>
          </w:p>
        </w:tc>
        <w:tc>
          <w:tcPr>
            <w:tcW w:w="5055"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06FA7508">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主要职责</w:t>
            </w:r>
          </w:p>
        </w:tc>
      </w:tr>
      <w:tr w14:paraId="57897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B91C016">
            <w:pPr>
              <w:keepNext w:val="0"/>
              <w:keepLines w:val="0"/>
              <w:pageBreakBefore w:val="0"/>
              <w:widowControl w:val="0"/>
              <w:wordWrap/>
              <w:overflowPunct/>
              <w:topLinePunct w:val="0"/>
              <w:bidi w:val="0"/>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管理者代表</w:t>
            </w:r>
          </w:p>
        </w:tc>
        <w:tc>
          <w:tcPr>
            <w:tcW w:w="135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6C1E831">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rFonts w:ascii="Arial" w:eastAsia="宋体"/>
                <w:sz w:val="24"/>
              </w:rPr>
            </w:pPr>
            <w:r>
              <w:rPr>
                <w:rFonts w:ascii="Arial" w:eastAsia="宋体"/>
                <w:sz w:val="24"/>
              </w:rPr>
              <w:t>孙晓玲</w:t>
            </w:r>
          </w:p>
        </w:tc>
        <w:tc>
          <w:tcPr>
            <w:tcW w:w="505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C41FC4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rPr>
                <w:rFonts w:ascii="Arial" w:eastAsia="宋体"/>
                <w:sz w:val="24"/>
              </w:rPr>
            </w:pPr>
            <w:r>
              <w:rPr>
                <w:rFonts w:ascii="Arial" w:eastAsia="宋体"/>
                <w:sz w:val="24"/>
              </w:rPr>
              <w:t>项目最高决策，监督项目执行</w:t>
            </w:r>
          </w:p>
        </w:tc>
      </w:tr>
      <w:tr w14:paraId="2DE42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FD8FA0D">
            <w:pPr>
              <w:keepNext w:val="0"/>
              <w:keepLines w:val="0"/>
              <w:pageBreakBefore w:val="0"/>
              <w:widowControl w:val="0"/>
              <w:wordWrap/>
              <w:overflowPunct/>
              <w:topLinePunct w:val="0"/>
              <w:bidi w:val="0"/>
              <w:snapToGrid w:val="0"/>
              <w:spacing w:before="120" w:after="120" w:line="240" w:lineRule="auto"/>
              <w:ind w:left="0" w:leftChars="0" w:right="0" w:rightChars="0" w:firstLine="0" w:firstLineChars="0"/>
              <w:jc w:val="center"/>
              <w:rPr>
                <w:rFonts w:hint="default" w:ascii="Arial" w:hAnsi="Arial" w:eastAsia="宋体" w:cs="Arial"/>
                <w:b/>
                <w:sz w:val="24"/>
                <w:lang w:val="en-US" w:eastAsia="zh-CN"/>
              </w:rPr>
            </w:pPr>
            <w:r>
              <w:rPr>
                <w:rFonts w:hint="eastAsia" w:ascii="Arial" w:hAnsi="Arial" w:eastAsia="宋体" w:cs="Arial"/>
                <w:b/>
                <w:sz w:val="24"/>
                <w:lang w:val="en-US" w:eastAsia="zh-CN"/>
              </w:rPr>
              <w:t>运维部经理</w:t>
            </w:r>
          </w:p>
        </w:tc>
        <w:tc>
          <w:tcPr>
            <w:tcW w:w="135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52D1A60">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rFonts w:ascii="Arial" w:eastAsia="宋体"/>
                <w:sz w:val="24"/>
              </w:rPr>
            </w:pPr>
            <w:r>
              <w:rPr>
                <w:rFonts w:ascii="Arial" w:eastAsia="宋体"/>
                <w:sz w:val="24"/>
              </w:rPr>
              <w:t>丁嘉涛</w:t>
            </w:r>
          </w:p>
        </w:tc>
        <w:tc>
          <w:tcPr>
            <w:tcW w:w="505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D2C1ABB">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rPr>
                <w:rFonts w:ascii="Arial" w:eastAsia="宋体"/>
                <w:sz w:val="24"/>
              </w:rPr>
            </w:pPr>
            <w:r>
              <w:rPr>
                <w:rFonts w:ascii="Arial" w:eastAsia="宋体"/>
                <w:sz w:val="24"/>
              </w:rPr>
              <w:t>整体规划、资源协调、客户沟通</w:t>
            </w:r>
          </w:p>
        </w:tc>
      </w:tr>
      <w:tr w14:paraId="2C273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87148EA">
            <w:pPr>
              <w:keepNext w:val="0"/>
              <w:keepLines w:val="0"/>
              <w:pageBreakBefore w:val="0"/>
              <w:widowControl w:val="0"/>
              <w:wordWrap/>
              <w:overflowPunct/>
              <w:topLinePunct w:val="0"/>
              <w:bidi w:val="0"/>
              <w:snapToGrid w:val="0"/>
              <w:spacing w:before="120" w:after="120" w:line="240" w:lineRule="auto"/>
              <w:ind w:left="0" w:leftChars="0" w:right="0" w:rightChars="0" w:firstLine="0" w:firstLineChars="0"/>
              <w:jc w:val="center"/>
              <w:rPr>
                <w:rFonts w:hint="default" w:ascii="Arial" w:hAnsi="Arial" w:eastAsia="宋体" w:cs="Arial"/>
                <w:b/>
                <w:sz w:val="24"/>
                <w:lang w:val="en-US" w:eastAsia="zh-CN"/>
              </w:rPr>
            </w:pPr>
            <w:r>
              <w:rPr>
                <w:rFonts w:hint="eastAsia" w:ascii="Arial" w:hAnsi="Arial" w:eastAsia="宋体" w:cs="Arial"/>
                <w:b/>
                <w:sz w:val="24"/>
                <w:lang w:val="en-US" w:eastAsia="zh-CN"/>
              </w:rPr>
              <w:t>研发部经理</w:t>
            </w:r>
          </w:p>
        </w:tc>
        <w:tc>
          <w:tcPr>
            <w:tcW w:w="135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9B46B56">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rFonts w:ascii="Arial" w:eastAsia="宋体"/>
                <w:sz w:val="24"/>
              </w:rPr>
            </w:pPr>
            <w:r>
              <w:rPr>
                <w:rFonts w:ascii="Arial" w:eastAsia="宋体"/>
                <w:sz w:val="24"/>
              </w:rPr>
              <w:t>禹海龙</w:t>
            </w:r>
          </w:p>
        </w:tc>
        <w:tc>
          <w:tcPr>
            <w:tcW w:w="505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63B7E24">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rPr>
                <w:rFonts w:ascii="Arial" w:eastAsia="宋体"/>
                <w:sz w:val="24"/>
              </w:rPr>
            </w:pPr>
            <w:r>
              <w:rPr>
                <w:rFonts w:ascii="Arial" w:eastAsia="宋体"/>
                <w:sz w:val="24"/>
              </w:rPr>
              <w:t>技术方案评审、疑难问题攻关</w:t>
            </w:r>
          </w:p>
        </w:tc>
      </w:tr>
      <w:tr w14:paraId="673D9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73EE5E1">
            <w:pPr>
              <w:keepNext w:val="0"/>
              <w:keepLines w:val="0"/>
              <w:pageBreakBefore w:val="0"/>
              <w:widowControl w:val="0"/>
              <w:wordWrap/>
              <w:overflowPunct/>
              <w:topLinePunct w:val="0"/>
              <w:bidi w:val="0"/>
              <w:snapToGrid w:val="0"/>
              <w:spacing w:before="120" w:after="120" w:line="240" w:lineRule="auto"/>
              <w:ind w:left="0" w:leftChars="0" w:right="0" w:rightChars="0" w:firstLine="0" w:firstLineChars="0"/>
              <w:jc w:val="center"/>
              <w:rPr>
                <w:rFonts w:hint="default" w:ascii="Arial" w:hAnsi="Arial" w:eastAsia="宋体" w:cs="Arial"/>
                <w:b/>
                <w:sz w:val="24"/>
                <w:lang w:val="en-US" w:eastAsia="zh-CN"/>
              </w:rPr>
            </w:pPr>
            <w:r>
              <w:rPr>
                <w:rFonts w:ascii="Arial" w:hAnsi="Arial" w:eastAsia="宋体" w:cs="Arial"/>
                <w:b/>
                <w:sz w:val="24"/>
              </w:rPr>
              <w:t>质量部经理</w:t>
            </w:r>
          </w:p>
        </w:tc>
        <w:tc>
          <w:tcPr>
            <w:tcW w:w="135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B88FE83">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rFonts w:ascii="Arial" w:eastAsia="宋体"/>
                <w:sz w:val="24"/>
              </w:rPr>
            </w:pPr>
            <w:r>
              <w:rPr>
                <w:rFonts w:ascii="Arial" w:eastAsia="宋体"/>
                <w:sz w:val="24"/>
              </w:rPr>
              <w:t>张清琳</w:t>
            </w:r>
          </w:p>
        </w:tc>
        <w:tc>
          <w:tcPr>
            <w:tcW w:w="505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2BFB97B">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rPr>
                <w:rFonts w:ascii="Arial" w:eastAsia="宋体"/>
                <w:sz w:val="24"/>
              </w:rPr>
            </w:pPr>
            <w:r>
              <w:rPr>
                <w:rFonts w:ascii="Arial" w:eastAsia="宋体"/>
                <w:sz w:val="24"/>
              </w:rPr>
              <w:t>服务质量标准制定、交付物审核</w:t>
            </w:r>
          </w:p>
        </w:tc>
      </w:tr>
      <w:tr w14:paraId="01CBF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7"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7F13431B">
            <w:pPr>
              <w:keepNext w:val="0"/>
              <w:keepLines w:val="0"/>
              <w:pageBreakBefore w:val="0"/>
              <w:widowControl w:val="0"/>
              <w:wordWrap/>
              <w:overflowPunct/>
              <w:topLinePunct w:val="0"/>
              <w:bidi w:val="0"/>
              <w:snapToGrid w:val="0"/>
              <w:spacing w:before="120" w:after="120" w:line="240" w:lineRule="auto"/>
              <w:ind w:left="0" w:leftChars="0" w:right="0" w:rightChars="0" w:firstLine="0" w:firstLineChars="0"/>
              <w:jc w:val="center"/>
              <w:rPr>
                <w:rFonts w:hint="default" w:ascii="Arial" w:hAnsi="Arial" w:eastAsia="宋体" w:cs="Arial"/>
                <w:b/>
                <w:sz w:val="24"/>
                <w:lang w:val="en-US" w:eastAsia="zh-CN"/>
              </w:rPr>
            </w:pPr>
            <w:r>
              <w:rPr>
                <w:rFonts w:hint="eastAsia" w:ascii="Arial" w:hAnsi="Arial" w:eastAsia="宋体" w:cs="Arial"/>
                <w:b/>
                <w:sz w:val="24"/>
                <w:lang w:val="en-US" w:eastAsia="zh-CN"/>
              </w:rPr>
              <w:t>人力部经理</w:t>
            </w:r>
          </w:p>
        </w:tc>
        <w:tc>
          <w:tcPr>
            <w:tcW w:w="135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821634F">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rFonts w:ascii="Arial" w:eastAsia="宋体"/>
                <w:sz w:val="24"/>
              </w:rPr>
            </w:pPr>
            <w:r>
              <w:rPr>
                <w:rFonts w:ascii="Arial" w:eastAsia="宋体"/>
                <w:sz w:val="24"/>
              </w:rPr>
              <w:t>张宝晶</w:t>
            </w:r>
          </w:p>
        </w:tc>
        <w:tc>
          <w:tcPr>
            <w:tcW w:w="5055"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75B8F50D">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rPr>
                <w:rFonts w:ascii="Arial" w:eastAsia="宋体"/>
                <w:sz w:val="24"/>
              </w:rPr>
            </w:pPr>
            <w:r>
              <w:rPr>
                <w:rFonts w:ascii="Arial" w:eastAsia="宋体"/>
                <w:sz w:val="24"/>
              </w:rPr>
              <w:t>培训组织协调、知识转移</w:t>
            </w:r>
          </w:p>
        </w:tc>
      </w:tr>
    </w:tbl>
    <w:p w14:paraId="5933FE58">
      <w:pPr>
        <w:pStyle w:val="31"/>
        <w:keepNext w:val="0"/>
        <w:keepLines w:val="0"/>
        <w:pageBreakBefore w:val="0"/>
        <w:widowControl w:val="0"/>
        <w:wordWrap/>
        <w:overflowPunct/>
        <w:topLinePunct w:val="0"/>
        <w:bidi w:val="0"/>
      </w:pPr>
      <w:bookmarkStart w:id="9" w:name="_Toc5388"/>
      <w:bookmarkStart w:id="10" w:name="heading_5"/>
      <w:r>
        <w:t>沟通机制建立</w:t>
      </w:r>
      <w:bookmarkEnd w:id="9"/>
      <w:bookmarkEnd w:id="10"/>
    </w:p>
    <w:p w14:paraId="1C6E0102">
      <w:pPr>
        <w:pStyle w:val="40"/>
        <w:numPr>
          <w:ilvl w:val="0"/>
          <w:numId w:val="2"/>
        </w:numPr>
        <w:bidi w:val="0"/>
        <w:ind w:left="425" w:leftChars="0" w:hanging="425" w:firstLineChars="0"/>
      </w:pPr>
      <w:r>
        <w:t>建立周例会制度，每周五下午召开项目沟通会</w:t>
      </w:r>
    </w:p>
    <w:p w14:paraId="08CF77E7">
      <w:pPr>
        <w:pStyle w:val="40"/>
        <w:numPr>
          <w:ilvl w:val="0"/>
          <w:numId w:val="2"/>
        </w:numPr>
        <w:bidi w:val="0"/>
        <w:ind w:left="425" w:leftChars="0" w:hanging="425" w:firstLineChars="0"/>
      </w:pPr>
      <w:r>
        <w:t>建立月度服务报告机制，每月5日前提交《服务月报》</w:t>
      </w:r>
    </w:p>
    <w:p w14:paraId="5281F151">
      <w:pPr>
        <w:pStyle w:val="40"/>
        <w:numPr>
          <w:ilvl w:val="0"/>
          <w:numId w:val="2"/>
        </w:numPr>
        <w:bidi w:val="0"/>
        <w:ind w:left="425" w:leftChars="0" w:hanging="425" w:firstLineChars="0"/>
      </w:pPr>
      <w:r>
        <w:t>建立项目日常工作群，确保信息及时同步</w:t>
      </w:r>
    </w:p>
    <w:p w14:paraId="31196759">
      <w:pPr>
        <w:pStyle w:val="40"/>
        <w:numPr>
          <w:ilvl w:val="0"/>
          <w:numId w:val="2"/>
        </w:numPr>
        <w:bidi w:val="0"/>
        <w:ind w:left="425" w:leftChars="0" w:hanging="425" w:firstLineChars="0"/>
      </w:pPr>
      <w:r>
        <w:t>建立问题升级与反馈闭环机制</w:t>
      </w:r>
    </w:p>
    <w:p w14:paraId="08AE36BF">
      <w:pPr>
        <w:pStyle w:val="29"/>
        <w:keepNext w:val="0"/>
        <w:keepLines w:val="0"/>
        <w:pageBreakBefore w:val="0"/>
        <w:widowControl w:val="0"/>
        <w:wordWrap/>
        <w:overflowPunct/>
        <w:topLinePunct w:val="0"/>
        <w:bidi w:val="0"/>
      </w:pPr>
      <w:bookmarkStart w:id="11" w:name="_Toc30080"/>
      <w:bookmarkStart w:id="12" w:name="heading_6"/>
      <w:r>
        <w:t>数据清洗专项改进</w:t>
      </w:r>
      <w:bookmarkEnd w:id="11"/>
      <w:bookmarkEnd w:id="12"/>
    </w:p>
    <w:p w14:paraId="476E41FA">
      <w:pPr>
        <w:pStyle w:val="31"/>
        <w:keepNext w:val="0"/>
        <w:keepLines w:val="0"/>
        <w:pageBreakBefore w:val="0"/>
        <w:widowControl w:val="0"/>
        <w:wordWrap/>
        <w:overflowPunct/>
        <w:topLinePunct w:val="0"/>
        <w:bidi w:val="0"/>
      </w:pPr>
      <w:bookmarkStart w:id="13" w:name="_Toc3671"/>
      <w:bookmarkStart w:id="14" w:name="heading_7"/>
      <w:r>
        <w:t>数据清洗体系建设</w:t>
      </w:r>
      <w:bookmarkEnd w:id="13"/>
      <w:bookmarkEnd w:id="14"/>
    </w:p>
    <w:p w14:paraId="403F67AB">
      <w:pPr>
        <w:pStyle w:val="30"/>
        <w:keepNext w:val="0"/>
        <w:keepLines w:val="0"/>
        <w:pageBreakBefore w:val="0"/>
        <w:widowControl w:val="0"/>
        <w:wordWrap/>
        <w:overflowPunct/>
        <w:topLinePunct w:val="0"/>
        <w:bidi w:val="0"/>
      </w:pPr>
      <w:r>
        <w:t>2026年度，项目组完成了完整的数据清洗体系建设，覆盖运维服务计划、设备运行状态、运维人员排班、设备运维、调度与资源、费用结算、系统日志等七大数据域。</w:t>
      </w:r>
    </w:p>
    <w:p w14:paraId="454F96CB">
      <w:pPr>
        <w:pStyle w:val="30"/>
        <w:bidi w:val="0"/>
      </w:pPr>
      <w:r>
        <w:t>数据清洗文档体系：</w:t>
      </w:r>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22"/>
        <w:gridCol w:w="2480"/>
        <w:gridCol w:w="5099"/>
      </w:tblGrid>
      <w:tr w14:paraId="03B4D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22"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0FD6A9C8">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序号</w:t>
            </w:r>
          </w:p>
        </w:tc>
        <w:tc>
          <w:tcPr>
            <w:tcW w:w="248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705745F">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文档名称</w:t>
            </w:r>
          </w:p>
        </w:tc>
        <w:tc>
          <w:tcPr>
            <w:tcW w:w="5099"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44993AE5">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主要内容</w:t>
            </w:r>
          </w:p>
        </w:tc>
      </w:tr>
      <w:tr w14:paraId="7CEA8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92B0C43">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1</w:t>
            </w:r>
          </w:p>
        </w:tc>
        <w:tc>
          <w:tcPr>
            <w:tcW w:w="248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02BD6E4">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《数据清洗策略需求分析报告》</w:t>
            </w:r>
          </w:p>
        </w:tc>
        <w:tc>
          <w:tcPr>
            <w:tcW w:w="509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9DCEE9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明确数据质量核心需求、业务与非功能性需求</w:t>
            </w:r>
          </w:p>
        </w:tc>
      </w:tr>
      <w:tr w14:paraId="3E946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D32B5AA">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2</w:t>
            </w:r>
          </w:p>
        </w:tc>
        <w:tc>
          <w:tcPr>
            <w:tcW w:w="248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B55177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《数据清洗策略实施方案》</w:t>
            </w:r>
          </w:p>
        </w:tc>
        <w:tc>
          <w:tcPr>
            <w:tcW w:w="509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1786F8F">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系统规划数据清洗工作，明确分域清洗策略</w:t>
            </w:r>
          </w:p>
        </w:tc>
      </w:tr>
      <w:tr w14:paraId="14F3C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2"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0E5F5584">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3</w:t>
            </w:r>
          </w:p>
        </w:tc>
        <w:tc>
          <w:tcPr>
            <w:tcW w:w="248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1D62C9B">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《数据清洗策略实施方法》</w:t>
            </w:r>
          </w:p>
        </w:tc>
        <w:tc>
          <w:tcPr>
            <w:tcW w:w="5099"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70A3C0EA">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具体可操作的数据清洗实施方法</w:t>
            </w:r>
          </w:p>
        </w:tc>
      </w:tr>
    </w:tbl>
    <w:p w14:paraId="328AF3C0">
      <w:pPr>
        <w:pStyle w:val="31"/>
        <w:keepNext w:val="0"/>
        <w:keepLines w:val="0"/>
        <w:pageBreakBefore w:val="0"/>
        <w:widowControl w:val="0"/>
        <w:wordWrap/>
        <w:overflowPunct/>
        <w:topLinePunct w:val="0"/>
        <w:bidi w:val="0"/>
      </w:pPr>
      <w:bookmarkStart w:id="15" w:name="heading_8"/>
      <w:bookmarkStart w:id="16" w:name="_Toc18537"/>
      <w:r>
        <w:t>数据质量改进成果</w:t>
      </w:r>
      <w:bookmarkEnd w:id="15"/>
      <w:bookmarkEnd w:id="16"/>
    </w:p>
    <w:p w14:paraId="3E97CC05">
      <w:pPr>
        <w:pStyle w:val="30"/>
        <w:bidi w:val="0"/>
      </w:pPr>
      <w:r>
        <w:t>清洗规则建设：</w:t>
      </w:r>
    </w:p>
    <w:p w14:paraId="008B7573">
      <w:pPr>
        <w:pStyle w:val="40"/>
        <w:numPr>
          <w:ilvl w:val="0"/>
          <w:numId w:val="3"/>
        </w:numPr>
        <w:bidi w:val="0"/>
        <w:ind w:left="425" w:leftChars="0" w:hanging="425" w:firstLineChars="0"/>
      </w:pPr>
      <w:r>
        <w:t>完成七大数据域清洗规则设计与开发，共计45条清洗规则</w:t>
      </w:r>
    </w:p>
    <w:p w14:paraId="66BA6FF8">
      <w:pPr>
        <w:pStyle w:val="40"/>
        <w:numPr>
          <w:ilvl w:val="0"/>
          <w:numId w:val="3"/>
        </w:numPr>
        <w:bidi w:val="0"/>
        <w:ind w:left="425" w:leftChars="0" w:hanging="425" w:firstLineChars="0"/>
      </w:pPr>
      <w:r>
        <w:t>清洗规则实现配置化管理，80%以上规则可通过配置界面调整</w:t>
      </w:r>
    </w:p>
    <w:p w14:paraId="0C6A6BFE">
      <w:pPr>
        <w:pStyle w:val="40"/>
        <w:numPr>
          <w:ilvl w:val="0"/>
          <w:numId w:val="3"/>
        </w:numPr>
        <w:bidi w:val="0"/>
        <w:ind w:left="425" w:leftChars="0" w:hanging="425" w:firstLineChars="0"/>
      </w:pPr>
      <w:r>
        <w:t>建立数据质量监控看板，实现实时监控与告警</w:t>
      </w:r>
    </w:p>
    <w:p w14:paraId="2E5AC4D4">
      <w:pPr>
        <w:pStyle w:val="31"/>
        <w:keepNext w:val="0"/>
        <w:keepLines w:val="0"/>
        <w:pageBreakBefore w:val="0"/>
        <w:widowControl w:val="0"/>
        <w:wordWrap/>
        <w:overflowPunct/>
        <w:topLinePunct w:val="0"/>
        <w:bidi w:val="0"/>
      </w:pPr>
      <w:bookmarkStart w:id="17" w:name="_Toc13024"/>
      <w:bookmarkStart w:id="18" w:name="heading_9"/>
      <w:r>
        <w:t>数据质量验收</w:t>
      </w:r>
      <w:bookmarkEnd w:id="17"/>
      <w:bookmarkEnd w:id="18"/>
    </w:p>
    <w:p w14:paraId="2C1BFD0B">
      <w:pPr>
        <w:pStyle w:val="30"/>
        <w:bidi w:val="0"/>
      </w:pPr>
      <w:r>
        <w:t>2026年4月，项目组完成了数据质量验收测试，连续15天稳定性监测结果表明：数据清洗专项工作成果验收合格。</w:t>
      </w:r>
    </w:p>
    <w:p w14:paraId="025E7320">
      <w:pPr>
        <w:pStyle w:val="29"/>
        <w:keepNext w:val="0"/>
        <w:keepLines w:val="0"/>
        <w:pageBreakBefore w:val="0"/>
        <w:widowControl w:val="0"/>
        <w:wordWrap/>
        <w:overflowPunct/>
        <w:topLinePunct w:val="0"/>
        <w:bidi w:val="0"/>
      </w:pPr>
      <w:bookmarkStart w:id="19" w:name="_Toc30249"/>
      <w:bookmarkStart w:id="20" w:name="heading_10"/>
      <w:r>
        <w:t>服务交付质量改进</w:t>
      </w:r>
      <w:bookmarkEnd w:id="19"/>
      <w:bookmarkEnd w:id="20"/>
    </w:p>
    <w:p w14:paraId="30A80E48">
      <w:pPr>
        <w:pStyle w:val="31"/>
        <w:keepNext w:val="0"/>
        <w:keepLines w:val="0"/>
        <w:pageBreakBefore w:val="0"/>
        <w:widowControl w:val="0"/>
        <w:wordWrap/>
        <w:overflowPunct/>
        <w:topLinePunct w:val="0"/>
        <w:bidi w:val="0"/>
      </w:pPr>
      <w:bookmarkStart w:id="21" w:name="_Toc32309"/>
      <w:bookmarkStart w:id="22" w:name="heading_11"/>
      <w:r>
        <w:t>服务响应能力提升</w:t>
      </w:r>
      <w:bookmarkEnd w:id="21"/>
      <w:bookmarkEnd w:id="22"/>
    </w:p>
    <w:p w14:paraId="6DA621DB">
      <w:pPr>
        <w:pStyle w:val="30"/>
        <w:bidi w:val="0"/>
      </w:pPr>
      <w:r>
        <w:t>2026年度服务数据统计：</w:t>
      </w:r>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561"/>
        <w:gridCol w:w="1244"/>
        <w:gridCol w:w="4496"/>
      </w:tblGrid>
      <w:tr w14:paraId="491FD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561"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48EF2D53">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统计项</w:t>
            </w:r>
          </w:p>
        </w:tc>
        <w:tc>
          <w:tcPr>
            <w:tcW w:w="124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1F6F5F9">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数据</w:t>
            </w:r>
          </w:p>
        </w:tc>
        <w:tc>
          <w:tcPr>
            <w:tcW w:w="4496"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5F63F91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说明</w:t>
            </w:r>
          </w:p>
        </w:tc>
      </w:tr>
      <w:tr w14:paraId="208D7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56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899DD88">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累计服务工单总数</w:t>
            </w:r>
          </w:p>
        </w:tc>
        <w:tc>
          <w:tcPr>
            <w:tcW w:w="124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68AA2F8">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68个</w:t>
            </w:r>
          </w:p>
        </w:tc>
        <w:tc>
          <w:tcPr>
            <w:tcW w:w="449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74B8371">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涵盖系统故障、咨询、变更等类型</w:t>
            </w:r>
          </w:p>
        </w:tc>
      </w:tr>
      <w:tr w14:paraId="22DFD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56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3B331C2">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工单关闭率</w:t>
            </w:r>
          </w:p>
        </w:tc>
        <w:tc>
          <w:tcPr>
            <w:tcW w:w="124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BA56EE3">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98.5%</w:t>
            </w:r>
          </w:p>
        </w:tc>
        <w:tc>
          <w:tcPr>
            <w:tcW w:w="449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8A56B1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目标≥98%</w:t>
            </w:r>
          </w:p>
        </w:tc>
      </w:tr>
      <w:tr w14:paraId="602A0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56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BA3FC0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平均响应时间</w:t>
            </w:r>
          </w:p>
        </w:tc>
        <w:tc>
          <w:tcPr>
            <w:tcW w:w="124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C29056C">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14分钟</w:t>
            </w:r>
          </w:p>
        </w:tc>
        <w:tc>
          <w:tcPr>
            <w:tcW w:w="449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0020743">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目标≤30分钟</w:t>
            </w:r>
          </w:p>
        </w:tc>
      </w:tr>
      <w:tr w14:paraId="209C1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56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D95789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平均解决时间</w:t>
            </w:r>
          </w:p>
        </w:tc>
        <w:tc>
          <w:tcPr>
            <w:tcW w:w="124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E685C9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2.3小时</w:t>
            </w:r>
          </w:p>
        </w:tc>
        <w:tc>
          <w:tcPr>
            <w:tcW w:w="449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852CEB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目标≤4小时</w:t>
            </w:r>
          </w:p>
        </w:tc>
      </w:tr>
      <w:tr w14:paraId="284EE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561"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06503130">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客户满意度评分</w:t>
            </w:r>
          </w:p>
        </w:tc>
        <w:tc>
          <w:tcPr>
            <w:tcW w:w="124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7313534">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97.8分</w:t>
            </w:r>
          </w:p>
        </w:tc>
        <w:tc>
          <w:tcPr>
            <w:tcW w:w="4496"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142DDA2B">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目标≥95分</w:t>
            </w:r>
          </w:p>
        </w:tc>
      </w:tr>
    </w:tbl>
    <w:p w14:paraId="56A70C17">
      <w:pPr>
        <w:pStyle w:val="30"/>
        <w:bidi w:val="0"/>
      </w:pPr>
      <w:r>
        <w:t>服务响应改进措施：</w:t>
      </w:r>
    </w:p>
    <w:p w14:paraId="6A69C4DA">
      <w:pPr>
        <w:pStyle w:val="40"/>
        <w:numPr>
          <w:ilvl w:val="0"/>
          <w:numId w:val="4"/>
        </w:numPr>
        <w:bidi w:val="0"/>
        <w:ind w:left="425" w:leftChars="0" w:hanging="425" w:firstLineChars="0"/>
      </w:pPr>
      <w:r>
        <w:t>建立服务请求分级机制，根据紧急程度分配响应资源</w:t>
      </w:r>
    </w:p>
    <w:p w14:paraId="6A7B5B1E">
      <w:pPr>
        <w:pStyle w:val="40"/>
        <w:numPr>
          <w:ilvl w:val="0"/>
          <w:numId w:val="4"/>
        </w:numPr>
        <w:bidi w:val="0"/>
        <w:ind w:left="425" w:leftChars="0" w:hanging="425" w:firstLineChars="0"/>
      </w:pPr>
      <w:r>
        <w:t>服务台专员每日跟踪未关闭工单，确保不超期</w:t>
      </w:r>
    </w:p>
    <w:p w14:paraId="135AB41E">
      <w:pPr>
        <w:pStyle w:val="40"/>
        <w:numPr>
          <w:ilvl w:val="0"/>
          <w:numId w:val="4"/>
        </w:numPr>
        <w:bidi w:val="0"/>
        <w:ind w:left="425" w:leftChars="0" w:hanging="425" w:firstLineChars="0"/>
      </w:pPr>
      <w:r>
        <w:t>建立备岗机制，关键人员休假时由备岗接替</w:t>
      </w:r>
    </w:p>
    <w:p w14:paraId="768C964B">
      <w:pPr>
        <w:pStyle w:val="40"/>
        <w:numPr>
          <w:ilvl w:val="0"/>
          <w:numId w:val="4"/>
        </w:numPr>
        <w:bidi w:val="0"/>
        <w:ind w:left="425" w:leftChars="0" w:hanging="425" w:firstLineChars="0"/>
      </w:pPr>
      <w:r>
        <w:t>定期分析服务请求趋势，提前预判高峰期</w:t>
      </w:r>
    </w:p>
    <w:p w14:paraId="3AD63EA4">
      <w:pPr>
        <w:pStyle w:val="31"/>
        <w:keepNext w:val="0"/>
        <w:keepLines w:val="0"/>
        <w:pageBreakBefore w:val="0"/>
        <w:widowControl w:val="0"/>
        <w:wordWrap/>
        <w:overflowPunct/>
        <w:topLinePunct w:val="0"/>
        <w:bidi w:val="0"/>
      </w:pPr>
      <w:bookmarkStart w:id="23" w:name="_Toc8844"/>
      <w:bookmarkStart w:id="24" w:name="heading_12"/>
      <w:r>
        <w:t>系统运行保障</w:t>
      </w:r>
      <w:bookmarkEnd w:id="23"/>
      <w:bookmarkEnd w:id="24"/>
    </w:p>
    <w:p w14:paraId="4996F0B1">
      <w:pPr>
        <w:pStyle w:val="30"/>
        <w:bidi w:val="0"/>
      </w:pPr>
      <w:r>
        <w:t>系统可用性：99.95%（目标≥99.9%）</w:t>
      </w:r>
    </w:p>
    <w:p w14:paraId="22E1549D">
      <w:pPr>
        <w:pStyle w:val="40"/>
        <w:numPr>
          <w:ilvl w:val="0"/>
          <w:numId w:val="5"/>
        </w:numPr>
        <w:bidi w:val="0"/>
        <w:ind w:left="425" w:leftChars="0" w:hanging="425" w:firstLineChars="0"/>
      </w:pPr>
      <w:r>
        <w:t>巡检工作：</w:t>
      </w:r>
    </w:p>
    <w:p w14:paraId="33F90BCD">
      <w:pPr>
        <w:pStyle w:val="40"/>
        <w:numPr>
          <w:ilvl w:val="0"/>
          <w:numId w:val="6"/>
        </w:numPr>
        <w:bidi w:val="0"/>
        <w:ind w:left="425" w:leftChars="0" w:hanging="425" w:firstLineChars="0"/>
      </w:pPr>
      <w:r>
        <w:t>完成月度系统体检6次（7月-12月）</w:t>
      </w:r>
    </w:p>
    <w:p w14:paraId="1408B20E">
      <w:pPr>
        <w:pStyle w:val="40"/>
        <w:numPr>
          <w:ilvl w:val="0"/>
          <w:numId w:val="6"/>
        </w:numPr>
        <w:bidi w:val="0"/>
        <w:ind w:left="425" w:leftChars="0" w:hanging="425" w:firstLineChars="0"/>
      </w:pPr>
      <w:r>
        <w:t>发现并整改问题15项</w:t>
      </w:r>
    </w:p>
    <w:p w14:paraId="413BA9E8">
      <w:pPr>
        <w:pStyle w:val="40"/>
        <w:numPr>
          <w:ilvl w:val="0"/>
          <w:numId w:val="6"/>
        </w:numPr>
        <w:bidi w:val="0"/>
        <w:ind w:left="425" w:leftChars="0" w:hanging="425" w:firstLineChars="0"/>
      </w:pPr>
      <w:r>
        <w:t>慢查询优化6条，系统平均响应时间从1.8秒降至1.0秒</w:t>
      </w:r>
    </w:p>
    <w:p w14:paraId="45D40388">
      <w:pPr>
        <w:pStyle w:val="40"/>
        <w:numPr>
          <w:ilvl w:val="0"/>
          <w:numId w:val="5"/>
        </w:numPr>
        <w:bidi w:val="0"/>
        <w:ind w:left="425" w:leftChars="0" w:hanging="425" w:firstLineChars="0"/>
      </w:pPr>
      <w:r>
        <w:t>知识库建设：</w:t>
      </w:r>
    </w:p>
    <w:p w14:paraId="2F5E8FC9">
      <w:pPr>
        <w:pStyle w:val="40"/>
        <w:numPr>
          <w:ilvl w:val="0"/>
          <w:numId w:val="7"/>
        </w:numPr>
        <w:bidi w:val="0"/>
        <w:ind w:left="425" w:leftChars="0" w:hanging="425" w:firstLineChars="0"/>
      </w:pPr>
      <w:r>
        <w:t>新增知识条目23条</w:t>
      </w:r>
    </w:p>
    <w:p w14:paraId="460F7A5E">
      <w:pPr>
        <w:pStyle w:val="40"/>
        <w:numPr>
          <w:ilvl w:val="0"/>
          <w:numId w:val="7"/>
        </w:numPr>
        <w:bidi w:val="0"/>
        <w:ind w:left="425" w:leftChars="0" w:hanging="425" w:firstLineChars="0"/>
      </w:pPr>
      <w:r>
        <w:t>知识利用率91%（目标≥90%）</w:t>
      </w:r>
    </w:p>
    <w:p w14:paraId="46410DD4">
      <w:pPr>
        <w:pStyle w:val="40"/>
        <w:numPr>
          <w:ilvl w:val="0"/>
          <w:numId w:val="7"/>
        </w:numPr>
        <w:bidi w:val="0"/>
        <w:ind w:left="425" w:leftChars="0" w:hanging="425" w:firstLineChars="0"/>
      </w:pPr>
      <w:r>
        <w:t>累计查阅次数超过200次</w:t>
      </w:r>
    </w:p>
    <w:p w14:paraId="39A1E921">
      <w:pPr>
        <w:pStyle w:val="31"/>
        <w:keepNext w:val="0"/>
        <w:keepLines w:val="0"/>
        <w:pageBreakBefore w:val="0"/>
        <w:widowControl w:val="0"/>
        <w:wordWrap/>
        <w:overflowPunct/>
        <w:topLinePunct w:val="0"/>
        <w:bidi w:val="0"/>
      </w:pPr>
      <w:bookmarkStart w:id="25" w:name="_Toc10629"/>
      <w:bookmarkStart w:id="26" w:name="heading_13"/>
      <w:r>
        <w:t>客户满意度改进</w:t>
      </w:r>
      <w:bookmarkEnd w:id="25"/>
      <w:bookmarkEnd w:id="26"/>
    </w:p>
    <w:p w14:paraId="789291D8">
      <w:pPr>
        <w:pStyle w:val="30"/>
        <w:bidi w:val="0"/>
      </w:pPr>
      <w:r>
        <w:t>改进措施：</w:t>
      </w:r>
    </w:p>
    <w:p w14:paraId="28E941B3">
      <w:pPr>
        <w:pStyle w:val="40"/>
        <w:numPr>
          <w:ilvl w:val="0"/>
          <w:numId w:val="8"/>
        </w:numPr>
        <w:bidi w:val="0"/>
        <w:ind w:left="425" w:leftChars="0" w:hanging="425" w:firstLineChars="0"/>
      </w:pPr>
      <w:r>
        <w:t>建立客户回访机制，每工单均进行回访</w:t>
      </w:r>
    </w:p>
    <w:p w14:paraId="3DD2ADCE">
      <w:pPr>
        <w:pStyle w:val="40"/>
        <w:numPr>
          <w:ilvl w:val="0"/>
          <w:numId w:val="8"/>
        </w:numPr>
        <w:bidi w:val="0"/>
        <w:ind w:left="425" w:leftChars="0" w:hanging="425" w:firstLineChars="0"/>
      </w:pPr>
      <w:r>
        <w:t>定期收集客户反馈，针对性改进服务</w:t>
      </w:r>
    </w:p>
    <w:p w14:paraId="1559B2DC">
      <w:pPr>
        <w:pStyle w:val="40"/>
        <w:numPr>
          <w:ilvl w:val="0"/>
          <w:numId w:val="8"/>
        </w:numPr>
        <w:bidi w:val="0"/>
        <w:ind w:left="425" w:leftChars="0" w:hanging="425" w:firstLineChars="0"/>
      </w:pPr>
      <w:r>
        <w:t>问题处理结果需客户确认后方可关闭</w:t>
      </w:r>
    </w:p>
    <w:p w14:paraId="3286E2FA">
      <w:pPr>
        <w:pStyle w:val="29"/>
        <w:keepNext w:val="0"/>
        <w:keepLines w:val="0"/>
        <w:pageBreakBefore w:val="0"/>
        <w:widowControl w:val="0"/>
        <w:wordWrap/>
        <w:overflowPunct/>
        <w:topLinePunct w:val="0"/>
        <w:bidi w:val="0"/>
      </w:pPr>
      <w:bookmarkStart w:id="27" w:name="_Toc31826"/>
      <w:bookmarkStart w:id="28" w:name="heading_14"/>
      <w:r>
        <w:t>应急管理能力改进</w:t>
      </w:r>
      <w:bookmarkEnd w:id="27"/>
      <w:bookmarkEnd w:id="28"/>
    </w:p>
    <w:p w14:paraId="067B1FCC">
      <w:pPr>
        <w:pStyle w:val="31"/>
        <w:keepNext w:val="0"/>
        <w:keepLines w:val="0"/>
        <w:pageBreakBefore w:val="0"/>
        <w:widowControl w:val="0"/>
        <w:wordWrap/>
        <w:overflowPunct/>
        <w:topLinePunct w:val="0"/>
        <w:bidi w:val="0"/>
      </w:pPr>
      <w:bookmarkStart w:id="29" w:name="heading_15"/>
      <w:bookmarkStart w:id="30" w:name="_Toc16818"/>
      <w:r>
        <w:t>应急体系建设</w:t>
      </w:r>
      <w:bookmarkEnd w:id="29"/>
      <w:bookmarkEnd w:id="30"/>
    </w:p>
    <w:p w14:paraId="689CDCED">
      <w:pPr>
        <w:pStyle w:val="30"/>
        <w:keepNext w:val="0"/>
        <w:keepLines w:val="0"/>
        <w:pageBreakBefore w:val="0"/>
        <w:widowControl w:val="0"/>
        <w:wordWrap/>
        <w:overflowPunct/>
        <w:topLinePunct w:val="0"/>
        <w:bidi w:val="0"/>
      </w:pPr>
      <w:r>
        <w:t>2026年度，项目组完成了应急管理体系的初步建设：</w:t>
      </w:r>
    </w:p>
    <w:p w14:paraId="20E2620F">
      <w:pPr>
        <w:pStyle w:val="30"/>
        <w:bidi w:val="0"/>
      </w:pPr>
      <w:r>
        <w:t>应急预案编制：完成《银川输油气分公司2026年度桌面及信息网络综合运维技术服务项目-应急预案》编制，涵盖6大类风险、四级响应机制。</w:t>
      </w:r>
    </w:p>
    <w:p w14:paraId="72FED77E">
      <w:pPr>
        <w:pStyle w:val="30"/>
        <w:bidi w:val="0"/>
      </w:pPr>
      <w:r>
        <w:t>应急组织建立：建立应急领导小组、应急执行小组、技术支持小组、后勤保障小组，明确各小组职责分工。</w:t>
      </w:r>
    </w:p>
    <w:p w14:paraId="5AB7EE18">
      <w:pPr>
        <w:pStyle w:val="30"/>
        <w:bidi w:val="0"/>
      </w:pPr>
      <w:r>
        <w:t>应急资源准备：完成应急通讯录建立、备件库梳理、技术保障通道确认。</w:t>
      </w:r>
    </w:p>
    <w:p w14:paraId="5CF77153">
      <w:pPr>
        <w:pStyle w:val="31"/>
        <w:keepNext w:val="0"/>
        <w:keepLines w:val="0"/>
        <w:pageBreakBefore w:val="0"/>
        <w:widowControl w:val="0"/>
        <w:wordWrap/>
        <w:overflowPunct/>
        <w:topLinePunct w:val="0"/>
        <w:bidi w:val="0"/>
      </w:pPr>
      <w:bookmarkStart w:id="31" w:name="_Toc6510"/>
      <w:bookmarkStart w:id="32" w:name="heading_16"/>
      <w:r>
        <w:t>应急演练准备</w:t>
      </w:r>
      <w:bookmarkEnd w:id="31"/>
      <w:bookmarkEnd w:id="32"/>
    </w:p>
    <w:p w14:paraId="274E3185">
      <w:pPr>
        <w:pStyle w:val="30"/>
        <w:keepNext w:val="0"/>
        <w:keepLines w:val="0"/>
        <w:pageBreakBefore w:val="0"/>
        <w:widowControl w:val="0"/>
        <w:wordWrap/>
        <w:overflowPunct/>
        <w:topLinePunct w:val="0"/>
        <w:bidi w:val="0"/>
      </w:pPr>
      <w:r>
        <w:t>2026年6月，项目组完成了应急演练的准备工作：</w:t>
      </w:r>
    </w:p>
    <w:p w14:paraId="5DB43F30">
      <w:pPr>
        <w:pStyle w:val="40"/>
        <w:numPr>
          <w:ilvl w:val="0"/>
          <w:numId w:val="9"/>
        </w:numPr>
        <w:bidi w:val="0"/>
      </w:pPr>
      <w:r>
        <w:t>完成《应急演练实施方案》编制</w:t>
      </w:r>
    </w:p>
    <w:p w14:paraId="08D7ECDE">
      <w:pPr>
        <w:pStyle w:val="40"/>
        <w:numPr>
          <w:ilvl w:val="0"/>
          <w:numId w:val="9"/>
        </w:numPr>
        <w:bidi w:val="0"/>
      </w:pPr>
      <w:r>
        <w:t>完成《应急演练实施计划》制定</w:t>
      </w:r>
    </w:p>
    <w:p w14:paraId="59FC752A">
      <w:pPr>
        <w:pStyle w:val="40"/>
        <w:numPr>
          <w:ilvl w:val="0"/>
          <w:numId w:val="9"/>
        </w:numPr>
        <w:bidi w:val="0"/>
      </w:pPr>
      <w:r>
        <w:t>完成演练测试环境搭建</w:t>
      </w:r>
    </w:p>
    <w:p w14:paraId="51C5B39B">
      <w:pPr>
        <w:pStyle w:val="40"/>
        <w:numPr>
          <w:ilvl w:val="0"/>
          <w:numId w:val="9"/>
        </w:numPr>
        <w:bidi w:val="0"/>
      </w:pPr>
      <w:r>
        <w:t>完成参演人员培训与宣贯</w:t>
      </w:r>
    </w:p>
    <w:p w14:paraId="3528A24D">
      <w:pPr>
        <w:pStyle w:val="31"/>
        <w:keepNext w:val="0"/>
        <w:keepLines w:val="0"/>
        <w:pageBreakBefore w:val="0"/>
        <w:widowControl w:val="0"/>
        <w:wordWrap/>
        <w:overflowPunct/>
        <w:topLinePunct w:val="0"/>
        <w:bidi w:val="0"/>
      </w:pPr>
      <w:bookmarkStart w:id="33" w:name="heading_17"/>
      <w:bookmarkStart w:id="34" w:name="_Toc14101"/>
      <w:r>
        <w:t>应急能力提升成果</w:t>
      </w:r>
      <w:bookmarkEnd w:id="33"/>
      <w:bookmarkEnd w:id="34"/>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017"/>
        <w:gridCol w:w="1612"/>
        <w:gridCol w:w="4672"/>
      </w:tblGrid>
      <w:tr w14:paraId="7DD17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017"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6C5AA8B5">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能力项</w:t>
            </w:r>
          </w:p>
        </w:tc>
        <w:tc>
          <w:tcPr>
            <w:tcW w:w="161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4326298">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改进前</w:t>
            </w:r>
          </w:p>
        </w:tc>
        <w:tc>
          <w:tcPr>
            <w:tcW w:w="4672"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6D35F85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改进后</w:t>
            </w:r>
          </w:p>
        </w:tc>
      </w:tr>
      <w:tr w14:paraId="2DC38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01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86A0B5D">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应急预案</w:t>
            </w:r>
          </w:p>
        </w:tc>
        <w:tc>
          <w:tcPr>
            <w:tcW w:w="161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4357B5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无</w:t>
            </w:r>
          </w:p>
        </w:tc>
        <w:tc>
          <w:tcPr>
            <w:tcW w:w="467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0391724">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已发布，覆盖6大类风险</w:t>
            </w:r>
          </w:p>
        </w:tc>
      </w:tr>
      <w:tr w14:paraId="49C4D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01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6518B6F">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应急组织</w:t>
            </w:r>
          </w:p>
        </w:tc>
        <w:tc>
          <w:tcPr>
            <w:tcW w:w="161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F498C3B">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未建立</w:t>
            </w:r>
          </w:p>
        </w:tc>
        <w:tc>
          <w:tcPr>
            <w:tcW w:w="467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04015C9">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4个小组，职责明确</w:t>
            </w:r>
          </w:p>
        </w:tc>
      </w:tr>
      <w:tr w14:paraId="2EED7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01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BCE2A3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应急演练</w:t>
            </w:r>
          </w:p>
        </w:tc>
        <w:tc>
          <w:tcPr>
            <w:tcW w:w="161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84BB1C1">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未开展</w:t>
            </w:r>
          </w:p>
        </w:tc>
        <w:tc>
          <w:tcPr>
            <w:tcW w:w="467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5966A56">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方案已定，计划执行</w:t>
            </w:r>
          </w:p>
        </w:tc>
      </w:tr>
      <w:tr w14:paraId="4F17B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017"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5A8E123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应急物资</w:t>
            </w:r>
          </w:p>
        </w:tc>
        <w:tc>
          <w:tcPr>
            <w:tcW w:w="161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CD5D820">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未梳理</w:t>
            </w:r>
          </w:p>
        </w:tc>
        <w:tc>
          <w:tcPr>
            <w:tcW w:w="4672"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6F723618">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备件库已完善</w:t>
            </w:r>
          </w:p>
        </w:tc>
      </w:tr>
    </w:tbl>
    <w:p w14:paraId="426E8678">
      <w:pPr>
        <w:pStyle w:val="29"/>
        <w:keepNext w:val="0"/>
        <w:keepLines w:val="0"/>
        <w:pageBreakBefore w:val="0"/>
        <w:widowControl w:val="0"/>
        <w:wordWrap/>
        <w:overflowPunct/>
        <w:topLinePunct w:val="0"/>
        <w:bidi w:val="0"/>
      </w:pPr>
      <w:bookmarkStart w:id="35" w:name="heading_18"/>
      <w:bookmarkStart w:id="36" w:name="_Toc23102"/>
      <w:r>
        <w:t>存在问题与改进方向</w:t>
      </w:r>
      <w:bookmarkEnd w:id="35"/>
      <w:bookmarkEnd w:id="36"/>
    </w:p>
    <w:p w14:paraId="5BF32F75">
      <w:pPr>
        <w:pStyle w:val="31"/>
        <w:keepNext w:val="0"/>
        <w:keepLines w:val="0"/>
        <w:pageBreakBefore w:val="0"/>
        <w:widowControl w:val="0"/>
        <w:wordWrap/>
        <w:overflowPunct/>
        <w:topLinePunct w:val="0"/>
        <w:bidi w:val="0"/>
      </w:pPr>
      <w:bookmarkStart w:id="37" w:name="heading_19"/>
      <w:bookmarkStart w:id="38" w:name="_Toc31831"/>
      <w:r>
        <w:t>2026年度存在不足</w:t>
      </w:r>
      <w:bookmarkEnd w:id="37"/>
      <w:bookmarkEnd w:id="38"/>
    </w:p>
    <w:p w14:paraId="25B65C5A">
      <w:pPr>
        <w:pStyle w:val="40"/>
        <w:numPr>
          <w:ilvl w:val="0"/>
          <w:numId w:val="10"/>
        </w:numPr>
        <w:bidi w:val="0"/>
        <w:ind w:left="425" w:leftChars="0" w:hanging="425" w:firstLineChars="0"/>
      </w:pPr>
      <w:r>
        <w:t>知识库内容仍不完善：部分典型故障的处理流程尚未录入知识库</w:t>
      </w:r>
    </w:p>
    <w:p w14:paraId="07791B47">
      <w:pPr>
        <w:pStyle w:val="40"/>
        <w:numPr>
          <w:ilvl w:val="0"/>
          <w:numId w:val="10"/>
        </w:numPr>
        <w:bidi w:val="0"/>
        <w:ind w:left="425" w:leftChars="0" w:hanging="425" w:firstLineChars="0"/>
      </w:pPr>
      <w:r>
        <w:t>跨部门协同效率有提升空间：与甲方的应急联动流程可进一步细化</w:t>
      </w:r>
    </w:p>
    <w:p w14:paraId="532D3682">
      <w:pPr>
        <w:pStyle w:val="31"/>
        <w:keepNext w:val="0"/>
        <w:keepLines w:val="0"/>
        <w:pageBreakBefore w:val="0"/>
        <w:widowControl w:val="0"/>
        <w:wordWrap/>
        <w:overflowPunct/>
        <w:topLinePunct w:val="0"/>
        <w:bidi w:val="0"/>
      </w:pPr>
      <w:bookmarkStart w:id="39" w:name="_Toc13188"/>
      <w:bookmarkStart w:id="40" w:name="heading_20"/>
      <w:r>
        <w:t>2026年</w:t>
      </w:r>
      <w:r>
        <w:rPr>
          <w:rFonts w:hint="eastAsia"/>
          <w:lang w:val="en-US" w:eastAsia="zh-CN"/>
        </w:rPr>
        <w:t>下半年</w:t>
      </w:r>
      <w:r>
        <w:t>改进方向</w:t>
      </w:r>
      <w:bookmarkEnd w:id="39"/>
      <w:bookmarkEnd w:id="40"/>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28"/>
        <w:gridCol w:w="1449"/>
        <w:gridCol w:w="3220"/>
        <w:gridCol w:w="1211"/>
        <w:gridCol w:w="1693"/>
      </w:tblGrid>
      <w:tr w14:paraId="49159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29"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56E3CB4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序号</w:t>
            </w:r>
          </w:p>
        </w:tc>
        <w:tc>
          <w:tcPr>
            <w:tcW w:w="144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52E8EE1">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改进方向</w:t>
            </w:r>
          </w:p>
        </w:tc>
        <w:tc>
          <w:tcPr>
            <w:tcW w:w="322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A04459B">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改进措施</w:t>
            </w:r>
          </w:p>
        </w:tc>
        <w:tc>
          <w:tcPr>
            <w:tcW w:w="121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4A0C533">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责任部门</w:t>
            </w:r>
          </w:p>
        </w:tc>
        <w:tc>
          <w:tcPr>
            <w:tcW w:w="1693"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0A24D956">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计划完成时间</w:t>
            </w:r>
          </w:p>
        </w:tc>
      </w:tr>
      <w:tr w14:paraId="11A10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9"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22744591">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rFonts w:hint="eastAsia" w:eastAsia="宋体"/>
                <w:lang w:eastAsia="zh-CN"/>
              </w:rPr>
            </w:pPr>
            <w:r>
              <w:rPr>
                <w:rFonts w:hint="eastAsia"/>
                <w:lang w:val="en-US" w:eastAsia="zh-CN"/>
              </w:rPr>
              <w:t>1</w:t>
            </w:r>
          </w:p>
        </w:tc>
        <w:tc>
          <w:tcPr>
            <w:tcW w:w="144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FD0303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完善知识库</w:t>
            </w:r>
          </w:p>
        </w:tc>
        <w:tc>
          <w:tcPr>
            <w:tcW w:w="322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722EA43">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补充监控接口等关键故障处置流程</w:t>
            </w:r>
          </w:p>
        </w:tc>
        <w:tc>
          <w:tcPr>
            <w:tcW w:w="121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0E3A43F">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服务知识</w:t>
            </w:r>
          </w:p>
        </w:tc>
        <w:tc>
          <w:tcPr>
            <w:tcW w:w="1693"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2F1EBF40">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rFonts w:hint="default" w:eastAsia="宋体"/>
                <w:lang w:val="en-US" w:eastAsia="zh-CN"/>
              </w:rPr>
            </w:pPr>
            <w:r>
              <w:rPr>
                <w:rFonts w:hint="eastAsia"/>
                <w:lang w:val="en-US" w:eastAsia="zh-CN"/>
              </w:rPr>
              <w:t>持续改善</w:t>
            </w:r>
          </w:p>
        </w:tc>
      </w:tr>
    </w:tbl>
    <w:p w14:paraId="67F05123">
      <w:pPr>
        <w:pStyle w:val="29"/>
        <w:keepNext w:val="0"/>
        <w:keepLines w:val="0"/>
        <w:pageBreakBefore w:val="0"/>
        <w:widowControl w:val="0"/>
        <w:wordWrap/>
        <w:overflowPunct/>
        <w:topLinePunct w:val="0"/>
        <w:bidi w:val="0"/>
      </w:pPr>
      <w:bookmarkStart w:id="41" w:name="heading_21"/>
      <w:bookmarkStart w:id="42" w:name="_Toc13570"/>
      <w:r>
        <w:t>下一步工作计划</w:t>
      </w:r>
      <w:bookmarkEnd w:id="41"/>
      <w:bookmarkEnd w:id="42"/>
    </w:p>
    <w:tbl>
      <w:tblPr>
        <w:tblStyle w:val="20"/>
        <w:tblW w:w="806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73"/>
        <w:gridCol w:w="4273"/>
        <w:gridCol w:w="1461"/>
        <w:gridCol w:w="1461"/>
      </w:tblGrid>
      <w:tr w14:paraId="7F52D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43AA9905">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序号</w:t>
            </w:r>
          </w:p>
        </w:tc>
        <w:tc>
          <w:tcPr>
            <w:tcW w:w="0" w:type="auto"/>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BFC8440">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工作事项</w:t>
            </w:r>
          </w:p>
        </w:tc>
        <w:tc>
          <w:tcPr>
            <w:tcW w:w="0" w:type="auto"/>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1B0B06A">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计划时间</w:t>
            </w:r>
          </w:p>
        </w:tc>
        <w:tc>
          <w:tcPr>
            <w:tcW w:w="1461"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4446EB9D">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责任部门</w:t>
            </w:r>
          </w:p>
        </w:tc>
      </w:tr>
      <w:tr w14:paraId="3A82C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73"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21028004">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rFonts w:hint="eastAsia" w:eastAsia="宋体"/>
                <w:lang w:eastAsia="zh-CN"/>
              </w:rPr>
            </w:pPr>
            <w:r>
              <w:rPr>
                <w:rFonts w:hint="eastAsia"/>
                <w:lang w:val="en-US" w:eastAsia="zh-CN"/>
              </w:rPr>
              <w:t>1</w:t>
            </w:r>
          </w:p>
        </w:tc>
        <w:tc>
          <w:tcPr>
            <w:tcW w:w="4273"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AC9A01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知识库内容扩充（累计≥50条）</w:t>
            </w:r>
          </w:p>
        </w:tc>
        <w:tc>
          <w:tcPr>
            <w:tcW w:w="146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02CA752">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rPr>
                <w:rFonts w:hint="eastAsia"/>
                <w:lang w:val="en-US" w:eastAsia="zh-CN"/>
              </w:rPr>
              <w:t>持续改善</w:t>
            </w:r>
          </w:p>
        </w:tc>
        <w:tc>
          <w:tcPr>
            <w:tcW w:w="1461"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2ADD80D3">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服务知识</w:t>
            </w:r>
          </w:p>
        </w:tc>
      </w:tr>
    </w:tbl>
    <w:p w14:paraId="42B7C5EA">
      <w:pPr>
        <w:pStyle w:val="29"/>
        <w:keepNext w:val="0"/>
        <w:keepLines w:val="0"/>
        <w:pageBreakBefore w:val="0"/>
        <w:widowControl w:val="0"/>
        <w:wordWrap/>
        <w:overflowPunct/>
        <w:topLinePunct w:val="0"/>
        <w:bidi w:val="0"/>
      </w:pPr>
      <w:bookmarkStart w:id="43" w:name="heading_22"/>
      <w:bookmarkStart w:id="44" w:name="_Toc32041"/>
      <w:r>
        <w:t>总结</w:t>
      </w:r>
      <w:bookmarkEnd w:id="43"/>
      <w:bookmarkEnd w:id="44"/>
    </w:p>
    <w:p w14:paraId="353BF176">
      <w:pPr>
        <w:pStyle w:val="30"/>
        <w:bidi w:val="0"/>
      </w:pPr>
      <w:r>
        <w:t>2026年</w:t>
      </w:r>
      <w:r>
        <w:rPr>
          <w:rFonts w:hint="eastAsia"/>
          <w:lang w:val="en-US" w:eastAsia="zh-CN"/>
        </w:rPr>
        <w:t>上半年</w:t>
      </w:r>
      <w:bookmarkStart w:id="45" w:name="_GoBack"/>
      <w:bookmarkEnd w:id="45"/>
      <w:r>
        <w:t>，银川输油气分公司2026年度桌面及信息网络综合运维技术服务项目交付工作取得以下主要成果：</w:t>
      </w:r>
    </w:p>
    <w:p w14:paraId="5457D2EA">
      <w:pPr>
        <w:pStyle w:val="30"/>
        <w:bidi w:val="0"/>
      </w:pPr>
      <w:r>
        <w:t>交付体系建成：完成总体交付方案及配套文档编制，建立完整的交付管理体系，形成“规划→执行→监控→改进”的闭环机制。</w:t>
      </w:r>
    </w:p>
    <w:p w14:paraId="62ED0AF2">
      <w:pPr>
        <w:pStyle w:val="30"/>
        <w:bidi w:val="0"/>
      </w:pPr>
      <w:r>
        <w:t>数据清洗完成：覆盖七大数据域，45条清洗规则，数据质量KPI全面达标，数据清洗专项通过验收。</w:t>
      </w:r>
    </w:p>
    <w:p w14:paraId="3B66F752">
      <w:pPr>
        <w:pStyle w:val="30"/>
        <w:bidi w:val="0"/>
      </w:pPr>
      <w:r>
        <w:t>服务质量达标：累计处理工单68个，关闭率98.5%，平均响应时间14分钟，各项指标均优于合同要求。</w:t>
      </w:r>
    </w:p>
    <w:p w14:paraId="5CD10D3E">
      <w:pPr>
        <w:pStyle w:val="30"/>
        <w:bidi w:val="0"/>
      </w:pPr>
      <w:r>
        <w:t>应急体系建立：完成应急预案编制，建立应急组织体系，完成演练准备，为后续应急能力提升奠定基础。</w:t>
      </w:r>
    </w:p>
    <w:p w14:paraId="62953A30">
      <w:pPr>
        <w:pStyle w:val="30"/>
        <w:bidi w:val="0"/>
      </w:pPr>
      <w:r>
        <w:t>持续改进推进：建立问题发现→整改→验证的闭环管理机制，推动交付质量持续提升。</w:t>
      </w:r>
    </w:p>
    <w:p w14:paraId="37361632">
      <w:pPr>
        <w:pStyle w:val="30"/>
        <w:bidi w:val="0"/>
        <w:rPr>
          <w:rFonts w:hint="eastAsia"/>
          <w:lang w:eastAsia="zh-CN"/>
        </w:rPr>
      </w:pPr>
      <w:r>
        <w:t>项目组将持续推进交付改进工作，不断提升服务质量和客户满意度，确保项目平稳运行。</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7D24E">
    <w:pPr>
      <w:pStyle w:val="15"/>
      <w:pBdr>
        <w:bottom w:val="single" w:color="auto" w:sz="4" w:space="1"/>
      </w:pBdr>
      <w:jc w:val="right"/>
      <w:rPr>
        <w:rFonts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6B935AD"/>
    <w:multiLevelType w:val="singleLevel"/>
    <w:tmpl w:val="96B935AD"/>
    <w:lvl w:ilvl="0" w:tentative="0">
      <w:start w:val="1"/>
      <w:numFmt w:val="decimal"/>
      <w:lvlText w:val="%1."/>
      <w:lvlJc w:val="left"/>
      <w:pPr>
        <w:ind w:left="425" w:hanging="425"/>
      </w:pPr>
      <w:rPr>
        <w:rFonts w:hint="default"/>
      </w:rPr>
    </w:lvl>
  </w:abstractNum>
  <w:abstractNum w:abstractNumId="2">
    <w:nsid w:val="B8EFC6B8"/>
    <w:multiLevelType w:val="singleLevel"/>
    <w:tmpl w:val="B8EFC6B8"/>
    <w:lvl w:ilvl="0" w:tentative="0">
      <w:start w:val="1"/>
      <w:numFmt w:val="decimal"/>
      <w:lvlText w:val="%1."/>
      <w:lvlJc w:val="left"/>
      <w:pPr>
        <w:ind w:left="425" w:hanging="425"/>
      </w:pPr>
      <w:rPr>
        <w:rFonts w:hint="default"/>
      </w:rPr>
    </w:lvl>
  </w:abstractNum>
  <w:abstractNum w:abstractNumId="3">
    <w:nsid w:val="EE3F65DD"/>
    <w:multiLevelType w:val="singleLevel"/>
    <w:tmpl w:val="EE3F65DD"/>
    <w:lvl w:ilvl="0" w:tentative="0">
      <w:start w:val="1"/>
      <w:numFmt w:val="decimal"/>
      <w:lvlText w:val="%1."/>
      <w:lvlJc w:val="left"/>
      <w:pPr>
        <w:ind w:left="425" w:hanging="425"/>
      </w:pPr>
      <w:rPr>
        <w:rFonts w:hint="default"/>
      </w:rPr>
    </w:lvl>
  </w:abstractNum>
  <w:abstractNum w:abstractNumId="4">
    <w:nsid w:val="2883DC14"/>
    <w:multiLevelType w:val="singleLevel"/>
    <w:tmpl w:val="2883DC14"/>
    <w:lvl w:ilvl="0" w:tentative="0">
      <w:start w:val="1"/>
      <w:numFmt w:val="decimal"/>
      <w:lvlText w:val="%1."/>
      <w:lvlJc w:val="left"/>
      <w:pPr>
        <w:ind w:left="425" w:hanging="425"/>
      </w:pPr>
      <w:rPr>
        <w:rFonts w:hint="default"/>
      </w:rPr>
    </w:lvl>
  </w:abstractNum>
  <w:abstractNum w:abstractNumId="5">
    <w:nsid w:val="45567E3F"/>
    <w:multiLevelType w:val="singleLevel"/>
    <w:tmpl w:val="45567E3F"/>
    <w:lvl w:ilvl="0" w:tentative="0">
      <w:start w:val="1"/>
      <w:numFmt w:val="decimal"/>
      <w:lvlText w:val="%1."/>
      <w:lvlJc w:val="left"/>
      <w:pPr>
        <w:ind w:left="425" w:hanging="425"/>
      </w:pPr>
      <w:rPr>
        <w:rFonts w:hint="default"/>
      </w:rPr>
    </w:lvl>
  </w:abstractNum>
  <w:abstractNum w:abstractNumId="6">
    <w:nsid w:val="45DBA6FC"/>
    <w:multiLevelType w:val="singleLevel"/>
    <w:tmpl w:val="45DBA6FC"/>
    <w:lvl w:ilvl="0" w:tentative="0">
      <w:start w:val="1"/>
      <w:numFmt w:val="decimal"/>
      <w:lvlText w:val="%1."/>
      <w:lvlJc w:val="left"/>
      <w:pPr>
        <w:ind w:left="425" w:hanging="425"/>
      </w:pPr>
      <w:rPr>
        <w:rFonts w:hint="default"/>
      </w:rPr>
    </w:lvl>
  </w:abstractNum>
  <w:abstractNum w:abstractNumId="7">
    <w:nsid w:val="537AE5F5"/>
    <w:multiLevelType w:val="singleLevel"/>
    <w:tmpl w:val="537AE5F5"/>
    <w:lvl w:ilvl="0" w:tentative="0">
      <w:start w:val="1"/>
      <w:numFmt w:val="decimal"/>
      <w:lvlText w:val="%1."/>
      <w:lvlJc w:val="left"/>
      <w:pPr>
        <w:ind w:left="425" w:hanging="425"/>
      </w:pPr>
      <w:rPr>
        <w:rFonts w:hint="default"/>
      </w:rPr>
    </w:lvl>
  </w:abstractNum>
  <w:abstractNum w:abstractNumId="8">
    <w:nsid w:val="542AAC92"/>
    <w:multiLevelType w:val="singleLevel"/>
    <w:tmpl w:val="542AAC92"/>
    <w:lvl w:ilvl="0" w:tentative="0">
      <w:start w:val="1"/>
      <w:numFmt w:val="decimal"/>
      <w:lvlText w:val="(%1)"/>
      <w:lvlJc w:val="left"/>
      <w:pPr>
        <w:ind w:left="425" w:hanging="425"/>
      </w:pPr>
      <w:rPr>
        <w:rFonts w:hint="default"/>
      </w:rPr>
    </w:lvl>
  </w:abstractNum>
  <w:abstractNum w:abstractNumId="9">
    <w:nsid w:val="68A2CD88"/>
    <w:multiLevelType w:val="singleLevel"/>
    <w:tmpl w:val="68A2CD88"/>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7"/>
  </w:num>
  <w:num w:numId="5">
    <w:abstractNumId w:val="3"/>
  </w:num>
  <w:num w:numId="6">
    <w:abstractNumId w:val="9"/>
  </w:num>
  <w:num w:numId="7">
    <w:abstractNumId w:val="8"/>
  </w:num>
  <w:num w:numId="8">
    <w:abstractNumId w:val="4"/>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56096E"/>
    <w:rsid w:val="231B006C"/>
    <w:rsid w:val="2DFC2AE4"/>
    <w:rsid w:val="32750FE5"/>
    <w:rsid w:val="3EFB7642"/>
    <w:rsid w:val="41D23D54"/>
    <w:rsid w:val="43EB2023"/>
    <w:rsid w:val="547F4ECB"/>
    <w:rsid w:val="577928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cs="宋体"/>
    </w:rPr>
  </w:style>
  <w:style w:type="paragraph" w:customStyle="1" w:styleId="29">
    <w:name w:val="柴_标题1"/>
    <w:basedOn w:val="2"/>
    <w:next w:val="30"/>
    <w:link w:val="39"/>
    <w:qFormat/>
    <w:uiPriority w:val="0"/>
    <w:pPr>
      <w:spacing w:before="100" w:after="90" w:line="360" w:lineRule="auto"/>
    </w:pPr>
    <w:rPr>
      <w:sz w:val="32"/>
    </w:rPr>
  </w:style>
  <w:style w:type="paragraph" w:customStyle="1" w:styleId="30">
    <w:name w:val="柴_正文"/>
    <w:basedOn w:val="12"/>
    <w:link w:val="43"/>
    <w:qFormat/>
    <w:uiPriority w:val="0"/>
    <w:pPr>
      <w:ind w:firstLine="470" w:firstLineChars="200"/>
    </w:pPr>
    <w:rPr>
      <w:rFonts w:eastAsia="宋体"/>
      <w:sz w:val="24"/>
      <w:lang w:eastAsia="zh-CN"/>
    </w:rPr>
  </w:style>
  <w:style w:type="paragraph" w:customStyle="1" w:styleId="31">
    <w:name w:val="柴_标题2"/>
    <w:basedOn w:val="3"/>
    <w:next w:val="30"/>
    <w:qFormat/>
    <w:uiPriority w:val="0"/>
    <w:pPr>
      <w:spacing w:line="360" w:lineRule="auto"/>
    </w:pPr>
    <w:rPr>
      <w:rFonts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cs="宋体"/>
      <w:spacing w:val="-2"/>
      <w:sz w:val="24"/>
      <w:szCs w:val="24"/>
    </w:rPr>
  </w:style>
  <w:style w:type="paragraph" w:customStyle="1" w:styleId="33">
    <w:name w:val="柴_目录"/>
    <w:basedOn w:val="1"/>
    <w:next w:val="12"/>
    <w:qFormat/>
    <w:uiPriority w:val="0"/>
    <w:pPr>
      <w:tabs>
        <w:tab w:val="right" w:leader="dot" w:pos="8442"/>
      </w:tabs>
    </w:pPr>
    <w:rPr>
      <w:rFonts w:eastAsia="Microsoft JhengHei"/>
      <w:sz w:val="24"/>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rPr>
      <w:sz w:val="24"/>
      <w:lang w:eastAsia="zh-CN"/>
    </w:rPr>
  </w:style>
  <w:style w:type="table" w:customStyle="1" w:styleId="41">
    <w:name w:val="Table Normal_1"/>
    <w:semiHidden/>
    <w:unhideWhenUsed/>
    <w:qFormat/>
    <w:uiPriority w:val="0"/>
    <w:tblPr>
      <w:tblCellMar>
        <w:top w:w="0" w:type="dxa"/>
        <w:left w:w="0" w:type="dxa"/>
        <w:bottom w:w="0" w:type="dxa"/>
        <w:right w:w="0" w:type="dxa"/>
      </w:tblCellMar>
    </w:tbl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2031</Words>
  <Characters>2252</Characters>
  <Lines>128</Lines>
  <Paragraphs>117</Paragraphs>
  <TotalTime>0</TotalTime>
  <ScaleCrop>false</ScaleCrop>
  <LinksUpToDate>false</LinksUpToDate>
  <CharactersWithSpaces>2347</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2026-08-24T07:32:54Z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