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spacing w:before="234" w:line="217" w:lineRule="auto"/>
        <w:ind w:left="251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1"/>
          <w:sz w:val="72"/>
          <w:szCs w:val="72"/>
        </w:rPr>
        <w:t>纠正与预防措施控制程序</w:t>
      </w:r>
    </w:p>
    <w:p>
      <w:pPr>
        <w:pStyle w:val="BodyText"/>
        <w:spacing w:line="310" w:lineRule="auto"/>
      </w:pPr>
    </w:p>
    <w:p>
      <w:pPr>
        <w:spacing w:before="91" w:line="232" w:lineRule="auto"/>
        <w:ind w:left="284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（YNTD-ITSS-08-06）</w:t>
      </w: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spacing w:before="101" w:line="223" w:lineRule="auto"/>
        <w:ind w:left="1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785" w:bottom="1980" w:left="1785" w:header="803" w:footer="1164" w:gutter="0"/>
          <w:cols w:space="720"/>
        </w:sectPr>
      </w:pPr>
    </w:p>
    <w:p>
      <w:pPr>
        <w:pStyle w:val="BodyText"/>
        <w:spacing w:line="253" w:lineRule="auto"/>
      </w:pPr>
    </w:p>
    <w:p>
      <w:pPr>
        <w:pStyle w:val="BodyText"/>
        <w:spacing w:line="254" w:lineRule="auto"/>
      </w:pPr>
    </w:p>
    <w:p>
      <w:pPr>
        <w:spacing w:before="98" w:line="220" w:lineRule="auto"/>
        <w:ind w:left="3175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8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4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8" w:lineRule="auto"/>
              <w:ind w:left="536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19" w:lineRule="auto"/>
              <w:ind w:left="927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0" w:lineRule="auto"/>
              <w:ind w:left="912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1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82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19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3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244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88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80" w:line="221" w:lineRule="auto"/>
              <w:ind w:left="269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4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651"/>
        </w:trPr>
        <w:tc>
          <w:tcPr>
            <w:tcW w:w="847" w:type="dxa"/>
            <w:tcBorders>
              <w:left w:val="single" w:sz="10" w:space="0" w:color="000000"/>
            </w:tcBorders>
          </w:tcPr>
          <w:p>
            <w:pPr>
              <w:spacing w:before="181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180" w:line="220" w:lineRule="auto"/>
              <w:ind w:left="161"/>
            </w:pPr>
            <w:r>
              <w:rPr>
                <w:spacing w:val="-2"/>
              </w:rPr>
              <w:t>谢广胜</w:t>
            </w:r>
          </w:p>
        </w:tc>
        <w:tc>
          <w:tcPr>
            <w:tcW w:w="1274" w:type="dxa"/>
          </w:tcPr>
          <w:p>
            <w:pPr>
              <w:spacing w:before="181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180" w:line="219" w:lineRule="auto"/>
              <w:ind w:left="202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181" w:line="236" w:lineRule="auto"/>
              <w:ind w:left="237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180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spacing w:before="181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2025.1.7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80" w:line="219" w:lineRule="auto"/>
              <w:ind w:left="424"/>
            </w:pPr>
            <w:r>
              <w:rPr>
                <w:spacing w:val="-2"/>
              </w:rPr>
              <w:t>首次发布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32"/>
        </w:trPr>
        <w:tc>
          <w:tcPr>
            <w:tcW w:w="847" w:type="dxa"/>
            <w:tcBorders>
              <w:left w:val="single" w:sz="10" w:space="0" w:color="000000"/>
            </w:tcBorders>
          </w:tcPr>
          <w:p>
            <w:pPr>
              <w:spacing w:before="77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1" w:type="dxa"/>
          </w:tcPr>
          <w:p>
            <w:pPr>
              <w:pStyle w:val="TableText"/>
              <w:spacing w:before="76" w:line="220" w:lineRule="auto"/>
              <w:ind w:left="161"/>
            </w:pPr>
            <w:r>
              <w:rPr>
                <w:spacing w:val="-2"/>
              </w:rPr>
              <w:t>谢广胜</w:t>
            </w:r>
          </w:p>
        </w:tc>
        <w:tc>
          <w:tcPr>
            <w:tcW w:w="1274" w:type="dxa"/>
          </w:tcPr>
          <w:p>
            <w:pPr>
              <w:spacing w:before="77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77" w:line="219" w:lineRule="auto"/>
              <w:ind w:left="202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77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76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spacing w:before="77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76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51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81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V1.2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250"/>
            </w:pPr>
            <w:r>
              <w:rPr>
                <w:spacing w:val="-3"/>
              </w:rPr>
              <w:t>杨洁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294"/>
            </w:pPr>
            <w:r>
              <w:rPr>
                <w:spacing w:val="-3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55" w:right="1437" w:bottom="1980" w:left="1438" w:header="803" w:footer="1164" w:gutter="0"/>
          <w:cols w:space="720"/>
        </w:sectPr>
      </w:pPr>
    </w:p>
    <w:p>
      <w:pPr>
        <w:pStyle w:val="BodyText"/>
        <w:spacing w:line="282" w:lineRule="auto"/>
      </w:pPr>
    </w:p>
    <w:p>
      <w:pPr>
        <w:pStyle w:val="BodyText"/>
        <w:spacing w:line="282" w:lineRule="auto"/>
      </w:pPr>
    </w:p>
    <w:p>
      <w:pPr>
        <w:pStyle w:val="BodyText"/>
        <w:spacing w:line="282" w:lineRule="auto"/>
      </w:pPr>
    </w:p>
    <w:p>
      <w:pPr>
        <w:pStyle w:val="BodyText"/>
        <w:spacing w:line="282" w:lineRule="auto"/>
      </w:pPr>
    </w:p>
    <w:sdt>
      <w:sdtPr>
        <w:rPr>
          <w:rFonts w:ascii="SimSun" w:eastAsia="SimSun" w:hAnsi="SimSun" w:cs="SimSun"/>
          <w:sz w:val="31"/>
          <w:szCs w:val="31"/>
        </w:rPr>
        <w:id w:val="178530756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sz w:val="28"/>
          <w:szCs w:val="28"/>
        </w:rPr>
      </w:sdtEndPr>
      <w:sdtContent>
        <w:p>
          <w:pPr>
            <w:spacing w:before="101" w:line="227" w:lineRule="auto"/>
            <w:ind w:left="3921"/>
            <w:rPr>
              <w:rFonts w:ascii="SimSun" w:eastAsia="SimSun" w:hAnsi="SimSun" w:cs="SimSun"/>
              <w:sz w:val="31"/>
              <w:szCs w:val="31"/>
            </w:rPr>
          </w:pPr>
          <w:r>
            <w:rPr>
              <w:rFonts w:ascii="SimSun" w:eastAsia="SimSun" w:hAnsi="SimSun" w:cs="SimSun"/>
              <w:spacing w:val="-14"/>
              <w:sz w:val="31"/>
              <w:szCs w:val="31"/>
            </w:rPr>
            <w:t>目录</w:t>
          </w:r>
        </w:p>
        <w:p>
          <w:pPr>
            <w:pStyle w:val="BodyText"/>
            <w:spacing w:line="282" w:lineRule="auto"/>
          </w:pPr>
        </w:p>
        <w:p>
          <w:pPr>
            <w:pStyle w:val="BodyText"/>
            <w:spacing w:line="282" w:lineRule="auto"/>
          </w:pPr>
        </w:p>
        <w:p>
          <w:pPr>
            <w:pStyle w:val="BodyText"/>
            <w:spacing w:line="282" w:lineRule="auto"/>
          </w:pPr>
        </w:p>
        <w:p>
          <w:pPr>
            <w:pStyle w:val="BodyText"/>
            <w:spacing w:line="283" w:lineRule="auto"/>
          </w:pPr>
        </w:p>
        <w:p>
          <w:pPr>
            <w:pStyle w:val="BodyText"/>
            <w:spacing w:line="283" w:lineRule="auto"/>
          </w:pPr>
        </w:p>
        <w:p>
          <w:pPr>
            <w:pStyle w:val="BodyText"/>
            <w:tabs>
              <w:tab w:val="right" w:leader="dot" w:pos="8312"/>
            </w:tabs>
            <w:spacing w:before="91" w:line="205" w:lineRule="auto"/>
            <w:ind w:left="34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Calibri" w:eastAsia="Calibri" w:hAnsi="Calibri" w:cs="Calibri"/>
              <w:b/>
              <w:bCs/>
              <w:spacing w:val="-31"/>
              <w:sz w:val="28"/>
              <w:szCs w:val="28"/>
            </w:rPr>
            <w:t>1</w:t>
          </w:r>
          <w:r>
            <w:rPr>
              <w:rFonts w:ascii="Calibri" w:eastAsia="Calibri" w:hAnsi="Calibri" w:cs="Calibri"/>
              <w:b/>
              <w:bCs/>
              <w:spacing w:val="5"/>
              <w:sz w:val="28"/>
              <w:szCs w:val="28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31"/>
              <w:sz w:val="28"/>
              <w:szCs w:val="28"/>
            </w:rPr>
            <w:t>目的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rPr>
              <w:spacing w:val="7"/>
              <w:sz w:val="28"/>
              <w:szCs w:val="28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312" w:line="198" w:lineRule="auto"/>
            <w:ind w:left="22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spacing w:val="-7"/>
              <w:sz w:val="28"/>
              <w:szCs w:val="28"/>
            </w:rPr>
            <w:t>2</w:t>
          </w:r>
          <w:r>
            <w:rPr>
              <w:spacing w:val="16"/>
              <w:sz w:val="28"/>
              <w:szCs w:val="28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适用范围</w:t>
          </w:r>
          <w:r>
            <w:rPr>
              <w:rFonts w:ascii="FangSong" w:eastAsia="FangSong" w:hAnsi="FangSong" w:cs="FangSong"/>
              <w:spacing w:val="-7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spacing w:val="7"/>
              <w:sz w:val="28"/>
              <w:szCs w:val="28"/>
            </w:rPr>
            <w:t>4</w:t>
          </w:r>
        </w:p>
        <w:p>
          <w:pPr>
            <w:pStyle w:val="BodyText"/>
            <w:tabs>
              <w:tab w:val="right" w:leader="dot" w:pos="8312"/>
            </w:tabs>
            <w:spacing w:before="323" w:line="198" w:lineRule="auto"/>
            <w:ind w:left="25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b/>
              <w:bCs/>
              <w:spacing w:val="-11"/>
              <w:sz w:val="28"/>
              <w:szCs w:val="28"/>
            </w:rPr>
            <w:t>3</w:t>
          </w:r>
          <w:r>
            <w:rPr>
              <w:b/>
              <w:bCs/>
              <w:spacing w:val="16"/>
              <w:sz w:val="28"/>
              <w:szCs w:val="28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11"/>
              <w:sz w:val="28"/>
              <w:szCs w:val="28"/>
            </w:rPr>
            <w:t>职责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fldChar w:fldCharType="end"/>
          </w:r>
          <w:r>
            <w:rPr>
              <w:spacing w:val="7"/>
              <w:sz w:val="28"/>
              <w:szCs w:val="28"/>
            </w:rPr>
            <w:t>4</w:t>
          </w:r>
        </w:p>
        <w:p>
          <w:pPr>
            <w:pStyle w:val="BodyText"/>
            <w:tabs>
              <w:tab w:val="right" w:leader="dot" w:pos="8312"/>
            </w:tabs>
            <w:spacing w:before="324" w:line="198" w:lineRule="auto"/>
            <w:ind w:left="19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b/>
              <w:bCs/>
              <w:spacing w:val="-7"/>
              <w:sz w:val="28"/>
              <w:szCs w:val="28"/>
            </w:rPr>
            <w:t>4</w:t>
          </w:r>
          <w:r>
            <w:rPr>
              <w:b/>
              <w:bCs/>
              <w:spacing w:val="17"/>
              <w:sz w:val="28"/>
              <w:szCs w:val="28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控制要求</w:t>
          </w:r>
          <w:r>
            <w:rPr>
              <w:rFonts w:ascii="FangSong" w:eastAsia="FangSong" w:hAnsi="FangSong" w:cs="FangSong"/>
              <w:spacing w:val="-7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spacing w:val="7"/>
              <w:sz w:val="28"/>
              <w:szCs w:val="28"/>
            </w:rPr>
            <w:t>4</w:t>
          </w:r>
        </w:p>
        <w:p>
          <w:pPr>
            <w:pStyle w:val="BodyText"/>
            <w:tabs>
              <w:tab w:val="right" w:leader="dot" w:pos="8312"/>
            </w:tabs>
            <w:spacing w:before="323" w:line="198" w:lineRule="auto"/>
            <w:ind w:left="438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spacing w:val="-2"/>
              <w:sz w:val="28"/>
              <w:szCs w:val="28"/>
            </w:rPr>
            <w:t xml:space="preserve">4.1      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纠正措施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94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324" w:line="198" w:lineRule="auto"/>
            <w:ind w:left="858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spacing w:val="-2"/>
              <w:sz w:val="28"/>
              <w:szCs w:val="28"/>
            </w:rPr>
            <w:t xml:space="preserve">4.1.2  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识别不合格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94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324" w:line="198" w:lineRule="auto"/>
            <w:ind w:left="858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spacing w:val="-1"/>
              <w:sz w:val="28"/>
              <w:szCs w:val="28"/>
            </w:rPr>
            <w:t xml:space="preserve">4.1.3  </w:t>
          </w:r>
          <w:r>
            <w:rPr>
              <w:rFonts w:ascii="FangSong" w:eastAsia="FangSong" w:hAnsi="FangSong" w:cs="FangSong"/>
              <w:spacing w:val="-1"/>
              <w:sz w:val="28"/>
              <w:szCs w:val="28"/>
            </w:rPr>
            <w:t>原因分析、措施制定、实施与验证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6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324" w:line="198" w:lineRule="auto"/>
            <w:ind w:left="858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spacing w:val="-1"/>
              <w:sz w:val="28"/>
              <w:szCs w:val="28"/>
            </w:rPr>
            <w:t xml:space="preserve">4.1.4  </w:t>
          </w:r>
          <w:r>
            <w:rPr>
              <w:rFonts w:ascii="FangSong" w:eastAsia="FangSong" w:hAnsi="FangSong" w:cs="FangSong"/>
              <w:spacing w:val="-1"/>
              <w:sz w:val="28"/>
              <w:szCs w:val="28"/>
            </w:rPr>
            <w:t>评审所采取的纠正措施</w:t>
          </w:r>
          <w:r>
            <w:rPr>
              <w:rFonts w:ascii="FangSong" w:eastAsia="FangSong" w:hAnsi="FangSong" w:cs="FangSong"/>
              <w:spacing w:val="-6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6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323" w:line="198" w:lineRule="auto"/>
            <w:ind w:left="438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spacing w:val="-2"/>
              <w:sz w:val="28"/>
              <w:szCs w:val="28"/>
            </w:rPr>
            <w:t xml:space="preserve">4.2      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预防措施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6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324" w:line="198" w:lineRule="auto"/>
            <w:ind w:left="438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spacing w:val="-2"/>
              <w:sz w:val="28"/>
              <w:szCs w:val="28"/>
            </w:rPr>
            <w:t xml:space="preserve">4.3      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纠正和预防措施状况</w:t>
          </w:r>
          <w:r>
            <w:rPr>
              <w:rFonts w:ascii="FangSong" w:eastAsia="FangSong" w:hAnsi="FangSong" w:cs="FangSong"/>
              <w:spacing w:val="-5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7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6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324" w:line="231" w:lineRule="auto"/>
            <w:ind w:left="26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b/>
              <w:bCs/>
              <w:spacing w:val="-8"/>
              <w:sz w:val="28"/>
              <w:szCs w:val="28"/>
            </w:rPr>
            <w:t>5</w:t>
          </w:r>
          <w:r>
            <w:rPr>
              <w:b/>
              <w:bCs/>
              <w:spacing w:val="17"/>
              <w:sz w:val="28"/>
              <w:szCs w:val="28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8"/>
              <w:sz w:val="28"/>
              <w:szCs w:val="28"/>
            </w:rPr>
            <w:t>相关记录</w:t>
          </w:r>
          <w:r>
            <w:rPr>
              <w:rFonts w:ascii="FangSong" w:eastAsia="FangSong" w:hAnsi="FangSong" w:cs="FangSong"/>
              <w:spacing w:val="-8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spacing w:val="7"/>
              <w:sz w:val="28"/>
              <w:szCs w:val="28"/>
            </w:rPr>
            <w:t>6</w:t>
          </w:r>
        </w:p>
      </w:sdtContent>
    </w:sdt>
    <w:p>
      <w:pPr>
        <w:spacing w:line="231" w:lineRule="auto"/>
        <w:rPr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1855" w:right="1785" w:bottom="1980" w:left="1785" w:header="803" w:footer="1165" w:gutter="0"/>
          <w:cols w:space="720"/>
        </w:sectPr>
      </w:pPr>
    </w:p>
    <w:p>
      <w:pPr>
        <w:spacing w:before="131"/>
        <w:ind w:left="51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"/>
      <w:bookmarkEnd w:id="0"/>
      <w:r>
        <w:rPr>
          <w:rFonts w:ascii="Times New Roman" w:eastAsia="Times New Roman" w:hAnsi="Times New Roman" w:cs="Times New Roman"/>
          <w:spacing w:val="-17"/>
          <w:sz w:val="31"/>
          <w:szCs w:val="31"/>
        </w:rPr>
        <w:t>1</w:t>
      </w:r>
      <w:r>
        <w:rPr>
          <w:rFonts w:ascii="Times New Roman" w:eastAsia="Times New Roman" w:hAnsi="Times New Roman" w:cs="Times New Roman"/>
          <w:spacing w:val="1"/>
          <w:sz w:val="31"/>
          <w:szCs w:val="31"/>
        </w:rPr>
        <w:t xml:space="preserve">    </w:t>
      </w:r>
      <w:r>
        <w:rPr>
          <w:rFonts w:ascii="SimHei" w:eastAsia="SimHei" w:hAnsi="SimHei" w:cs="SimHei"/>
          <w:spacing w:val="-17"/>
          <w:sz w:val="31"/>
          <w:szCs w:val="31"/>
        </w:rPr>
        <w:t>目的</w:t>
      </w:r>
    </w:p>
    <w:p>
      <w:pPr>
        <w:spacing w:before="183" w:line="360" w:lineRule="auto"/>
        <w:ind w:left="41" w:right="40" w:firstLine="35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采取措施，以消除不合格的原因，防止不合格的再发生；或确定措施，以消</w:t>
      </w:r>
      <w:r>
        <w:rPr>
          <w:rFonts w:ascii="FangSong" w:eastAsia="FangSong" w:hAnsi="FangSong" w:cs="FangSong"/>
          <w:spacing w:val="-3"/>
          <w:sz w:val="24"/>
          <w:szCs w:val="24"/>
        </w:rPr>
        <w:t>除潜在不合格的原因，防止不合格的发生。</w:t>
      </w:r>
    </w:p>
    <w:p>
      <w:pPr>
        <w:spacing w:before="37"/>
        <w:ind w:left="21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2"/>
      <w:bookmarkEnd w:id="1"/>
      <w:r>
        <w:rPr>
          <w:rFonts w:ascii="Times New Roman" w:eastAsia="Times New Roman" w:hAnsi="Times New Roman" w:cs="Times New Roman"/>
          <w:spacing w:val="4"/>
          <w:sz w:val="31"/>
          <w:szCs w:val="31"/>
        </w:rPr>
        <w:t>2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</w:t>
      </w:r>
      <w:r>
        <w:rPr>
          <w:rFonts w:ascii="SimHei" w:eastAsia="SimHei" w:hAnsi="SimHei" w:cs="SimHei"/>
          <w:spacing w:val="4"/>
          <w:sz w:val="31"/>
          <w:szCs w:val="31"/>
        </w:rPr>
        <w:t>适用范围</w:t>
      </w:r>
    </w:p>
    <w:p>
      <w:pPr>
        <w:spacing w:before="182" w:line="362" w:lineRule="auto"/>
        <w:ind w:left="37" w:right="160" w:firstLine="47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适用于公司在质量管理中，对已发生的不合格采取纠正措施，或对潜在不</w:t>
      </w:r>
      <w:r>
        <w:rPr>
          <w:rFonts w:ascii="FangSong" w:eastAsia="FangSong" w:hAnsi="FangSong" w:cs="FangSong"/>
          <w:spacing w:val="-5"/>
          <w:sz w:val="24"/>
          <w:szCs w:val="24"/>
        </w:rPr>
        <w:t>合格所采取的预防措施。</w:t>
      </w:r>
    </w:p>
    <w:p>
      <w:pPr>
        <w:spacing w:before="34" w:line="238" w:lineRule="auto"/>
        <w:ind w:left="27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3"/>
      <w:bookmarkEnd w:id="2"/>
      <w:r>
        <w:rPr>
          <w:rFonts w:ascii="Times New Roman" w:eastAsia="Times New Roman" w:hAnsi="Times New Roman" w:cs="Times New Roman"/>
          <w:spacing w:val="-1"/>
          <w:sz w:val="31"/>
          <w:szCs w:val="31"/>
        </w:rPr>
        <w:t>3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</w:t>
      </w:r>
      <w:r>
        <w:rPr>
          <w:rFonts w:ascii="SimHei" w:eastAsia="SimHei" w:hAnsi="SimHei" w:cs="SimHei"/>
          <w:spacing w:val="-1"/>
          <w:sz w:val="31"/>
          <w:szCs w:val="31"/>
        </w:rPr>
        <w:t>职责</w:t>
      </w:r>
    </w:p>
    <w:p>
      <w:pPr>
        <w:spacing w:before="186" w:line="312" w:lineRule="auto"/>
        <w:ind w:left="29" w:right="159" w:hanging="1"/>
        <w:rPr>
          <w:rFonts w:ascii="FangSong" w:eastAsia="FangSong" w:hAnsi="FangSong" w:cs="FangSong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3.1 </w:t>
      </w:r>
      <w:r>
        <w:rPr>
          <w:rFonts w:ascii="FangSong" w:eastAsia="FangSong" w:hAnsi="FangSong" w:cs="FangSong"/>
          <w:sz w:val="24"/>
          <w:szCs w:val="24"/>
        </w:rPr>
        <w:t>综合管理部质量管理组负责组织对管理</w:t>
      </w:r>
      <w:r>
        <w:rPr>
          <w:rFonts w:ascii="FangSong" w:eastAsia="FangSong" w:hAnsi="FangSong" w:cs="FangSong"/>
          <w:spacing w:val="-1"/>
          <w:sz w:val="24"/>
          <w:szCs w:val="24"/>
        </w:rPr>
        <w:t>体系纠正和预防措施实施情况的监</w:t>
      </w:r>
      <w:r>
        <w:rPr>
          <w:rFonts w:ascii="FangSong" w:eastAsia="FangSong" w:hAnsi="FangSong" w:cs="FangSong"/>
          <w:spacing w:val="-1"/>
          <w:sz w:val="24"/>
          <w:szCs w:val="24"/>
        </w:rPr>
        <w:t>督检查。负责组织在项目质量管理方面的纠正和预防措施的控制。当出现问题</w:t>
      </w:r>
      <w:r>
        <w:rPr>
          <w:rFonts w:ascii="FangSong" w:eastAsia="FangSong" w:hAnsi="FangSong" w:cs="FangSong"/>
          <w:spacing w:val="-2"/>
          <w:sz w:val="24"/>
          <w:szCs w:val="24"/>
        </w:rPr>
        <w:t>和存在潜在问题时要求制定相应的纠正和预防措施，并跟踪验证实施效果。</w:t>
      </w:r>
    </w:p>
    <w:p>
      <w:pPr>
        <w:spacing w:before="188" w:line="289" w:lineRule="auto"/>
        <w:ind w:left="34" w:right="160" w:hanging="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3.2</w:t>
      </w:r>
      <w:r>
        <w:rPr>
          <w:rFonts w:ascii="FangSong" w:eastAsia="FangSong" w:hAnsi="FangSong" w:cs="FangSong"/>
          <w:sz w:val="24"/>
          <w:szCs w:val="24"/>
        </w:rPr>
        <w:t xml:space="preserve"> </w:t>
      </w:r>
      <w:r>
        <w:rPr>
          <w:rFonts w:ascii="FangSong" w:eastAsia="FangSong" w:hAnsi="FangSong" w:cs="FangSong"/>
          <w:sz w:val="24"/>
          <w:szCs w:val="24"/>
        </w:rPr>
        <w:t>各部门负责分管范围内相应的纠正和预</w:t>
      </w:r>
      <w:r>
        <w:rPr>
          <w:rFonts w:ascii="FangSong" w:eastAsia="FangSong" w:hAnsi="FangSong" w:cs="FangSong"/>
          <w:spacing w:val="-1"/>
          <w:sz w:val="24"/>
          <w:szCs w:val="24"/>
        </w:rPr>
        <w:t>防措施的控制和实施，并跟踪验证</w:t>
      </w:r>
      <w:r>
        <w:rPr>
          <w:rFonts w:ascii="FangSong" w:eastAsia="FangSong" w:hAnsi="FangSong" w:cs="FangSong"/>
          <w:spacing w:val="-9"/>
          <w:sz w:val="24"/>
          <w:szCs w:val="24"/>
        </w:rPr>
        <w:t>实施效果。</w:t>
      </w:r>
    </w:p>
    <w:p>
      <w:pPr>
        <w:spacing w:before="185" w:line="217" w:lineRule="auto"/>
        <w:ind w:left="27"/>
        <w:rPr>
          <w:rFonts w:ascii="SimSun" w:eastAsia="SimSun" w:hAnsi="SimSun" w:cs="SimSun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3.3</w:t>
      </w:r>
      <w:r>
        <w:rPr>
          <w:rFonts w:ascii="FangSong" w:eastAsia="FangSong" w:hAnsi="FangSong" w:cs="FangSong"/>
          <w:spacing w:val="-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管理者代表监督、协调纠正和预防措施的实施</w:t>
      </w:r>
      <w:r>
        <w:rPr>
          <w:rFonts w:ascii="SimSun" w:eastAsia="SimSun" w:hAnsi="SimSun" w:cs="SimSun"/>
          <w:spacing w:val="-1"/>
          <w:sz w:val="24"/>
          <w:szCs w:val="24"/>
        </w:rPr>
        <w:t>。</w:t>
      </w:r>
    </w:p>
    <w:p>
      <w:pPr>
        <w:spacing w:before="224" w:line="239" w:lineRule="auto"/>
        <w:ind w:left="19"/>
        <w:outlineLvl w:val="0"/>
        <w:rPr>
          <w:rFonts w:ascii="SimHei" w:eastAsia="SimHei" w:hAnsi="SimHei" w:cs="SimHei"/>
          <w:sz w:val="31"/>
          <w:szCs w:val="31"/>
        </w:rPr>
      </w:pPr>
      <w:bookmarkStart w:id="3" w:name="bookmark4"/>
      <w:bookmarkEnd w:id="3"/>
      <w:r>
        <w:rPr>
          <w:rFonts w:ascii="Times New Roman" w:eastAsia="Times New Roman" w:hAnsi="Times New Roman" w:cs="Times New Roman"/>
          <w:spacing w:val="5"/>
          <w:sz w:val="31"/>
          <w:szCs w:val="31"/>
        </w:rPr>
        <w:t>4</w:t>
      </w:r>
      <w:r>
        <w:rPr>
          <w:rFonts w:ascii="Times New Roman" w:eastAsia="Times New Roman" w:hAnsi="Times New Roman" w:cs="Times New Roman"/>
          <w:spacing w:val="13"/>
          <w:sz w:val="31"/>
          <w:szCs w:val="31"/>
        </w:rPr>
        <w:t xml:space="preserve">   </w:t>
      </w:r>
      <w:r>
        <w:rPr>
          <w:rFonts w:ascii="SimHei" w:eastAsia="SimHei" w:hAnsi="SimHei" w:cs="SimHei"/>
          <w:spacing w:val="5"/>
          <w:sz w:val="31"/>
          <w:szCs w:val="31"/>
        </w:rPr>
        <w:t>控制要求</w:t>
      </w:r>
    </w:p>
    <w:p>
      <w:pPr>
        <w:spacing w:before="243" w:line="218" w:lineRule="auto"/>
        <w:ind w:left="24"/>
        <w:outlineLvl w:val="1"/>
        <w:rPr>
          <w:rFonts w:ascii="FangSong" w:eastAsia="FangSong" w:hAnsi="FangSong" w:cs="FangSong"/>
          <w:sz w:val="28"/>
          <w:szCs w:val="28"/>
        </w:rPr>
      </w:pPr>
      <w:bookmarkStart w:id="4" w:name="bookmark5"/>
      <w:bookmarkEnd w:id="4"/>
      <w:r>
        <w:rPr>
          <w:rFonts w:ascii="SimSun" w:eastAsia="SimSun" w:hAnsi="SimSun" w:cs="SimSun"/>
          <w:b/>
          <w:bCs/>
          <w:spacing w:val="-7"/>
          <w:sz w:val="28"/>
          <w:szCs w:val="28"/>
        </w:rPr>
        <w:t>4.1</w:t>
      </w:r>
      <w:r>
        <w:rPr>
          <w:rFonts w:ascii="SimSun" w:eastAsia="SimSun" w:hAnsi="SimSun" w:cs="SimSun"/>
          <w:spacing w:val="7"/>
          <w:sz w:val="28"/>
          <w:szCs w:val="28"/>
        </w:rPr>
        <w:t xml:space="preserve">   </w:t>
      </w: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纠正措施</w:t>
      </w:r>
    </w:p>
    <w:p>
      <w:pPr>
        <w:spacing w:before="235" w:line="361" w:lineRule="auto"/>
        <w:ind w:left="32" w:right="160" w:hanging="10"/>
        <w:rPr>
          <w:rFonts w:ascii="FangSong" w:eastAsia="FangSong" w:hAnsi="FangSong" w:cs="FangSong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4.1.1 </w:t>
      </w:r>
      <w:r>
        <w:rPr>
          <w:rFonts w:ascii="FangSong" w:eastAsia="FangSong" w:hAnsi="FangSong" w:cs="FangSong"/>
          <w:sz w:val="24"/>
          <w:szCs w:val="24"/>
        </w:rPr>
        <w:t>对于已存在的不合格应采取纠正措施，以消除不</w:t>
      </w:r>
      <w:r>
        <w:rPr>
          <w:rFonts w:ascii="FangSong" w:eastAsia="FangSong" w:hAnsi="FangSong" w:cs="FangSong"/>
          <w:spacing w:val="-1"/>
          <w:sz w:val="24"/>
          <w:szCs w:val="24"/>
        </w:rPr>
        <w:t>合格原因，防止不合格</w:t>
      </w:r>
      <w:r>
        <w:rPr>
          <w:rFonts w:ascii="FangSong" w:eastAsia="FangSong" w:hAnsi="FangSong" w:cs="FangSong"/>
          <w:spacing w:val="-2"/>
          <w:sz w:val="24"/>
          <w:szCs w:val="24"/>
        </w:rPr>
        <w:t>再发生，纠正措施应与所遇到的问题的影响程度相适应。</w:t>
      </w:r>
    </w:p>
    <w:p>
      <w:pPr>
        <w:spacing w:before="55" w:line="219" w:lineRule="auto"/>
        <w:ind w:left="22"/>
        <w:outlineLvl w:val="2"/>
        <w:rPr>
          <w:rFonts w:ascii="FangSong" w:eastAsia="FangSong" w:hAnsi="FangSong" w:cs="FangSong"/>
          <w:sz w:val="28"/>
          <w:szCs w:val="28"/>
        </w:rPr>
      </w:pPr>
      <w:bookmarkStart w:id="5" w:name="bookmark6"/>
      <w:bookmarkEnd w:id="5"/>
      <w:r>
        <w:rPr>
          <w:rFonts w:ascii="SimSun" w:eastAsia="SimSun" w:hAnsi="SimSun" w:cs="SimSun"/>
          <w:b/>
          <w:bCs/>
          <w:spacing w:val="-5"/>
          <w:sz w:val="24"/>
          <w:szCs w:val="24"/>
        </w:rPr>
        <w:t>4.1.2</w:t>
      </w:r>
      <w:r>
        <w:rPr>
          <w:rFonts w:ascii="SimSun" w:eastAsia="SimSun" w:hAnsi="SimSun" w:cs="SimSun"/>
          <w:spacing w:val="24"/>
          <w:sz w:val="24"/>
          <w:szCs w:val="24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识别不合格</w:t>
      </w:r>
    </w:p>
    <w:p>
      <w:pPr>
        <w:spacing w:before="234" w:line="217" w:lineRule="auto"/>
        <w:ind w:left="3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对质量管理各过程输出的信息进行识别：</w:t>
      </w:r>
    </w:p>
    <w:p>
      <w:pPr>
        <w:spacing w:before="187" w:line="217" w:lineRule="auto"/>
        <w:ind w:left="3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（1）过程、运维服务质量出现重大问题，</w:t>
      </w:r>
      <w:r>
        <w:rPr>
          <w:rFonts w:ascii="FangSong" w:eastAsia="FangSong" w:hAnsi="FangSong" w:cs="FangSong"/>
          <w:spacing w:val="-3"/>
          <w:sz w:val="24"/>
          <w:szCs w:val="24"/>
        </w:rPr>
        <w:t>或超过公司规定值时；</w:t>
      </w:r>
    </w:p>
    <w:p>
      <w:pPr>
        <w:spacing w:before="185" w:line="217" w:lineRule="auto"/>
        <w:ind w:left="3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（2）管理评审发现不符合时；</w:t>
      </w:r>
    </w:p>
    <w:p>
      <w:pPr>
        <w:spacing w:before="187" w:line="217" w:lineRule="auto"/>
        <w:ind w:left="3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（3）顾客对运维服务质量投诉时；</w:t>
      </w:r>
    </w:p>
    <w:p>
      <w:pPr>
        <w:spacing w:before="185" w:line="218" w:lineRule="auto"/>
        <w:ind w:left="3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（4）内部审核发现不合格时；</w:t>
      </w:r>
    </w:p>
    <w:p>
      <w:pPr>
        <w:spacing w:before="185" w:line="218" w:lineRule="auto"/>
        <w:ind w:left="3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（5）供方产品或服务出现严重不合格；</w:t>
      </w:r>
    </w:p>
    <w:p>
      <w:pPr>
        <w:spacing w:before="184" w:line="217" w:lineRule="auto"/>
        <w:ind w:left="3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（6）其他不符合管理方针、目标，或管理体系文件要求时。</w:t>
      </w:r>
    </w:p>
    <w:p>
      <w:pPr>
        <w:spacing w:line="217" w:lineRule="auto"/>
        <w:rPr>
          <w:rFonts w:ascii="FangSong" w:eastAsia="FangSong" w:hAnsi="FangSong" w:cs="FangSong"/>
          <w:sz w:val="24"/>
          <w:szCs w:val="24"/>
        </w:rPr>
        <w:sectPr>
          <w:footerReference w:type="default" r:id="rId10"/>
          <w:pgSz w:w="11907" w:h="16839"/>
          <w:pgMar w:top="1855" w:right="1785" w:bottom="1980" w:left="1785" w:header="803" w:footer="1164" w:gutter="0"/>
          <w:cols w:space="720"/>
        </w:sectPr>
      </w:pPr>
    </w:p>
    <w:p>
      <w:pPr>
        <w:spacing w:before="152" w:line="218" w:lineRule="auto"/>
        <w:ind w:left="22"/>
        <w:outlineLvl w:val="2"/>
        <w:rPr>
          <w:rFonts w:ascii="FangSong" w:eastAsia="FangSong" w:hAnsi="FangSong" w:cs="FangSong"/>
          <w:sz w:val="28"/>
          <w:szCs w:val="28"/>
        </w:rPr>
      </w:pPr>
      <w:bookmarkStart w:id="6" w:name="bookmark7"/>
      <w:bookmarkEnd w:id="6"/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4.1.3</w:t>
      </w:r>
      <w:r>
        <w:rPr>
          <w:rFonts w:ascii="SimSun" w:eastAsia="SimSun" w:hAnsi="SimSun" w:cs="SimSun"/>
          <w:spacing w:val="-3"/>
          <w:sz w:val="24"/>
          <w:szCs w:val="24"/>
        </w:rPr>
        <w:t xml:space="preserve">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原因分析、措施制定、实施与验证</w:t>
      </w:r>
    </w:p>
    <w:p>
      <w:pPr>
        <w:spacing w:before="235" w:line="217" w:lineRule="auto"/>
        <w:ind w:left="3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可采用统计技术或试验的方法来确定主要原因。</w:t>
      </w:r>
    </w:p>
    <w:p>
      <w:pPr>
        <w:spacing w:before="183" w:line="332" w:lineRule="auto"/>
        <w:ind w:left="5" w:right="12" w:firstLine="2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（1）对过程、运维服务质量出现重大问题，或超过公司规定值时,管理评审</w:t>
      </w:r>
      <w:r>
        <w:rPr>
          <w:rFonts w:ascii="FangSong" w:eastAsia="FangSong" w:hAnsi="FangSong" w:cs="FangSong"/>
          <w:spacing w:val="-4"/>
          <w:sz w:val="24"/>
          <w:szCs w:val="24"/>
        </w:rPr>
        <w:t>发现</w:t>
      </w:r>
      <w:r>
        <w:rPr>
          <w:rFonts w:ascii="FangSong" w:eastAsia="FangSong" w:hAnsi="FangSong" w:cs="FangSong"/>
          <w:sz w:val="24"/>
          <w:szCs w:val="24"/>
        </w:rPr>
        <w:t>不合格时,其他不符合管理目标或管理体系文件要求时，由综合管理部质量管理</w:t>
      </w:r>
      <w:r>
        <w:rPr>
          <w:rFonts w:ascii="FangSong" w:eastAsia="FangSong" w:hAnsi="FangSong" w:cs="FangSong"/>
          <w:spacing w:val="-3"/>
          <w:sz w:val="24"/>
          <w:szCs w:val="24"/>
        </w:rPr>
        <w:t>组填写《纠正措施记录》中“不合格事实”栏，确定责任部门。由责任部门填写</w:t>
      </w:r>
      <w:r>
        <w:rPr>
          <w:rFonts w:ascii="FangSong" w:eastAsia="FangSong" w:hAnsi="FangSong" w:cs="FangSong"/>
          <w:sz w:val="24"/>
          <w:szCs w:val="24"/>
        </w:rPr>
        <w:t>“原因分析”栏，制定纠正措施并实施，综合管理部或综合管理部质量管理组</w:t>
      </w:r>
      <w:r>
        <w:rPr>
          <w:rFonts w:ascii="FangSong" w:eastAsia="FangSong" w:hAnsi="FangSong" w:cs="FangSong"/>
          <w:spacing w:val="-5"/>
          <w:sz w:val="24"/>
          <w:szCs w:val="24"/>
        </w:rPr>
        <w:t>跟踪验证实施效果；</w:t>
      </w:r>
    </w:p>
    <w:p>
      <w:pPr>
        <w:spacing w:before="186" w:line="311" w:lineRule="auto"/>
        <w:ind w:left="31" w:right="12" w:hanging="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（2）顾客对运维服务质量投诉时，由综合</w:t>
      </w:r>
      <w:r>
        <w:rPr>
          <w:rFonts w:ascii="FangSong" w:eastAsia="FangSong" w:hAnsi="FangSong" w:cs="FangSong"/>
          <w:spacing w:val="-1"/>
          <w:sz w:val="24"/>
          <w:szCs w:val="24"/>
        </w:rPr>
        <w:t>管理部质量管理组填写《纠正措施记</w:t>
      </w:r>
      <w:r>
        <w:rPr>
          <w:rFonts w:ascii="FangSong" w:eastAsia="FangSong" w:hAnsi="FangSong" w:cs="FangSong"/>
          <w:spacing w:val="-5"/>
          <w:sz w:val="24"/>
          <w:szCs w:val="24"/>
        </w:rPr>
        <w:t>录》中“不合格事实”栏，由责任部门分析原因、制定纠正措施并实施，</w:t>
      </w:r>
      <w:r>
        <w:rPr>
          <w:rFonts w:ascii="FangSong" w:eastAsia="FangSong" w:hAnsi="FangSong" w:cs="FangSong"/>
          <w:spacing w:val="-5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综合管</w:t>
      </w:r>
      <w:r>
        <w:rPr>
          <w:rFonts w:ascii="FangSong" w:eastAsia="FangSong" w:hAnsi="FangSong" w:cs="FangSong"/>
          <w:spacing w:val="-2"/>
          <w:sz w:val="24"/>
          <w:szCs w:val="24"/>
        </w:rPr>
        <w:t>理部质量管理组跟踪验证实施效果，并及时转告顾客</w:t>
      </w:r>
      <w:r>
        <w:rPr>
          <w:rFonts w:ascii="FangSong" w:eastAsia="FangSong" w:hAnsi="FangSong" w:cs="FangSong"/>
          <w:spacing w:val="-3"/>
          <w:sz w:val="24"/>
          <w:szCs w:val="24"/>
        </w:rPr>
        <w:t>并取得顾客满意；</w:t>
      </w:r>
    </w:p>
    <w:p>
      <w:pPr>
        <w:spacing w:before="188" w:line="289" w:lineRule="auto"/>
        <w:ind w:left="29" w:right="6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（3）对内审发现不合格时，由审核组发出“内审不符合报告”，执</w:t>
      </w:r>
      <w:r>
        <w:rPr>
          <w:rFonts w:ascii="FangSong" w:eastAsia="FangSong" w:hAnsi="FangSong" w:cs="FangSong"/>
          <w:spacing w:val="-2"/>
          <w:sz w:val="24"/>
          <w:szCs w:val="24"/>
        </w:rPr>
        <w:t>行《内部审</w:t>
      </w:r>
      <w:r>
        <w:rPr>
          <w:rFonts w:ascii="FangSong" w:eastAsia="FangSong" w:hAnsi="FangSong" w:cs="FangSong"/>
          <w:spacing w:val="-9"/>
          <w:sz w:val="24"/>
          <w:szCs w:val="24"/>
        </w:rPr>
        <w:t>核控制程序》；</w:t>
      </w:r>
    </w:p>
    <w:p>
      <w:pPr>
        <w:spacing w:before="244" w:line="218" w:lineRule="auto"/>
        <w:ind w:left="22"/>
        <w:outlineLvl w:val="2"/>
        <w:rPr>
          <w:rFonts w:ascii="FangSong" w:eastAsia="FangSong" w:hAnsi="FangSong" w:cs="FangSong"/>
          <w:sz w:val="28"/>
          <w:szCs w:val="28"/>
        </w:rPr>
      </w:pPr>
      <w:bookmarkStart w:id="7" w:name="bookmark8"/>
      <w:bookmarkEnd w:id="7"/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4.1.4</w:t>
      </w:r>
      <w:r>
        <w:rPr>
          <w:rFonts w:ascii="SimSun" w:eastAsia="SimSun" w:hAnsi="SimSun" w:cs="SimSun"/>
          <w:spacing w:val="45"/>
          <w:sz w:val="24"/>
          <w:szCs w:val="24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评审所采取的纠正措施</w:t>
      </w:r>
    </w:p>
    <w:p>
      <w:pPr>
        <w:spacing w:before="236" w:line="312" w:lineRule="auto"/>
        <w:ind w:left="31" w:right="15" w:hanging="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（1）每项纠正措施完成后。该部门负责人对实施效果的有效性进行</w:t>
      </w:r>
      <w:r>
        <w:rPr>
          <w:rFonts w:ascii="FangSong" w:eastAsia="FangSong" w:hAnsi="FangSong" w:cs="FangSong"/>
          <w:spacing w:val="-2"/>
          <w:sz w:val="24"/>
          <w:szCs w:val="24"/>
        </w:rPr>
        <w:t>评审，评审</w:t>
      </w:r>
      <w:r>
        <w:rPr>
          <w:rFonts w:ascii="FangSong" w:eastAsia="FangSong" w:hAnsi="FangSong" w:cs="FangSong"/>
          <w:spacing w:val="-3"/>
          <w:sz w:val="24"/>
          <w:szCs w:val="24"/>
        </w:rPr>
        <w:t>其是否防止类似不合格再发生，并在《纠正措施记录》上</w:t>
      </w:r>
      <w:r>
        <w:rPr>
          <w:rFonts w:ascii="FangSong" w:eastAsia="FangSong" w:hAnsi="FangSong" w:cs="FangSong"/>
          <w:spacing w:val="-4"/>
          <w:sz w:val="24"/>
          <w:szCs w:val="24"/>
        </w:rPr>
        <w:t>签字确认。监督部门对</w:t>
      </w:r>
      <w:r>
        <w:rPr>
          <w:rFonts w:ascii="FangSong" w:eastAsia="FangSong" w:hAnsi="FangSong" w:cs="FangSong"/>
          <w:spacing w:val="-8"/>
          <w:sz w:val="24"/>
          <w:szCs w:val="24"/>
        </w:rPr>
        <w:t>此进行跟踪验证；</w:t>
      </w:r>
    </w:p>
    <w:p>
      <w:pPr>
        <w:spacing w:before="186" w:line="288" w:lineRule="auto"/>
        <w:ind w:left="43" w:right="39" w:hanging="1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（2）当不合格原因是由于管理体系有关文</w:t>
      </w:r>
      <w:r>
        <w:rPr>
          <w:rFonts w:ascii="FangSong" w:eastAsia="FangSong" w:hAnsi="FangSong" w:cs="FangSong"/>
          <w:spacing w:val="-1"/>
          <w:sz w:val="24"/>
          <w:szCs w:val="24"/>
        </w:rPr>
        <w:t>件的不完善所致时，应对相关文件修</w:t>
      </w:r>
      <w:r>
        <w:rPr>
          <w:rFonts w:ascii="FangSong" w:eastAsia="FangSong" w:hAnsi="FangSong" w:cs="FangSong"/>
          <w:spacing w:val="-2"/>
          <w:sz w:val="24"/>
          <w:szCs w:val="24"/>
        </w:rPr>
        <w:t>改的必要性进行评审，并予以实施，执行关于文件更改的有关规定。</w:t>
      </w:r>
    </w:p>
    <w:p>
      <w:pPr>
        <w:pStyle w:val="BodyText"/>
        <w:spacing w:before="246" w:line="232" w:lineRule="auto"/>
        <w:ind w:left="19"/>
        <w:outlineLvl w:val="1"/>
        <w:rPr>
          <w:rFonts w:ascii="FangSong" w:eastAsia="FangSong" w:hAnsi="FangSong" w:cs="FangSong"/>
          <w:sz w:val="28"/>
          <w:szCs w:val="28"/>
        </w:rPr>
      </w:pPr>
      <w:bookmarkStart w:id="8" w:name="bookmark9"/>
      <w:bookmarkEnd w:id="8"/>
      <w:r>
        <w:rPr>
          <w:b/>
          <w:bCs/>
          <w:spacing w:val="2"/>
          <w:sz w:val="28"/>
          <w:szCs w:val="28"/>
        </w:rPr>
        <w:t>4.2</w:t>
      </w:r>
      <w:r>
        <w:rPr>
          <w:rFonts w:ascii="FangSong" w:eastAsia="FangSong" w:hAnsi="FangSong" w:cs="FangSong"/>
          <w:b/>
          <w:bCs/>
          <w:spacing w:val="2"/>
          <w:sz w:val="28"/>
          <w:szCs w:val="28"/>
        </w:rPr>
        <w:t>预防措施</w:t>
      </w:r>
    </w:p>
    <w:p>
      <w:pPr>
        <w:spacing w:before="213" w:line="288" w:lineRule="auto"/>
        <w:ind w:left="43" w:right="160" w:hanging="2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4.2.1</w:t>
      </w:r>
      <w:r>
        <w:rPr>
          <w:rFonts w:ascii="FangSong" w:eastAsia="FangSong" w:hAnsi="FangSong" w:cs="FangSong"/>
          <w:sz w:val="24"/>
          <w:szCs w:val="24"/>
        </w:rPr>
        <w:t xml:space="preserve"> </w:t>
      </w:r>
      <w:r>
        <w:rPr>
          <w:rFonts w:ascii="FangSong" w:eastAsia="FangSong" w:hAnsi="FangSong" w:cs="FangSong"/>
          <w:sz w:val="24"/>
          <w:szCs w:val="24"/>
        </w:rPr>
        <w:t>识别潜在不合格，并采取措施以消除潜在不合格的</w:t>
      </w:r>
      <w:r>
        <w:rPr>
          <w:rFonts w:ascii="FangSong" w:eastAsia="FangSong" w:hAnsi="FangSong" w:cs="FangSong"/>
          <w:spacing w:val="-1"/>
          <w:sz w:val="24"/>
          <w:szCs w:val="24"/>
        </w:rPr>
        <w:t>原因．防止不合格发</w:t>
      </w:r>
      <w:r>
        <w:rPr>
          <w:rFonts w:ascii="FangSong" w:eastAsia="FangSong" w:hAnsi="FangSong" w:cs="FangSong"/>
          <w:spacing w:val="-3"/>
          <w:sz w:val="24"/>
          <w:szCs w:val="24"/>
        </w:rPr>
        <w:t>生，所采取的预防措施应与潜在问题的影响程度相适应。</w:t>
      </w:r>
    </w:p>
    <w:p>
      <w:pPr>
        <w:spacing w:before="189" w:line="215" w:lineRule="auto"/>
        <w:ind w:left="2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4.2.2</w:t>
      </w:r>
      <w:r>
        <w:rPr>
          <w:rFonts w:ascii="FangSong" w:eastAsia="FangSong" w:hAnsi="FangSong" w:cs="FangSong"/>
          <w:spacing w:val="-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识别潜在不合格</w:t>
      </w:r>
    </w:p>
    <w:p>
      <w:pPr>
        <w:spacing w:before="189" w:line="217" w:lineRule="auto"/>
        <w:ind w:left="3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各相关部门要及时重点分析如下记录：</w:t>
      </w:r>
    </w:p>
    <w:p>
      <w:pPr>
        <w:spacing w:before="185" w:line="217" w:lineRule="auto"/>
        <w:ind w:left="3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（1）产品质量统计、供方质量统计、市场分析、顾客满意程度调查与分析等；</w:t>
      </w:r>
    </w:p>
    <w:p>
      <w:pPr>
        <w:spacing w:before="186" w:line="218" w:lineRule="auto"/>
        <w:ind w:left="3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（2）以往的内审报告、管理评审报告；</w:t>
      </w:r>
    </w:p>
    <w:p>
      <w:pPr>
        <w:spacing w:before="184" w:line="217" w:lineRule="auto"/>
        <w:ind w:left="3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（3）纠正、预防、改进措施执行记录等。</w:t>
      </w:r>
    </w:p>
    <w:p>
      <w:pPr>
        <w:spacing w:line="217" w:lineRule="auto"/>
        <w:rPr>
          <w:rFonts w:ascii="FangSong" w:eastAsia="FangSong" w:hAnsi="FangSong" w:cs="FangSong"/>
          <w:sz w:val="24"/>
          <w:szCs w:val="24"/>
        </w:rPr>
        <w:sectPr>
          <w:footerReference w:type="default" r:id="rId11"/>
          <w:pgSz w:w="11907" w:h="16839"/>
          <w:pgMar w:top="1855" w:right="1785" w:bottom="1980" w:left="1785" w:header="803" w:footer="1165" w:gutter="0"/>
          <w:cols w:space="720"/>
        </w:sectPr>
      </w:pPr>
    </w:p>
    <w:p>
      <w:pPr>
        <w:spacing w:before="94" w:line="360" w:lineRule="auto"/>
        <w:ind w:left="35" w:right="40" w:firstLine="359"/>
        <w:jc w:val="both"/>
        <w:rPr>
          <w:rFonts w:ascii="FangSong" w:eastAsia="FangSong" w:hAnsi="FangSong" w:cs="FangSong"/>
          <w:sz w:val="24"/>
          <w:szCs w:val="24"/>
        </w:rPr>
      </w:pPr>
      <w:bookmarkStart w:id="9" w:name="bookmark12"/>
      <w:bookmarkEnd w:id="9"/>
      <w:r>
        <w:rPr>
          <w:rFonts w:ascii="FangSong" w:eastAsia="FangSong" w:hAnsi="FangSong" w:cs="FangSong"/>
          <w:spacing w:val="-1"/>
          <w:sz w:val="24"/>
          <w:szCs w:val="24"/>
        </w:rPr>
        <w:t>通过记录，可以及时了解体系运行的有效性，过程、产品、质量趋势及顾客</w:t>
      </w:r>
      <w:r>
        <w:rPr>
          <w:rFonts w:ascii="FangSong" w:eastAsia="FangSong" w:hAnsi="FangSong" w:cs="FangSong"/>
          <w:spacing w:val="-1"/>
          <w:sz w:val="24"/>
          <w:szCs w:val="24"/>
        </w:rPr>
        <w:t>的要求和期望，并在日常对体系运作的检查和监督过程中，及时收集分析各方</w:t>
      </w:r>
      <w:r>
        <w:rPr>
          <w:rFonts w:ascii="FangSong" w:eastAsia="FangSong" w:hAnsi="FangSong" w:cs="FangSong"/>
          <w:spacing w:val="-7"/>
          <w:sz w:val="24"/>
          <w:szCs w:val="24"/>
        </w:rPr>
        <w:t>面的反馈信息。</w:t>
      </w:r>
    </w:p>
    <w:p>
      <w:pPr>
        <w:spacing w:before="1" w:line="287" w:lineRule="auto"/>
        <w:ind w:left="52" w:right="209" w:hanging="3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4.2.3</w:t>
      </w:r>
      <w:r>
        <w:rPr>
          <w:rFonts w:ascii="FangSong" w:eastAsia="FangSong" w:hAnsi="FangSong" w:cs="FangSong"/>
          <w:spacing w:val="-3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需要时综合管理部质量管理组召集综合管理部质量管理组、运维服务部</w:t>
      </w:r>
      <w:r>
        <w:rPr>
          <w:rFonts w:ascii="FangSong" w:eastAsia="FangSong" w:hAnsi="FangSong" w:cs="FangSong"/>
          <w:spacing w:val="-3"/>
          <w:sz w:val="24"/>
          <w:szCs w:val="24"/>
        </w:rPr>
        <w:t>门召开公司质量分析会，收集和分析相关记录。发现有潜在的不合格事实时，</w:t>
      </w:r>
    </w:p>
    <w:p>
      <w:pPr>
        <w:spacing w:before="186" w:line="325" w:lineRule="auto"/>
        <w:ind w:left="31" w:right="1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根据潜在问题影响程度确定轻重缓急，分析原因，评价防止不合格发生的措施</w:t>
      </w:r>
      <w:r>
        <w:rPr>
          <w:rFonts w:ascii="FangSong" w:eastAsia="FangSong" w:hAnsi="FangSong" w:cs="FangSong"/>
          <w:spacing w:val="-4"/>
          <w:sz w:val="24"/>
          <w:szCs w:val="24"/>
        </w:rPr>
        <w:t>的需求，并定出预防措施和责任部门。综合管理部质量管理组填写《预防措施记</w:t>
      </w:r>
      <w:r>
        <w:rPr>
          <w:rFonts w:ascii="FangSong" w:eastAsia="FangSong" w:hAnsi="FangSong" w:cs="FangSong"/>
          <w:spacing w:val="-5"/>
          <w:sz w:val="24"/>
          <w:szCs w:val="24"/>
        </w:rPr>
        <w:t>录》中的潜在不合格事实栏，责任部门分析原因并制定预防措施后实施，</w:t>
      </w:r>
      <w:r>
        <w:rPr>
          <w:rFonts w:ascii="FangSong" w:eastAsia="FangSong" w:hAnsi="FangSong" w:cs="FangSong"/>
          <w:spacing w:val="-5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综合管</w:t>
      </w:r>
      <w:r>
        <w:rPr>
          <w:rFonts w:ascii="FangSong" w:eastAsia="FangSong" w:hAnsi="FangSong" w:cs="FangSong"/>
          <w:spacing w:val="-3"/>
          <w:sz w:val="24"/>
          <w:szCs w:val="24"/>
        </w:rPr>
        <w:t>理部质量管理组跟踪验证实施效果。</w:t>
      </w:r>
    </w:p>
    <w:p>
      <w:pPr>
        <w:spacing w:before="184" w:line="218" w:lineRule="auto"/>
        <w:ind w:left="2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4.2.4</w:t>
      </w:r>
      <w:r>
        <w:rPr>
          <w:rFonts w:ascii="FangSong" w:eastAsia="FangSong" w:hAnsi="FangSong" w:cs="FangSong"/>
          <w:spacing w:val="-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评审所采取的预防措施</w:t>
      </w:r>
    </w:p>
    <w:p>
      <w:pPr>
        <w:spacing w:before="184" w:line="289" w:lineRule="auto"/>
        <w:ind w:left="31" w:right="48" w:hanging="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（1）综合管理部质量管理组对预防措施有效性进行评审，在《预防措施记录》</w:t>
      </w:r>
      <w:r>
        <w:rPr>
          <w:rFonts w:ascii="FangSong" w:eastAsia="FangSong" w:hAnsi="FangSong" w:cs="FangSong"/>
          <w:spacing w:val="-10"/>
          <w:sz w:val="24"/>
          <w:szCs w:val="24"/>
        </w:rPr>
        <w:t>上签字确认；</w:t>
      </w:r>
    </w:p>
    <w:p>
      <w:pPr>
        <w:spacing w:before="185" w:line="288" w:lineRule="auto"/>
        <w:ind w:left="30" w:right="3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（2）当潜在不合格原因是由于管理体系有</w:t>
      </w:r>
      <w:r>
        <w:rPr>
          <w:rFonts w:ascii="FangSong" w:eastAsia="FangSong" w:hAnsi="FangSong" w:cs="FangSong"/>
          <w:spacing w:val="-1"/>
          <w:sz w:val="24"/>
          <w:szCs w:val="24"/>
        </w:rPr>
        <w:t>关文件的不完善所致时，应对相关文</w:t>
      </w:r>
      <w:r>
        <w:rPr>
          <w:rFonts w:ascii="FangSong" w:eastAsia="FangSong" w:hAnsi="FangSong" w:cs="FangSong"/>
          <w:spacing w:val="-1"/>
          <w:sz w:val="24"/>
          <w:szCs w:val="24"/>
        </w:rPr>
        <w:t>件修改的必要性进行评审，并予以实施，执</w:t>
      </w:r>
      <w:r>
        <w:rPr>
          <w:rFonts w:ascii="FangSong" w:eastAsia="FangSong" w:hAnsi="FangSong" w:cs="FangSong"/>
          <w:spacing w:val="-2"/>
          <w:sz w:val="24"/>
          <w:szCs w:val="24"/>
        </w:rPr>
        <w:t>行有关文件更改的有关规定。</w:t>
      </w:r>
    </w:p>
    <w:p>
      <w:pPr>
        <w:pStyle w:val="BodyText"/>
        <w:spacing w:before="245" w:line="231" w:lineRule="auto"/>
        <w:ind w:left="19"/>
        <w:outlineLvl w:val="1"/>
        <w:rPr>
          <w:rFonts w:ascii="FangSong" w:eastAsia="FangSong" w:hAnsi="FangSong" w:cs="FangSong"/>
          <w:sz w:val="28"/>
          <w:szCs w:val="28"/>
        </w:rPr>
      </w:pPr>
      <w:bookmarkStart w:id="10" w:name="bookmark10"/>
      <w:bookmarkEnd w:id="10"/>
      <w:r>
        <w:rPr>
          <w:b/>
          <w:bCs/>
          <w:sz w:val="28"/>
          <w:szCs w:val="28"/>
        </w:rPr>
        <w:t>4.3</w:t>
      </w:r>
      <w:r>
        <w:rPr>
          <w:rFonts w:ascii="FangSong" w:eastAsia="FangSong" w:hAnsi="FangSong" w:cs="FangSong"/>
          <w:b/>
          <w:bCs/>
          <w:sz w:val="28"/>
          <w:szCs w:val="28"/>
        </w:rPr>
        <w:t>纠正和预防措施状况</w:t>
      </w:r>
    </w:p>
    <w:p>
      <w:pPr>
        <w:spacing w:before="216" w:line="288" w:lineRule="auto"/>
        <w:ind w:left="33" w:right="219" w:hanging="1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4.3.1</w:t>
      </w:r>
      <w:r>
        <w:rPr>
          <w:rFonts w:ascii="FangSong" w:eastAsia="FangSong" w:hAnsi="FangSong" w:cs="FangSong"/>
          <w:spacing w:val="-32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在纠正或预防措施的实施过程中，综合管理部质量管理组经理负责配置</w:t>
      </w:r>
      <w:r>
        <w:rPr>
          <w:rFonts w:ascii="FangSong" w:eastAsia="FangSong" w:hAnsi="FangSong" w:cs="FangSong"/>
          <w:spacing w:val="-2"/>
          <w:sz w:val="24"/>
          <w:szCs w:val="24"/>
        </w:rPr>
        <w:t>必要的资源，协助分析原因和确定责任部门，并监督措施实施的过程。</w:t>
      </w:r>
    </w:p>
    <w:p>
      <w:pPr>
        <w:spacing w:before="187" w:line="313" w:lineRule="auto"/>
        <w:ind w:left="45" w:right="30" w:hanging="2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4.3.2</w:t>
      </w:r>
      <w:r>
        <w:rPr>
          <w:rFonts w:ascii="FangSong" w:eastAsia="FangSong" w:hAnsi="FangSong" w:cs="FangSong"/>
          <w:spacing w:val="-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综合管理部质量管理组收集汇公司质量管理中的《纠正措施</w:t>
      </w:r>
      <w:r>
        <w:rPr>
          <w:rFonts w:ascii="FangSong" w:eastAsia="FangSong" w:hAnsi="FangSong" w:cs="FangSong"/>
          <w:spacing w:val="-4"/>
          <w:sz w:val="24"/>
          <w:szCs w:val="24"/>
        </w:rPr>
        <w:t>记录》和《预</w:t>
      </w:r>
      <w:r>
        <w:rPr>
          <w:rFonts w:ascii="FangSong" w:eastAsia="FangSong" w:hAnsi="FangSong" w:cs="FangSong"/>
          <w:spacing w:val="-4"/>
          <w:sz w:val="24"/>
          <w:szCs w:val="24"/>
        </w:rPr>
        <w:t>防措施记录》，形成《纠正和预防措施实施情况统计表》，统计并分</w:t>
      </w:r>
      <w:r>
        <w:rPr>
          <w:rFonts w:ascii="FangSong" w:eastAsia="FangSong" w:hAnsi="FangSong" w:cs="FangSong"/>
          <w:spacing w:val="-5"/>
          <w:sz w:val="24"/>
          <w:szCs w:val="24"/>
        </w:rPr>
        <w:t>析纠正和预</w:t>
      </w:r>
      <w:r>
        <w:rPr>
          <w:rFonts w:ascii="FangSong" w:eastAsia="FangSong" w:hAnsi="FangSong" w:cs="FangSong"/>
          <w:spacing w:val="-8"/>
          <w:sz w:val="24"/>
          <w:szCs w:val="24"/>
        </w:rPr>
        <w:t>防措施的状况。</w:t>
      </w:r>
    </w:p>
    <w:p>
      <w:pPr>
        <w:spacing w:before="184" w:line="216" w:lineRule="auto"/>
        <w:ind w:left="2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4.3.3</w:t>
      </w:r>
      <w:r>
        <w:rPr>
          <w:rFonts w:ascii="FangSong" w:eastAsia="FangSong" w:hAnsi="FangSong" w:cs="FangSong"/>
          <w:sz w:val="24"/>
          <w:szCs w:val="24"/>
        </w:rPr>
        <w:t xml:space="preserve"> </w:t>
      </w:r>
      <w:r>
        <w:rPr>
          <w:rFonts w:ascii="FangSong" w:eastAsia="FangSong" w:hAnsi="FangSong" w:cs="FangSong"/>
          <w:sz w:val="24"/>
          <w:szCs w:val="24"/>
        </w:rPr>
        <w:t>纠正和预防措施的状况，作为管理评</w:t>
      </w:r>
      <w:r>
        <w:rPr>
          <w:rFonts w:ascii="FangSong" w:eastAsia="FangSong" w:hAnsi="FangSong" w:cs="FangSong"/>
          <w:spacing w:val="-1"/>
          <w:sz w:val="24"/>
          <w:szCs w:val="24"/>
        </w:rPr>
        <w:t>审的输入信息之一。</w:t>
      </w:r>
    </w:p>
    <w:p>
      <w:pPr>
        <w:spacing w:before="224" w:line="239" w:lineRule="auto"/>
        <w:ind w:left="29"/>
        <w:outlineLvl w:val="0"/>
        <w:rPr>
          <w:rFonts w:ascii="SimHei" w:eastAsia="SimHei" w:hAnsi="SimHei" w:cs="SimHei"/>
          <w:sz w:val="31"/>
          <w:szCs w:val="31"/>
        </w:rPr>
      </w:pPr>
      <w:bookmarkStart w:id="11" w:name="bookmark11"/>
      <w:bookmarkEnd w:id="11"/>
      <w:r>
        <w:rPr>
          <w:rFonts w:ascii="Times New Roman" w:eastAsia="Times New Roman" w:hAnsi="Times New Roman" w:cs="Times New Roman"/>
          <w:spacing w:val="2"/>
          <w:sz w:val="31"/>
          <w:szCs w:val="31"/>
        </w:rPr>
        <w:t>5</w:t>
      </w:r>
      <w:r>
        <w:rPr>
          <w:rFonts w:ascii="Times New Roman" w:eastAsia="Times New Roman" w:hAnsi="Times New Roman" w:cs="Times New Roman"/>
          <w:spacing w:val="15"/>
          <w:sz w:val="31"/>
          <w:szCs w:val="31"/>
        </w:rPr>
        <w:t xml:space="preserve">   </w:t>
      </w:r>
      <w:r>
        <w:rPr>
          <w:rFonts w:ascii="SimHei" w:eastAsia="SimHei" w:hAnsi="SimHei" w:cs="SimHei"/>
          <w:spacing w:val="2"/>
          <w:sz w:val="31"/>
          <w:szCs w:val="31"/>
        </w:rPr>
        <w:t>相关记录</w:t>
      </w:r>
    </w:p>
    <w:p>
      <w:pPr>
        <w:spacing w:before="186" w:line="217" w:lineRule="auto"/>
        <w:ind w:left="2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《纠正措施记录》</w:t>
      </w:r>
    </w:p>
    <w:p>
      <w:pPr>
        <w:spacing w:before="185" w:line="219" w:lineRule="auto"/>
        <w:ind w:left="2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《预防措施记录》</w:t>
      </w:r>
    </w:p>
    <w:p>
      <w:pPr>
        <w:spacing w:before="184" w:line="217" w:lineRule="auto"/>
        <w:ind w:left="2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《纠正和预防措施实施情况统计表》</w:t>
      </w:r>
    </w:p>
    <w:sectPr>
      <w:footerReference w:type="default" r:id="rId12"/>
      <w:pgSz w:w="11907" w:h="16839"/>
      <w:pgMar w:top="1855" w:right="1785" w:bottom="1980" w:left="1785" w:header="803" w:footer="116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9435072</wp:posOffset>
          </wp:positionV>
          <wp:extent cx="1466850" cy="447382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6850" cy="447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33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9435072</wp:posOffset>
          </wp:positionV>
          <wp:extent cx="1466850" cy="447382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6850" cy="447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681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9435072</wp:posOffset>
          </wp:positionV>
          <wp:extent cx="1466850" cy="447382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6850" cy="447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3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9435072</wp:posOffset>
          </wp:positionV>
          <wp:extent cx="1466850" cy="447382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6850" cy="447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327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9435072</wp:posOffset>
          </wp:positionV>
          <wp:extent cx="1466850" cy="447382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6850" cy="447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3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9435072</wp:posOffset>
          </wp:positionV>
          <wp:extent cx="1466850" cy="447382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6850" cy="447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3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36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71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1804711293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36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footer" Target="footer5.xml" /><Relationship Id="rId12" Type="http://schemas.openxmlformats.org/officeDocument/2006/relationships/footer" Target="footer6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0</cp:revision>
  <dcterms:created xsi:type="dcterms:W3CDTF">2023-07-25T23:08:08Z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2025-12-03T15:21:04Z</vt:filetime>
  </property>
  <property fmtid="{D5CDD505-2E9C-101B-9397-08002B2CF9AE}" pid="3" name="CRO">
    <vt:lpwstr>wqlLaW5nc29mdCBQREYgdG8gV1BTIDExNQ</vt:lpwstr>
  </property>
</Properties>
</file>