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spacing w:before="234" w:line="217" w:lineRule="auto"/>
        <w:ind w:left="1333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人员储备管理制度</w:t>
      </w:r>
    </w:p>
    <w:p>
      <w:pPr>
        <w:spacing w:before="274" w:line="232" w:lineRule="auto"/>
        <w:ind w:left="31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（YNTD-ITSS-0903）</w:t>
      </w: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98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8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8" w:lineRule="auto"/>
              <w:ind w:left="53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3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5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2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19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24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0" w:line="221" w:lineRule="auto"/>
              <w:ind w:left="2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0" w:line="220" w:lineRule="auto"/>
              <w:ind w:left="444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181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81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181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81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181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1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1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77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76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77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77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77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76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77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5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81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81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1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1" w:left="1438" w:header="803" w:footer="993" w:gutter="0"/>
          <w:cols w:space="720"/>
        </w:sectPr>
      </w:pPr>
    </w:p>
    <w:sdt>
      <w:sdtPr>
        <w:rPr>
          <w:rFonts w:ascii="SimSun" w:eastAsia="SimSun" w:hAnsi="SimSun" w:cs="SimSun"/>
          <w:sz w:val="31"/>
          <w:szCs w:val="31"/>
        </w:rPr>
        <w:id w:val="1468244936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4"/>
          <w:szCs w:val="24"/>
        </w:rPr>
      </w:sdtEndPr>
      <w:sdtContent>
        <w:p>
          <w:pPr>
            <w:spacing w:before="132" w:line="227" w:lineRule="auto"/>
            <w:ind w:left="3921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spacing w:val="-14"/>
              <w:sz w:val="31"/>
              <w:szCs w:val="31"/>
            </w:rPr>
            <w:t>目录</w:t>
          </w:r>
        </w:p>
        <w:p>
          <w:pPr>
            <w:tabs>
              <w:tab w:val="right" w:leader="dot" w:pos="8312"/>
            </w:tabs>
            <w:spacing w:before="125" w:line="185" w:lineRule="auto"/>
            <w:ind w:left="40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2"/>
              <w:sz w:val="24"/>
              <w:szCs w:val="24"/>
            </w:rPr>
            <w:t>1.</w:t>
          </w:r>
          <w:r>
            <w:rPr>
              <w:rFonts w:ascii="FangSong" w:eastAsia="FangSong" w:hAnsi="FangSong" w:cs="FangSong"/>
              <w:spacing w:val="11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2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25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>2.</w:t>
          </w:r>
          <w:r>
            <w:rPr>
              <w:rFonts w:ascii="FangSong" w:eastAsia="FangSong" w:hAnsi="FangSong" w:cs="FangSong"/>
              <w:spacing w:val="3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适用范围</w:t>
          </w:r>
          <w:r>
            <w:rPr>
              <w:rFonts w:ascii="FangSong" w:eastAsia="FangSong" w:hAnsi="FangSong" w:cs="FangSong"/>
              <w:spacing w:val="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2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3.</w:t>
          </w:r>
          <w:r>
            <w:rPr>
              <w:rFonts w:ascii="FangSong" w:eastAsia="FangSong" w:hAnsi="FangSong" w:cs="FangSong"/>
              <w:spacing w:val="5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人员储备规划管理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3.1.</w:t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中长期规划</w:t>
          </w:r>
          <w:r>
            <w:rPr>
              <w:rFonts w:ascii="FangSong" w:eastAsia="FangSong" w:hAnsi="FangSong" w:cs="FangSong"/>
              <w:spacing w:val="-4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1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3.2.</w:t>
          </w:r>
          <w:r>
            <w:rPr>
              <w:rFonts w:ascii="FangSong" w:eastAsia="FangSong" w:hAnsi="FangSong" w:cs="FangSong"/>
              <w:spacing w:val="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5"/>
              <w:sz w:val="24"/>
              <w:szCs w:val="24"/>
            </w:rPr>
            <w:t>年度计划</w:t>
          </w:r>
          <w:r>
            <w:rPr>
              <w:rFonts w:ascii="FangSong" w:eastAsia="FangSong" w:hAnsi="FangSong" w:cs="FangSong"/>
              <w:spacing w:val="-4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3.3.</w:t>
          </w:r>
          <w:r>
            <w:rPr>
              <w:rFonts w:ascii="FangSong" w:eastAsia="FangSong" w:hAnsi="FangSong" w:cs="FangSong"/>
              <w:spacing w:val="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短期补充计划</w:t>
          </w:r>
          <w:r>
            <w:rPr>
              <w:rFonts w:ascii="FangSong" w:eastAsia="FangSong" w:hAnsi="FangSong" w:cs="FangSong"/>
              <w:spacing w:val="-4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3.4.</w:t>
          </w:r>
          <w:r>
            <w:rPr>
              <w:rFonts w:ascii="FangSong" w:eastAsia="FangSong" w:hAnsi="FangSong" w:cs="FangSong"/>
              <w:spacing w:val="5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储备策略</w:t>
          </w:r>
          <w:r>
            <w:rPr>
              <w:rFonts w:ascii="FangSong" w:eastAsia="FangSong" w:hAnsi="FangSong" w:cs="FangSong"/>
              <w:spacing w:val="-4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2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21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4.</w:t>
          </w:r>
          <w:r>
            <w:rPr>
              <w:rFonts w:ascii="FangSong" w:eastAsia="FangSong" w:hAnsi="FangSong" w:cs="FangSong"/>
              <w:spacing w:val="4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人员储备引入渠道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3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441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4.1.</w:t>
          </w:r>
          <w:r>
            <w:rPr>
              <w:rFonts w:ascii="FangSong" w:eastAsia="FangSong" w:hAnsi="FangSong" w:cs="FangSong"/>
              <w:spacing w:val="7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外部招聘</w:t>
          </w:r>
          <w:r>
            <w:rPr>
              <w:rFonts w:ascii="FangSong" w:eastAsia="FangSong" w:hAnsi="FangSong" w:cs="FangSong"/>
              <w:spacing w:val="-4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3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441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4.2.</w:t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7"/>
              <w:sz w:val="24"/>
              <w:szCs w:val="24"/>
            </w:rPr>
            <w:t>内部选聘</w:t>
          </w:r>
          <w:r>
            <w:rPr>
              <w:rFonts w:ascii="FangSong" w:eastAsia="FangSong" w:hAnsi="FangSong" w:cs="FangSong"/>
              <w:spacing w:val="-4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3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2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5.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培养和塑造储备人才</w:t>
          </w:r>
          <w:r>
            <w:rPr>
              <w:rFonts w:ascii="FangSong" w:eastAsia="FangSong" w:hAnsi="FangSong" w:cs="FangSong"/>
              <w:spacing w:val="1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5.1.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建立长效的培训机制</w:t>
          </w:r>
          <w:r>
            <w:rPr>
              <w:rFonts w:ascii="FangSong" w:eastAsia="FangSong" w:hAnsi="FangSong" w:cs="FangSong"/>
              <w:spacing w:val="-4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447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5.2.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鼓励继续教育及技能认证</w:t>
          </w:r>
          <w:r>
            <w:rPr>
              <w:rFonts w:ascii="FangSong" w:eastAsia="FangSong" w:hAnsi="FangSong" w:cs="FangSong"/>
              <w:spacing w:val="-4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24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6.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做好企业人才梯队建设及管理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28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7.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制订人员轮岗、备份制度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6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1" w:line="185" w:lineRule="auto"/>
            <w:ind w:left="23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8.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保证人力资源持续稳定的激励机制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185" w:lineRule="auto"/>
            <w:ind w:left="23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4"/>
              <w:szCs w:val="24"/>
            </w:rPr>
            <w:t>9.</w:t>
          </w:r>
          <w:r>
            <w:rPr>
              <w:rFonts w:ascii="FangSong" w:eastAsia="FangSong" w:hAnsi="FangSong" w:cs="FangSong"/>
              <w:spacing w:val="1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KPI</w:t>
          </w:r>
          <w:r>
            <w:rPr>
              <w:rFonts w:ascii="FangSong" w:eastAsia="FangSong" w:hAnsi="FangSong" w:cs="FangSong"/>
              <w:spacing w:val="-4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指标</w:t>
          </w:r>
          <w:r>
            <w:rPr>
              <w:rFonts w:ascii="FangSong" w:eastAsia="FangSong" w:hAnsi="FangSong" w:cs="FangSong"/>
              <w:spacing w:val="-4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312"/>
            </w:tabs>
            <w:spacing w:before="72" w:line="217" w:lineRule="auto"/>
            <w:ind w:left="40"/>
            <w:rPr>
              <w:rFonts w:ascii="FangSong" w:eastAsia="FangSong" w:hAnsi="FangSong" w:cs="FangSong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4"/>
              <w:szCs w:val="24"/>
            </w:rPr>
            <w:t>10.</w:t>
          </w:r>
          <w:r>
            <w:rPr>
              <w:rFonts w:ascii="FangSong" w:eastAsia="FangSong" w:hAnsi="FangSong" w:cs="FangSong"/>
              <w:spacing w:val="5"/>
              <w:sz w:val="24"/>
              <w:szCs w:val="24"/>
            </w:rPr>
            <w:t xml:space="preserve">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相关记录</w:t>
          </w:r>
          <w:r>
            <w:rPr>
              <w:rFonts w:ascii="FangSong" w:eastAsia="FangSong" w:hAnsi="FangSong" w:cs="FangSong"/>
              <w:spacing w:val="1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17"/>
              <w:sz w:val="24"/>
              <w:szCs w:val="24"/>
            </w:rPr>
            <w:t>5</w:t>
          </w:r>
          <w:r>
            <w:fldChar w:fldCharType="end"/>
          </w:r>
        </w:p>
      </w:sdtContent>
    </w:sdt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8"/>
          <w:footerReference w:type="default" r:id="rId9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pStyle w:val="BodyText"/>
        <w:spacing w:line="324" w:lineRule="auto"/>
      </w:pPr>
    </w:p>
    <w:p>
      <w:pPr>
        <w:spacing w:before="101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12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12"/>
          <w:sz w:val="31"/>
          <w:szCs w:val="31"/>
        </w:rPr>
        <w:t>目的</w:t>
      </w:r>
    </w:p>
    <w:p>
      <w:pPr>
        <w:pStyle w:val="BodyText"/>
        <w:spacing w:line="377" w:lineRule="auto"/>
      </w:pPr>
    </w:p>
    <w:p>
      <w:pPr>
        <w:pStyle w:val="BodyText"/>
        <w:spacing w:before="91" w:line="412" w:lineRule="auto"/>
        <w:ind w:left="32" w:right="8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为了确保能够为公司发展提供充足的后备保障，基于公司整体战</w:t>
      </w:r>
      <w:r>
        <w:rPr>
          <w:rFonts w:ascii="FangSong" w:eastAsia="FangSong" w:hAnsi="FangSong" w:cs="FangSong"/>
          <w:spacing w:val="-10"/>
          <w:sz w:val="28"/>
          <w:szCs w:val="28"/>
        </w:rPr>
        <w:t>略基础，结合各部门的年度储备需求，事先做好各岗位候选人的规划、</w:t>
      </w:r>
      <w:r>
        <w:rPr>
          <w:rFonts w:ascii="FangSong" w:eastAsia="FangSong" w:hAnsi="FangSong" w:cs="FangSong"/>
          <w:spacing w:val="-2"/>
          <w:sz w:val="28"/>
          <w:szCs w:val="28"/>
        </w:rPr>
        <w:t>招聘、培训、晋升和考核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,</w:t>
      </w:r>
      <w:r>
        <w:rPr>
          <w:rFonts w:ascii="FangSong" w:eastAsia="FangSong" w:hAnsi="FangSong" w:cs="FangSong"/>
          <w:spacing w:val="-2"/>
          <w:sz w:val="28"/>
          <w:szCs w:val="28"/>
        </w:rPr>
        <w:t>实现科学的留才、育才、用才，使公司人</w:t>
      </w:r>
      <w:r>
        <w:rPr>
          <w:rFonts w:ascii="FangSong" w:eastAsia="FangSong" w:hAnsi="FangSong" w:cs="FangSong"/>
          <w:spacing w:val="-4"/>
          <w:sz w:val="28"/>
          <w:szCs w:val="28"/>
        </w:rPr>
        <w:t>力资源与公司的发展战略同步、稳定、协调的运作，有计划、有步骤</w:t>
      </w:r>
      <w:r>
        <w:rPr>
          <w:rFonts w:ascii="FangSong" w:eastAsia="FangSong" w:hAnsi="FangSong" w:cs="FangSong"/>
          <w:spacing w:val="-2"/>
          <w:sz w:val="28"/>
          <w:szCs w:val="28"/>
        </w:rPr>
        <w:t>的进行人力储备。特设立本管理制度。</w:t>
      </w:r>
    </w:p>
    <w:p>
      <w:pPr>
        <w:spacing w:before="272"/>
        <w:ind w:left="21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spacing w:val="4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适用范围</w:t>
      </w:r>
    </w:p>
    <w:p>
      <w:pPr>
        <w:pStyle w:val="BodyText"/>
        <w:spacing w:line="378" w:lineRule="auto"/>
      </w:pPr>
    </w:p>
    <w:p>
      <w:pPr>
        <w:spacing w:before="91" w:line="218" w:lineRule="auto"/>
        <w:ind w:left="4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本制度适用于公司所有员工。</w:t>
      </w:r>
    </w:p>
    <w:p>
      <w:pPr>
        <w:pStyle w:val="BodyText"/>
        <w:spacing w:line="464" w:lineRule="auto"/>
      </w:pPr>
    </w:p>
    <w:p>
      <w:pPr>
        <w:spacing w:before="100" w:line="238" w:lineRule="auto"/>
        <w:ind w:left="27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25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人员储备规划管理</w:t>
      </w:r>
    </w:p>
    <w:p>
      <w:pPr>
        <w:pStyle w:val="BodyText"/>
        <w:spacing w:line="382" w:lineRule="auto"/>
      </w:pPr>
    </w:p>
    <w:p>
      <w:pPr>
        <w:spacing w:before="92" w:line="412" w:lineRule="auto"/>
        <w:ind w:left="33" w:firstLine="4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人员储备规划必须建立在公司整体战略、业务规划、</w:t>
      </w:r>
      <w:r>
        <w:rPr>
          <w:rFonts w:ascii="FangSong" w:eastAsia="FangSong" w:hAnsi="FangSong" w:cs="FangSong"/>
          <w:sz w:val="28"/>
          <w:szCs w:val="28"/>
        </w:rPr>
        <w:t>公司现状的</w:t>
      </w:r>
      <w:r>
        <w:rPr>
          <w:rFonts w:ascii="FangSong" w:eastAsia="FangSong" w:hAnsi="FangSong" w:cs="FangSong"/>
          <w:spacing w:val="-10"/>
          <w:sz w:val="28"/>
          <w:szCs w:val="28"/>
        </w:rPr>
        <w:t>基础上，以公司中长期规划、年度计划及短期补充需求三个阶段进行。</w:t>
      </w:r>
    </w:p>
    <w:p>
      <w:pPr>
        <w:pStyle w:val="BodyText"/>
        <w:spacing w:before="260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3" w:name="bookmark4"/>
      <w:bookmarkEnd w:id="3"/>
      <w:r>
        <w:rPr>
          <w:b/>
          <w:bCs/>
          <w:spacing w:val="-7"/>
          <w:sz w:val="28"/>
          <w:szCs w:val="28"/>
        </w:rPr>
        <w:t xml:space="preserve">3.1. 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中长期规划</w:t>
      </w:r>
    </w:p>
    <w:p>
      <w:pPr>
        <w:pStyle w:val="BodyText"/>
        <w:spacing w:line="436" w:lineRule="auto"/>
      </w:pPr>
    </w:p>
    <w:p>
      <w:pPr>
        <w:spacing w:before="92" w:line="412" w:lineRule="auto"/>
        <w:ind w:left="33" w:right="4" w:firstLine="42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结合公司的中长期的业务发展规划，产品方向，建立</w:t>
      </w:r>
      <w:r>
        <w:rPr>
          <w:rFonts w:ascii="FangSong" w:eastAsia="FangSong" w:hAnsi="FangSong" w:cs="FangSong"/>
          <w:sz w:val="28"/>
          <w:szCs w:val="28"/>
        </w:rPr>
        <w:t>人力资源的</w:t>
      </w:r>
      <w:r>
        <w:rPr>
          <w:rFonts w:ascii="FangSong" w:eastAsia="FangSong" w:hAnsi="FangSong" w:cs="FangSong"/>
          <w:spacing w:val="-4"/>
          <w:sz w:val="28"/>
          <w:szCs w:val="28"/>
        </w:rPr>
        <w:t>中长期人员储备规划。招聘制度、培训制度、绩效管理制度等是公司</w:t>
      </w:r>
      <w:r>
        <w:rPr>
          <w:rFonts w:ascii="FangSong" w:eastAsia="FangSong" w:hAnsi="FangSong" w:cs="FangSong"/>
          <w:spacing w:val="-1"/>
          <w:sz w:val="28"/>
          <w:szCs w:val="28"/>
        </w:rPr>
        <w:t>人员储备规划落地实施的具体保障措施；引入、选拔、培训、激励、</w:t>
      </w:r>
      <w:r>
        <w:rPr>
          <w:rFonts w:ascii="FangSong" w:eastAsia="FangSong" w:hAnsi="FangSong" w:cs="FangSong"/>
          <w:spacing w:val="-1"/>
          <w:sz w:val="28"/>
          <w:szCs w:val="28"/>
        </w:rPr>
        <w:t>任用是“保持”公司人员储备工作的具体方式。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1855" w:right="1698" w:bottom="1711" w:left="1785" w:header="803" w:footer="993" w:gutter="0"/>
          <w:cols w:space="720"/>
        </w:sectPr>
      </w:pPr>
    </w:p>
    <w:p>
      <w:pPr>
        <w:pStyle w:val="BodyText"/>
        <w:spacing w:before="153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5"/>
      <w:bookmarkEnd w:id="4"/>
      <w:r>
        <w:rPr>
          <w:b/>
          <w:bCs/>
          <w:spacing w:val="-5"/>
          <w:sz w:val="28"/>
          <w:szCs w:val="28"/>
        </w:rPr>
        <w:t>3.2.</w:t>
      </w:r>
      <w:r>
        <w:rPr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年度计划</w:t>
      </w:r>
    </w:p>
    <w:p>
      <w:pPr>
        <w:pStyle w:val="BodyText"/>
        <w:spacing w:line="436" w:lineRule="auto"/>
      </w:pPr>
    </w:p>
    <w:p>
      <w:pPr>
        <w:spacing w:before="91" w:line="412" w:lineRule="auto"/>
        <w:ind w:left="34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公司每年根据在职人员与业务发展情况，结合人力资</w:t>
      </w:r>
      <w:r>
        <w:rPr>
          <w:rFonts w:ascii="FangSong" w:eastAsia="FangSong" w:hAnsi="FangSong" w:cs="FangSong"/>
          <w:spacing w:val="-7"/>
          <w:sz w:val="28"/>
          <w:szCs w:val="28"/>
        </w:rPr>
        <w:t>源市场状况，</w:t>
      </w:r>
      <w:r>
        <w:rPr>
          <w:rFonts w:ascii="FangSong" w:eastAsia="FangSong" w:hAnsi="FangSong" w:cs="FangSong"/>
          <w:spacing w:val="-4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pStyle w:val="BodyText"/>
        <w:spacing w:before="261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5" w:name="bookmark6"/>
      <w:bookmarkEnd w:id="5"/>
      <w:r>
        <w:rPr>
          <w:b/>
          <w:bCs/>
          <w:spacing w:val="-5"/>
          <w:sz w:val="28"/>
          <w:szCs w:val="28"/>
        </w:rPr>
        <w:t>3.3.</w:t>
      </w:r>
      <w:r>
        <w:rPr>
          <w:b/>
          <w:bCs/>
          <w:spacing w:val="49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短期补充计划</w:t>
      </w:r>
    </w:p>
    <w:p>
      <w:pPr>
        <w:pStyle w:val="BodyText"/>
        <w:spacing w:line="439" w:lineRule="auto"/>
      </w:pPr>
    </w:p>
    <w:p>
      <w:pPr>
        <w:spacing w:before="91" w:line="412" w:lineRule="auto"/>
        <w:ind w:left="31" w:right="73" w:firstLine="42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根据公司业务状态及人员流动情况，对出现和可能出现的人</w:t>
      </w:r>
      <w:r>
        <w:rPr>
          <w:rFonts w:ascii="FangSong" w:eastAsia="FangSong" w:hAnsi="FangSong" w:cs="FangSong"/>
          <w:sz w:val="28"/>
          <w:szCs w:val="28"/>
        </w:rPr>
        <w:t>才短</w:t>
      </w:r>
      <w:r>
        <w:rPr>
          <w:rFonts w:ascii="FangSong" w:eastAsia="FangSong" w:hAnsi="FangSong" w:cs="FangSong"/>
          <w:spacing w:val="-4"/>
          <w:sz w:val="28"/>
          <w:szCs w:val="28"/>
        </w:rPr>
        <w:t>缺状况。进行补充，包括人才引入、培训、内部选聘等方式，进行及</w:t>
      </w:r>
      <w:r>
        <w:rPr>
          <w:rFonts w:ascii="FangSong" w:eastAsia="FangSong" w:hAnsi="FangSong" w:cs="FangSong"/>
          <w:spacing w:val="-6"/>
          <w:sz w:val="28"/>
          <w:szCs w:val="28"/>
        </w:rPr>
        <w:t>时有效的补充。</w:t>
      </w:r>
    </w:p>
    <w:p>
      <w:pPr>
        <w:pStyle w:val="BodyText"/>
        <w:spacing w:before="259" w:line="231" w:lineRule="auto"/>
        <w:ind w:left="25"/>
        <w:outlineLvl w:val="1"/>
        <w:rPr>
          <w:rFonts w:ascii="FangSong" w:eastAsia="FangSong" w:hAnsi="FangSong" w:cs="FangSong"/>
          <w:sz w:val="28"/>
          <w:szCs w:val="28"/>
        </w:rPr>
      </w:pPr>
      <w:bookmarkStart w:id="6" w:name="bookmark7"/>
      <w:bookmarkEnd w:id="6"/>
      <w:r>
        <w:rPr>
          <w:b/>
          <w:bCs/>
          <w:spacing w:val="-5"/>
          <w:sz w:val="28"/>
          <w:szCs w:val="28"/>
        </w:rPr>
        <w:t>3.4.</w:t>
      </w:r>
      <w:r>
        <w:rPr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储备策略</w:t>
      </w:r>
    </w:p>
    <w:p>
      <w:pPr>
        <w:pStyle w:val="BodyText"/>
        <w:spacing w:line="437" w:lineRule="auto"/>
      </w:pPr>
    </w:p>
    <w:p>
      <w:pPr>
        <w:spacing w:before="92" w:line="412" w:lineRule="auto"/>
        <w:ind w:left="33" w:right="76" w:firstLine="4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关键岗：需要在岗位中识别出关键岗位，并在每年</w:t>
      </w:r>
      <w:r>
        <w:rPr>
          <w:rFonts w:ascii="FangSong" w:eastAsia="FangSong" w:hAnsi="FangSong" w:cs="FangSong"/>
          <w:sz w:val="28"/>
          <w:szCs w:val="28"/>
        </w:rPr>
        <w:t>在储备计划中</w:t>
      </w:r>
      <w:r>
        <w:rPr>
          <w:rFonts w:ascii="FangSong" w:eastAsia="FangSong" w:hAnsi="FangSong" w:cs="FangSong"/>
          <w:spacing w:val="-2"/>
          <w:sz w:val="28"/>
          <w:szCs w:val="28"/>
        </w:rPr>
        <w:t>识别储备关键岗位的储备人数；</w:t>
      </w:r>
    </w:p>
    <w:p>
      <w:pPr>
        <w:spacing w:before="153" w:line="217" w:lineRule="auto"/>
        <w:ind w:left="30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关键岗位识别清单</w:t>
      </w:r>
    </w:p>
    <w:p>
      <w:pPr>
        <w:spacing w:before="21"/>
      </w:pPr>
    </w:p>
    <w:tbl>
      <w:tblPr>
        <w:tblStyle w:val="TableNormal"/>
        <w:tblW w:w="8374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902"/>
        <w:gridCol w:w="3239"/>
        <w:gridCol w:w="3233"/>
      </w:tblGrid>
      <w:tr>
        <w:tblPrEx>
          <w:tblW w:w="8374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54"/>
        </w:trPr>
        <w:tc>
          <w:tcPr>
            <w:tcW w:w="1902" w:type="dxa"/>
          </w:tcPr>
          <w:p>
            <w:pPr>
              <w:spacing w:before="44" w:line="218" w:lineRule="auto"/>
              <w:ind w:left="6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3239" w:type="dxa"/>
          </w:tcPr>
          <w:p>
            <w:pPr>
              <w:spacing w:before="44" w:line="219" w:lineRule="auto"/>
              <w:ind w:left="12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3233" w:type="dxa"/>
          </w:tcPr>
          <w:p>
            <w:pPr>
              <w:spacing w:before="43" w:line="219" w:lineRule="auto"/>
              <w:ind w:left="12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49"/>
        </w:trPr>
        <w:tc>
          <w:tcPr>
            <w:tcW w:w="1902" w:type="dxa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5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  <w:p>
            <w:pPr>
              <w:spacing w:before="214" w:line="218" w:lineRule="auto"/>
              <w:ind w:left="5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3239" w:type="dxa"/>
          </w:tcPr>
          <w:p>
            <w:pPr>
              <w:spacing w:before="40" w:line="218" w:lineRule="auto"/>
              <w:ind w:left="9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信息部部长</w:t>
            </w:r>
          </w:p>
        </w:tc>
        <w:tc>
          <w:tcPr>
            <w:tcW w:w="3233" w:type="dxa"/>
          </w:tcPr>
          <w:p>
            <w:pPr>
              <w:spacing w:before="40" w:line="218" w:lineRule="auto"/>
              <w:ind w:left="3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48"/>
        </w:trPr>
        <w:tc>
          <w:tcPr>
            <w:tcW w:w="190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9" w:type="dxa"/>
          </w:tcPr>
          <w:p>
            <w:pPr>
              <w:spacing w:before="40" w:line="218" w:lineRule="auto"/>
              <w:ind w:left="9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通信部部长</w:t>
            </w:r>
          </w:p>
        </w:tc>
        <w:tc>
          <w:tcPr>
            <w:tcW w:w="3233" w:type="dxa"/>
          </w:tcPr>
          <w:p>
            <w:pPr>
              <w:spacing w:before="40" w:line="218" w:lineRule="auto"/>
              <w:ind w:left="3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49"/>
        </w:trPr>
        <w:tc>
          <w:tcPr>
            <w:tcW w:w="190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3" w:type="dxa"/>
          </w:tcPr>
          <w:p>
            <w:pPr>
              <w:spacing w:before="42" w:line="217" w:lineRule="auto"/>
              <w:ind w:left="3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48"/>
        </w:trPr>
        <w:tc>
          <w:tcPr>
            <w:tcW w:w="190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3" w:type="dxa"/>
          </w:tcPr>
          <w:p>
            <w:pPr>
              <w:spacing w:before="42" w:line="218" w:lineRule="auto"/>
              <w:ind w:left="3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5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系统运维工程师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49"/>
        </w:trPr>
        <w:tc>
          <w:tcPr>
            <w:tcW w:w="190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3" w:type="dxa"/>
          </w:tcPr>
          <w:p>
            <w:pPr>
              <w:spacing w:before="46" w:line="218" w:lineRule="auto"/>
              <w:ind w:left="5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数据库运维工程师</w:t>
            </w:r>
          </w:p>
        </w:tc>
      </w:tr>
      <w:tr>
        <w:tblPrEx>
          <w:tblW w:w="8374" w:type="dxa"/>
          <w:tblInd w:w="17" w:type="dxa"/>
          <w:tblLayout w:type="fixed"/>
        </w:tblPrEx>
        <w:trPr>
          <w:trHeight w:val="556"/>
        </w:trPr>
        <w:tc>
          <w:tcPr>
            <w:tcW w:w="190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33" w:type="dxa"/>
          </w:tcPr>
          <w:p>
            <w:pPr>
              <w:spacing w:before="46" w:line="220" w:lineRule="auto"/>
              <w:ind w:left="10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footerReference w:type="default" r:id="rId13"/>
          <w:pgSz w:w="11907" w:h="16839"/>
          <w:pgMar w:top="1855" w:right="1720" w:bottom="1711" w:left="1785" w:header="803" w:footer="993" w:gutter="0"/>
          <w:cols w:space="720"/>
        </w:sectPr>
      </w:pPr>
    </w:p>
    <w:p>
      <w:pPr>
        <w:spacing w:before="129" w:line="238" w:lineRule="auto"/>
        <w:ind w:left="19"/>
        <w:outlineLvl w:val="0"/>
        <w:rPr>
          <w:rFonts w:ascii="SimHei" w:eastAsia="SimHei" w:hAnsi="SimHei" w:cs="SimHei"/>
          <w:sz w:val="31"/>
          <w:szCs w:val="31"/>
        </w:rPr>
      </w:pPr>
      <w:bookmarkStart w:id="7" w:name="bookmark8"/>
      <w:bookmarkEnd w:id="7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4.</w:t>
      </w:r>
      <w:r>
        <w:rPr>
          <w:rFonts w:ascii="Times New Roman" w:eastAsia="Times New Roman" w:hAnsi="Times New Roman" w:cs="Times New Roman"/>
          <w:spacing w:val="24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6"/>
          <w:sz w:val="31"/>
          <w:szCs w:val="31"/>
        </w:rPr>
        <w:t>人员储备引入渠道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91" w:line="218" w:lineRule="auto"/>
        <w:ind w:left="4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按人才来源方向分为外部招聘和内部选聘：</w:t>
      </w:r>
    </w:p>
    <w:p>
      <w:pPr>
        <w:pStyle w:val="BodyText"/>
        <w:spacing w:line="461" w:lineRule="auto"/>
      </w:pPr>
    </w:p>
    <w:p>
      <w:pPr>
        <w:pStyle w:val="BodyText"/>
        <w:spacing w:before="91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8" w:name="bookmark9"/>
      <w:bookmarkEnd w:id="8"/>
      <w:r>
        <w:rPr>
          <w:b/>
          <w:bCs/>
          <w:spacing w:val="-4"/>
          <w:sz w:val="28"/>
          <w:szCs w:val="28"/>
        </w:rPr>
        <w:t>4.1.</w:t>
      </w:r>
      <w:r>
        <w:rPr>
          <w:b/>
          <w:bCs/>
          <w:spacing w:val="4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外部招聘</w:t>
      </w:r>
    </w:p>
    <w:p>
      <w:pPr>
        <w:pStyle w:val="BodyText"/>
        <w:spacing w:line="439" w:lineRule="auto"/>
      </w:pPr>
    </w:p>
    <w:p>
      <w:pPr>
        <w:spacing w:before="91" w:line="216" w:lineRule="auto"/>
        <w:ind w:left="45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外部招聘原则根据岗位职责和任职条件，双向选择，择优录取。</w:t>
      </w:r>
    </w:p>
    <w:p>
      <w:pPr>
        <w:pStyle w:val="BodyText"/>
        <w:spacing w:line="357" w:lineRule="auto"/>
      </w:pPr>
    </w:p>
    <w:p>
      <w:pPr>
        <w:spacing w:before="92" w:line="412" w:lineRule="auto"/>
        <w:ind w:left="32" w:right="103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外部渠道进行人员引入的方式，主要包括：校园招聘、</w:t>
      </w:r>
      <w:r>
        <w:rPr>
          <w:rFonts w:ascii="FangSong" w:eastAsia="FangSong" w:hAnsi="FangSong" w:cs="FangSong"/>
          <w:spacing w:val="-5"/>
          <w:sz w:val="28"/>
          <w:szCs w:val="28"/>
        </w:rPr>
        <w:t>人才市场</w:t>
      </w:r>
      <w:r>
        <w:rPr>
          <w:rFonts w:ascii="FangSong" w:eastAsia="FangSong" w:hAnsi="FangSong" w:cs="FangSong"/>
          <w:spacing w:val="-13"/>
          <w:sz w:val="28"/>
          <w:szCs w:val="28"/>
        </w:rPr>
        <w:t>招聘、广告招聘、员工自荐、网上招聘等，参照公司《招聘管理制度》</w:t>
      </w:r>
      <w:r>
        <w:rPr>
          <w:rFonts w:ascii="FangSong" w:eastAsia="FangSong" w:hAnsi="FangSong" w:cs="FangSong"/>
          <w:spacing w:val="-6"/>
          <w:sz w:val="28"/>
          <w:szCs w:val="28"/>
        </w:rPr>
        <w:t>执行。</w:t>
      </w:r>
    </w:p>
    <w:p>
      <w:pPr>
        <w:spacing w:before="155" w:line="412" w:lineRule="auto"/>
        <w:ind w:left="37" w:right="102" w:firstLine="41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外部招聘根据公司的年度储备计划和短期需求计划进行，</w:t>
      </w:r>
      <w:r>
        <w:rPr>
          <w:rFonts w:ascii="FangSong" w:eastAsia="FangSong" w:hAnsi="FangSong" w:cs="FangSong"/>
          <w:sz w:val="28"/>
          <w:szCs w:val="28"/>
        </w:rPr>
        <w:t>主要是</w:t>
      </w:r>
      <w:r>
        <w:rPr>
          <w:rFonts w:ascii="FangSong" w:eastAsia="FangSong" w:hAnsi="FangSong" w:cs="FangSong"/>
          <w:spacing w:val="-4"/>
          <w:sz w:val="28"/>
          <w:szCs w:val="28"/>
        </w:rPr>
        <w:t>引入公司内部短缺及急需的专业技术人才、特殊性人才或可塑性强的</w:t>
      </w:r>
      <w:r>
        <w:rPr>
          <w:rFonts w:ascii="FangSong" w:eastAsia="FangSong" w:hAnsi="FangSong" w:cs="FangSong"/>
          <w:spacing w:val="-4"/>
          <w:sz w:val="28"/>
          <w:szCs w:val="28"/>
        </w:rPr>
        <w:t>人员，满足业务部门的人员需求。</w:t>
      </w:r>
    </w:p>
    <w:p>
      <w:pPr>
        <w:pStyle w:val="BodyText"/>
        <w:spacing w:before="259" w:line="231" w:lineRule="auto"/>
        <w:ind w:left="19"/>
        <w:outlineLvl w:val="1"/>
        <w:rPr>
          <w:rFonts w:ascii="FangSong" w:eastAsia="FangSong" w:hAnsi="FangSong" w:cs="FangSong"/>
          <w:sz w:val="28"/>
          <w:szCs w:val="28"/>
        </w:rPr>
      </w:pPr>
      <w:bookmarkStart w:id="9" w:name="bookmark10"/>
      <w:bookmarkEnd w:id="9"/>
      <w:r>
        <w:rPr>
          <w:b/>
          <w:bCs/>
          <w:spacing w:val="-8"/>
          <w:sz w:val="28"/>
          <w:szCs w:val="28"/>
        </w:rPr>
        <w:t>4.2.</w:t>
      </w:r>
      <w:r>
        <w:rPr>
          <w:b/>
          <w:bCs/>
          <w:spacing w:val="7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内部选聘</w:t>
      </w:r>
    </w:p>
    <w:p>
      <w:pPr>
        <w:pStyle w:val="BodyText"/>
        <w:spacing w:line="437" w:lineRule="auto"/>
      </w:pPr>
    </w:p>
    <w:p>
      <w:pPr>
        <w:spacing w:before="92" w:line="412" w:lineRule="auto"/>
        <w:ind w:left="36" w:firstLine="42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鉴于内部员工比较了解企业业务的实际情况，对企业</w:t>
      </w:r>
      <w:r>
        <w:rPr>
          <w:rFonts w:ascii="FangSong" w:eastAsia="FangSong" w:hAnsi="FangSong" w:cs="FangSong"/>
          <w:sz w:val="28"/>
          <w:szCs w:val="28"/>
        </w:rPr>
        <w:t>的忠诚度较</w:t>
      </w:r>
      <w:r>
        <w:rPr>
          <w:rFonts w:ascii="FangSong" w:eastAsia="FangSong" w:hAnsi="FangSong" w:cs="FangSong"/>
          <w:spacing w:val="-10"/>
          <w:sz w:val="28"/>
          <w:szCs w:val="28"/>
        </w:rPr>
        <w:t>高，内部招聘可以快速改善人力资源的配置状况，提高员工的积极性，</w:t>
      </w:r>
      <w:r>
        <w:rPr>
          <w:rFonts w:ascii="FangSong" w:eastAsia="FangSong" w:hAnsi="FangSong" w:cs="FangSong"/>
          <w:spacing w:val="-1"/>
          <w:sz w:val="28"/>
          <w:szCs w:val="28"/>
        </w:rPr>
        <w:t>并有效降低公司招聘成本，公司进行人才招聘应优先考虑内部招聘。</w:t>
      </w:r>
    </w:p>
    <w:p>
      <w:pPr>
        <w:spacing w:before="155" w:line="217" w:lineRule="auto"/>
        <w:ind w:left="48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1"/>
          <w:sz w:val="28"/>
          <w:szCs w:val="28"/>
        </w:rPr>
        <w:t>内部招聘，主要通过人才举荐、员工自荐、内部选拔等方式进行。</w:t>
      </w:r>
    </w:p>
    <w:p>
      <w:pPr>
        <w:pStyle w:val="BodyText"/>
        <w:spacing w:line="358" w:lineRule="auto"/>
      </w:pPr>
    </w:p>
    <w:p>
      <w:pPr>
        <w:spacing w:before="92" w:line="385" w:lineRule="auto"/>
        <w:ind w:left="35" w:right="102" w:firstLine="42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帮助员工做出理想的职业生涯规划，结合公</w:t>
      </w:r>
      <w:r>
        <w:rPr>
          <w:rFonts w:ascii="FangSong" w:eastAsia="FangSong" w:hAnsi="FangSong" w:cs="FangSong"/>
          <w:sz w:val="28"/>
          <w:szCs w:val="28"/>
        </w:rPr>
        <w:t>司业务发展需求和员</w:t>
      </w:r>
      <w:r>
        <w:rPr>
          <w:rFonts w:ascii="FangSong" w:eastAsia="FangSong" w:hAnsi="FangSong" w:cs="FangSong"/>
          <w:spacing w:val="-4"/>
          <w:sz w:val="28"/>
          <w:szCs w:val="28"/>
        </w:rPr>
        <w:t>工个人职业发展生涯，优化人员储备结构：一是针对人员分工结构分</w:t>
      </w:r>
      <w:r>
        <w:rPr>
          <w:rFonts w:ascii="FangSong" w:eastAsia="FangSong" w:hAnsi="FangSong" w:cs="FangSong"/>
          <w:spacing w:val="-4"/>
          <w:sz w:val="28"/>
          <w:szCs w:val="28"/>
        </w:rPr>
        <w:t>布需求，实现员工个人职业生涯与现任岗位的一致性；二是坚持应急</w:t>
      </w:r>
    </w:p>
    <w:p>
      <w:pPr>
        <w:spacing w:line="385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1855" w:right="1694" w:bottom="1711" w:left="1785" w:header="803" w:footer="993" w:gutter="0"/>
          <w:cols w:space="720"/>
        </w:sectPr>
      </w:pPr>
    </w:p>
    <w:p>
      <w:pPr>
        <w:spacing w:before="153" w:line="413" w:lineRule="auto"/>
        <w:ind w:left="38" w:right="88" w:hanging="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业务项目人员需求优先储备原则；三是战略性业务人员提前长期储备</w:t>
      </w:r>
      <w:r>
        <w:rPr>
          <w:rFonts w:ascii="FangSong" w:eastAsia="FangSong" w:hAnsi="FangSong" w:cs="FangSong"/>
          <w:spacing w:val="-14"/>
          <w:sz w:val="28"/>
          <w:szCs w:val="28"/>
        </w:rPr>
        <w:t>原则。</w:t>
      </w:r>
    </w:p>
    <w:p>
      <w:pPr>
        <w:spacing w:before="312" w:line="238" w:lineRule="auto"/>
        <w:ind w:left="29"/>
        <w:outlineLvl w:val="0"/>
        <w:rPr>
          <w:rFonts w:ascii="SimHei" w:eastAsia="SimHei" w:hAnsi="SimHei" w:cs="SimHei"/>
          <w:sz w:val="31"/>
          <w:szCs w:val="31"/>
        </w:rPr>
      </w:pPr>
      <w:bookmarkStart w:id="10" w:name="bookmark19"/>
      <w:bookmarkEnd w:id="10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5.</w:t>
      </w:r>
      <w:r>
        <w:rPr>
          <w:rFonts w:ascii="Times New Roman" w:eastAsia="Times New Roman" w:hAnsi="Times New Roman" w:cs="Times New Roman"/>
          <w:spacing w:val="22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6"/>
          <w:sz w:val="31"/>
          <w:szCs w:val="31"/>
        </w:rPr>
        <w:t>培养和塑造储备人才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before="91" w:line="231" w:lineRule="auto"/>
        <w:ind w:left="26"/>
        <w:outlineLvl w:val="1"/>
        <w:rPr>
          <w:rFonts w:ascii="FangSong" w:eastAsia="FangSong" w:hAnsi="FangSong" w:cs="FangSong"/>
          <w:sz w:val="28"/>
          <w:szCs w:val="28"/>
        </w:rPr>
      </w:pPr>
      <w:bookmarkStart w:id="11" w:name="bookmark11"/>
      <w:bookmarkEnd w:id="11"/>
      <w:bookmarkStart w:id="12" w:name="bookmark12"/>
      <w:bookmarkEnd w:id="12"/>
      <w:r>
        <w:rPr>
          <w:b/>
          <w:bCs/>
          <w:spacing w:val="-4"/>
          <w:sz w:val="28"/>
          <w:szCs w:val="28"/>
        </w:rPr>
        <w:t>5.1.</w:t>
      </w:r>
      <w:r>
        <w:rPr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建立长效的培训机制</w:t>
      </w:r>
    </w:p>
    <w:p>
      <w:pPr>
        <w:pStyle w:val="BodyText"/>
        <w:spacing w:line="436" w:lineRule="auto"/>
      </w:pPr>
    </w:p>
    <w:p>
      <w:pPr>
        <w:spacing w:before="91" w:line="412" w:lineRule="auto"/>
        <w:ind w:left="33" w:firstLine="42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使各岗位员工掌握相关的技术业务，加强知识管理，打造学习型</w:t>
      </w:r>
      <w:r>
        <w:rPr>
          <w:rFonts w:ascii="FangSong" w:eastAsia="FangSong" w:hAnsi="FangSong" w:cs="FangSong"/>
          <w:spacing w:val="-13"/>
          <w:sz w:val="28"/>
          <w:szCs w:val="28"/>
        </w:rPr>
        <w:t>团队，树立优秀员工榜样，提高整体协同配合能力，并根据“管理岗、</w:t>
      </w:r>
      <w:r>
        <w:rPr>
          <w:rFonts w:ascii="FangSong" w:eastAsia="FangSong" w:hAnsi="FangSong" w:cs="FangSong"/>
          <w:spacing w:val="-4"/>
          <w:sz w:val="28"/>
          <w:szCs w:val="28"/>
        </w:rPr>
        <w:t>技术岗、操作岗”等不同岗位对技能要求的特点，有针对性的进行企</w:t>
      </w:r>
      <w:r>
        <w:rPr>
          <w:rFonts w:ascii="FangSong" w:eastAsia="FangSong" w:hAnsi="FangSong" w:cs="FangSong"/>
          <w:spacing w:val="-1"/>
          <w:sz w:val="28"/>
          <w:szCs w:val="28"/>
        </w:rPr>
        <w:t>业内部培训、外派培训、员工自学、经验分享，并相互结合、补充，</w:t>
      </w:r>
      <w:r>
        <w:rPr>
          <w:rFonts w:ascii="FangSong" w:eastAsia="FangSong" w:hAnsi="FangSong" w:cs="FangSong"/>
          <w:spacing w:val="-3"/>
          <w:sz w:val="28"/>
          <w:szCs w:val="28"/>
        </w:rPr>
        <w:t>以此作为人员储备的重要手段。</w:t>
      </w:r>
    </w:p>
    <w:p>
      <w:pPr>
        <w:pStyle w:val="BodyText"/>
        <w:spacing w:before="260" w:line="231" w:lineRule="auto"/>
        <w:ind w:left="26"/>
        <w:outlineLvl w:val="1"/>
        <w:rPr>
          <w:rFonts w:ascii="FangSong" w:eastAsia="FangSong" w:hAnsi="FangSong" w:cs="FangSong"/>
          <w:sz w:val="28"/>
          <w:szCs w:val="28"/>
        </w:rPr>
      </w:pPr>
      <w:bookmarkStart w:id="13" w:name="bookmark13"/>
      <w:bookmarkEnd w:id="13"/>
      <w:r>
        <w:rPr>
          <w:b/>
          <w:bCs/>
          <w:spacing w:val="-4"/>
          <w:sz w:val="28"/>
          <w:szCs w:val="28"/>
        </w:rPr>
        <w:t>5.2.</w:t>
      </w:r>
      <w:r>
        <w:rPr>
          <w:b/>
          <w:bCs/>
          <w:spacing w:val="46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鼓励继续教育及技能认证</w:t>
      </w:r>
    </w:p>
    <w:p>
      <w:pPr>
        <w:pStyle w:val="BodyText"/>
        <w:spacing w:line="438" w:lineRule="auto"/>
      </w:pPr>
    </w:p>
    <w:p>
      <w:pPr>
        <w:spacing w:before="92" w:line="412" w:lineRule="auto"/>
        <w:ind w:left="32" w:right="84" w:firstLine="426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通过激励制度及企业扶持，鼓励员工进行各种形</w:t>
      </w:r>
      <w:r>
        <w:rPr>
          <w:rFonts w:ascii="FangSong" w:eastAsia="FangSong" w:hAnsi="FangSong" w:cs="FangSong"/>
          <w:sz w:val="28"/>
          <w:szCs w:val="28"/>
        </w:rPr>
        <w:t>式的继续教育及</w:t>
      </w:r>
      <w:r>
        <w:rPr>
          <w:rFonts w:ascii="FangSong" w:eastAsia="FangSong" w:hAnsi="FangSong" w:cs="FangSong"/>
          <w:spacing w:val="-4"/>
          <w:sz w:val="28"/>
          <w:szCs w:val="28"/>
        </w:rPr>
        <w:t>职业技能认证，包括：学历教育、专业技术人员继续教育、职业技术</w:t>
      </w:r>
      <w:r>
        <w:rPr>
          <w:rFonts w:ascii="FangSong" w:eastAsia="FangSong" w:hAnsi="FangSong" w:cs="FangSong"/>
          <w:spacing w:val="-4"/>
          <w:sz w:val="28"/>
          <w:szCs w:val="28"/>
        </w:rPr>
        <w:t>认证培训等；培训形式包括自我培训、内部培训、外部培训。鼓励员</w:t>
      </w:r>
      <w:r>
        <w:rPr>
          <w:rFonts w:ascii="FangSong" w:eastAsia="FangSong" w:hAnsi="FangSong" w:cs="FangSong"/>
          <w:spacing w:val="-4"/>
          <w:sz w:val="28"/>
          <w:szCs w:val="28"/>
        </w:rPr>
        <w:t>工自我增值，同时公司予以激励及扶持，达到员工自我价值实现，企</w:t>
      </w:r>
      <w:r>
        <w:rPr>
          <w:rFonts w:ascii="FangSong" w:eastAsia="FangSong" w:hAnsi="FangSong" w:cs="FangSong"/>
          <w:spacing w:val="-4"/>
          <w:sz w:val="28"/>
          <w:szCs w:val="28"/>
        </w:rPr>
        <w:t>业效能提升的双赢局面。</w:t>
      </w:r>
    </w:p>
    <w:p>
      <w:pPr>
        <w:spacing w:before="313" w:line="239" w:lineRule="auto"/>
        <w:ind w:left="28"/>
        <w:outlineLvl w:val="0"/>
        <w:rPr>
          <w:rFonts w:ascii="SimHei" w:eastAsia="SimHei" w:hAnsi="SimHei" w:cs="SimHei"/>
          <w:sz w:val="31"/>
          <w:szCs w:val="31"/>
        </w:rPr>
      </w:pPr>
      <w:bookmarkStart w:id="14" w:name="bookmark14"/>
      <w:bookmarkEnd w:id="14"/>
      <w:r>
        <w:rPr>
          <w:rFonts w:ascii="Times New Roman" w:eastAsia="Times New Roman" w:hAnsi="Times New Roman" w:cs="Times New Roman"/>
          <w:spacing w:val="7"/>
          <w:sz w:val="31"/>
          <w:szCs w:val="31"/>
        </w:rPr>
        <w:t>6.</w:t>
      </w:r>
      <w:r>
        <w:rPr>
          <w:rFonts w:ascii="Times New Roman" w:eastAsia="Times New Roman" w:hAnsi="Times New Roman" w:cs="Times New Roman"/>
          <w:spacing w:val="23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7"/>
          <w:sz w:val="31"/>
          <w:szCs w:val="31"/>
        </w:rPr>
        <w:t>做好企业人才梯队建设及管理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91" w:line="331" w:lineRule="auto"/>
        <w:ind w:left="67" w:right="132" w:firstLine="3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建立公司人才梯队，有计划地在中长期的时间内，分阶段对公司</w:t>
      </w:r>
      <w:r>
        <w:rPr>
          <w:rFonts w:ascii="FangSong" w:eastAsia="FangSong" w:hAnsi="FangSong" w:cs="FangSong"/>
          <w:spacing w:val="-5"/>
          <w:sz w:val="28"/>
          <w:szCs w:val="28"/>
        </w:rPr>
        <w:t>内部具有优秀技能、可培养的人员进行选拔。</w:t>
      </w:r>
    </w:p>
    <w:p>
      <w:pPr>
        <w:spacing w:line="33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07" w:h="16839"/>
          <w:pgMar w:top="1855" w:right="1712" w:bottom="1711" w:left="1785" w:header="803" w:footer="993" w:gutter="0"/>
          <w:cols w:space="720"/>
        </w:sectPr>
      </w:pPr>
    </w:p>
    <w:p>
      <w:pPr>
        <w:spacing w:before="152" w:line="412" w:lineRule="auto"/>
        <w:ind w:left="33" w:right="12" w:firstLine="42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选拔的“人才”指能掌握企业所需的核心知识和技能，</w:t>
      </w:r>
      <w:r>
        <w:rPr>
          <w:rFonts w:ascii="FangSong" w:eastAsia="FangSong" w:hAnsi="FangSong" w:cs="FangSong"/>
          <w:sz w:val="28"/>
          <w:szCs w:val="28"/>
        </w:rPr>
        <w:t>在提升企</w:t>
      </w:r>
      <w:r>
        <w:rPr>
          <w:rFonts w:ascii="FangSong" w:eastAsia="FangSong" w:hAnsi="FangSong" w:cs="FangSong"/>
          <w:spacing w:val="-4"/>
          <w:sz w:val="28"/>
          <w:szCs w:val="28"/>
        </w:rPr>
        <w:t>业经营业绩、改善经营管理、引领技术进步等方面发挥核心作用，符</w:t>
      </w:r>
      <w:r>
        <w:rPr>
          <w:rFonts w:ascii="FangSong" w:eastAsia="FangSong" w:hAnsi="FangSong" w:cs="FangSong"/>
          <w:spacing w:val="-4"/>
          <w:sz w:val="28"/>
          <w:szCs w:val="28"/>
        </w:rPr>
        <w:t>合企业持续健康发展需要，从事重要关键岗位工作的人员应具有业务</w:t>
      </w:r>
      <w:r>
        <w:rPr>
          <w:rFonts w:ascii="FangSong" w:eastAsia="FangSong" w:hAnsi="FangSong" w:cs="FangSong"/>
          <w:spacing w:val="-4"/>
          <w:sz w:val="28"/>
          <w:szCs w:val="28"/>
        </w:rPr>
        <w:t>能力及素质较高的员工。</w:t>
      </w:r>
    </w:p>
    <w:p>
      <w:pPr>
        <w:spacing w:before="314" w:line="238" w:lineRule="auto"/>
        <w:ind w:left="26"/>
        <w:outlineLvl w:val="0"/>
        <w:rPr>
          <w:rFonts w:ascii="SimHei" w:eastAsia="SimHei" w:hAnsi="SimHei" w:cs="SimHei"/>
          <w:sz w:val="31"/>
          <w:szCs w:val="31"/>
        </w:rPr>
      </w:pPr>
      <w:bookmarkStart w:id="15" w:name="bookmark15"/>
      <w:bookmarkEnd w:id="15"/>
      <w:r>
        <w:rPr>
          <w:rFonts w:ascii="Times New Roman" w:eastAsia="Times New Roman" w:hAnsi="Times New Roman" w:cs="Times New Roman"/>
          <w:spacing w:val="7"/>
          <w:sz w:val="31"/>
          <w:szCs w:val="31"/>
        </w:rPr>
        <w:t>7.</w:t>
      </w:r>
      <w:r>
        <w:rPr>
          <w:rFonts w:ascii="Times New Roman" w:eastAsia="Times New Roman" w:hAnsi="Times New Roman" w:cs="Times New Roman"/>
          <w:spacing w:val="2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7"/>
          <w:sz w:val="31"/>
          <w:szCs w:val="31"/>
        </w:rPr>
        <w:t>制订人员轮岗、备份制度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91" w:line="412" w:lineRule="auto"/>
        <w:ind w:left="33" w:right="12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为保障业务持续稳定实施，优化业务流程，科学设置岗位。公司</w:t>
      </w:r>
      <w:r>
        <w:rPr>
          <w:rFonts w:ascii="FangSong" w:eastAsia="FangSong" w:hAnsi="FangSong" w:cs="FangSong"/>
          <w:spacing w:val="-4"/>
          <w:sz w:val="28"/>
          <w:szCs w:val="28"/>
        </w:rPr>
        <w:t>应建立人员轮岗和备份制度。通过岗位轮换、近似岗位技能学习、交</w:t>
      </w:r>
      <w:r>
        <w:rPr>
          <w:rFonts w:ascii="FangSong" w:eastAsia="FangSong" w:hAnsi="FangSong" w:cs="FangSong"/>
          <w:spacing w:val="-4"/>
          <w:sz w:val="28"/>
          <w:szCs w:val="28"/>
        </w:rPr>
        <w:t>流等方式，培养复合型人才，达到同岗位双重储备的目标，以便在岗</w:t>
      </w:r>
      <w:r>
        <w:rPr>
          <w:rFonts w:ascii="FangSong" w:eastAsia="FangSong" w:hAnsi="FangSong" w:cs="FangSong"/>
          <w:spacing w:val="-2"/>
          <w:sz w:val="28"/>
          <w:szCs w:val="28"/>
        </w:rPr>
        <w:t>位空缺的时候可以及时补充。</w:t>
      </w:r>
    </w:p>
    <w:p>
      <w:pPr>
        <w:spacing w:before="154" w:line="411" w:lineRule="auto"/>
        <w:ind w:left="34" w:right="12" w:firstLine="41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轮岗制度，为员工提供了多方面的学习渠道，丰富了职业生涯发</w:t>
      </w:r>
      <w:r>
        <w:rPr>
          <w:rFonts w:ascii="FangSong" w:eastAsia="FangSong" w:hAnsi="FangSong" w:cs="FangSong"/>
          <w:spacing w:val="-1"/>
          <w:sz w:val="28"/>
          <w:szCs w:val="28"/>
        </w:rPr>
        <w:t>展通道，提高职业安全感，也保障了企业运行的稳定性。</w:t>
      </w:r>
    </w:p>
    <w:p>
      <w:pPr>
        <w:pStyle w:val="BodyText"/>
        <w:spacing w:before="157" w:line="411" w:lineRule="auto"/>
        <w:ind w:left="42" w:right="14" w:firstLine="4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备份制度，</w:t>
      </w:r>
      <w:r>
        <w:rPr>
          <w:spacing w:val="-7"/>
          <w:sz w:val="28"/>
          <w:szCs w:val="28"/>
        </w:rPr>
        <w:t>AB</w:t>
      </w:r>
      <w:r>
        <w:rPr>
          <w:spacing w:val="6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岗互备以便在岗位空缺的时候可以</w:t>
      </w:r>
      <w:r>
        <w:rPr>
          <w:rFonts w:ascii="FangSong" w:eastAsia="FangSong" w:hAnsi="FangSong" w:cs="FangSong"/>
          <w:spacing w:val="-8"/>
          <w:sz w:val="28"/>
          <w:szCs w:val="28"/>
        </w:rPr>
        <w:t>及时补充</w:t>
      </w:r>
      <w:r>
        <w:rPr>
          <w:rFonts w:ascii="FangSong" w:eastAsia="FangSong" w:hAnsi="FangSong" w:cs="FangSong"/>
          <w:spacing w:val="-50"/>
          <w:sz w:val="28"/>
          <w:szCs w:val="28"/>
        </w:rPr>
        <w:t>，，</w:t>
      </w:r>
      <w:r>
        <w:rPr>
          <w:rFonts w:ascii="FangSong" w:eastAsia="FangSong" w:hAnsi="FangSong" w:cs="FangSong"/>
          <w:spacing w:val="-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提</w:t>
      </w:r>
      <w:r>
        <w:rPr>
          <w:rFonts w:ascii="FangSong" w:eastAsia="FangSong" w:hAnsi="FangSong" w:cs="FangSong"/>
          <w:spacing w:val="-2"/>
          <w:sz w:val="28"/>
          <w:szCs w:val="28"/>
        </w:rPr>
        <w:t>高岗位更替的安全，也保障了企业运行的稳</w:t>
      </w:r>
      <w:r>
        <w:rPr>
          <w:rFonts w:ascii="FangSong" w:eastAsia="FangSong" w:hAnsi="FangSong" w:cs="FangSong"/>
          <w:spacing w:val="-3"/>
          <w:sz w:val="28"/>
          <w:szCs w:val="28"/>
        </w:rPr>
        <w:t>定性。</w:t>
      </w:r>
    </w:p>
    <w:p>
      <w:pPr>
        <w:spacing w:before="318" w:line="238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16" w:name="bookmark16"/>
      <w:bookmarkEnd w:id="16"/>
      <w:bookmarkStart w:id="17" w:name="bookmark17"/>
      <w:bookmarkEnd w:id="17"/>
      <w:bookmarkStart w:id="18" w:name="bookmark18"/>
      <w:bookmarkEnd w:id="18"/>
      <w:r>
        <w:rPr>
          <w:rFonts w:ascii="Times New Roman" w:eastAsia="Times New Roman" w:hAnsi="Times New Roman" w:cs="Times New Roman"/>
          <w:spacing w:val="8"/>
          <w:sz w:val="31"/>
          <w:szCs w:val="31"/>
        </w:rPr>
        <w:t xml:space="preserve">8.  </w:t>
      </w:r>
      <w:r>
        <w:rPr>
          <w:rFonts w:ascii="SimHei" w:eastAsia="SimHei" w:hAnsi="SimHei" w:cs="SimHei"/>
          <w:spacing w:val="8"/>
          <w:sz w:val="31"/>
          <w:szCs w:val="31"/>
        </w:rPr>
        <w:t>保证人力资源持续稳定的激励机制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91" w:line="412" w:lineRule="auto"/>
        <w:ind w:left="33" w:right="11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8"/>
          <w:sz w:val="28"/>
          <w:szCs w:val="28"/>
        </w:rPr>
        <w:t>人才是企业的第一资本，“因事择人，因才施用，保证动态平衡”，</w:t>
      </w:r>
      <w:r>
        <w:rPr>
          <w:rFonts w:ascii="FangSong" w:eastAsia="FangSong" w:hAnsi="FangSong" w:cs="FangSong"/>
          <w:spacing w:val="-4"/>
          <w:sz w:val="28"/>
          <w:szCs w:val="28"/>
        </w:rPr>
        <w:t>不仅依靠公司的规章制度进行人力资源管理，还可以通过有效的激励</w:t>
      </w:r>
      <w:r>
        <w:rPr>
          <w:rFonts w:ascii="FangSong" w:eastAsia="FangSong" w:hAnsi="FangSong" w:cs="FangSong"/>
          <w:spacing w:val="-10"/>
          <w:sz w:val="28"/>
          <w:szCs w:val="28"/>
        </w:rPr>
        <w:t>机制保持人力资源稳定，使员工统一思想、观念、行</w:t>
      </w:r>
      <w:r>
        <w:rPr>
          <w:rFonts w:ascii="FangSong" w:eastAsia="FangSong" w:hAnsi="FangSong" w:cs="FangSong"/>
          <w:spacing w:val="-11"/>
          <w:sz w:val="28"/>
          <w:szCs w:val="28"/>
        </w:rPr>
        <w:t>为，</w:t>
      </w:r>
      <w:r>
        <w:rPr>
          <w:rFonts w:ascii="FangSong" w:eastAsia="FangSong" w:hAnsi="FangSong" w:cs="FangSong"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1"/>
          <w:sz w:val="28"/>
          <w:szCs w:val="28"/>
        </w:rPr>
        <w:t>激励员工奋</w:t>
      </w:r>
      <w:r>
        <w:rPr>
          <w:rFonts w:ascii="FangSong" w:eastAsia="FangSong" w:hAnsi="FangSong" w:cs="FangSong"/>
          <w:spacing w:val="-2"/>
          <w:sz w:val="28"/>
          <w:szCs w:val="28"/>
        </w:rPr>
        <w:t>发向上，共同为公司的发展贡献力量。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8"/>
          <w:footerReference w:type="default" r:id="rId19"/>
          <w:pgSz w:w="11907" w:h="16839"/>
          <w:pgMar w:top="1855" w:right="1785" w:bottom="1711" w:left="1785" w:header="803" w:footer="993" w:gutter="0"/>
          <w:cols w:space="720"/>
        </w:sectPr>
      </w:pPr>
    </w:p>
    <w:p>
      <w:pPr>
        <w:spacing w:before="157" w:line="411" w:lineRule="auto"/>
        <w:ind w:left="32" w:right="583" w:firstLine="41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从员工的需求方面分析，根据员工在公司成长过程中不断地产生</w:t>
      </w:r>
      <w:r>
        <w:rPr>
          <w:rFonts w:ascii="FangSong" w:eastAsia="FangSong" w:hAnsi="FangSong" w:cs="FangSong"/>
          <w:spacing w:val="-4"/>
          <w:sz w:val="28"/>
          <w:szCs w:val="28"/>
        </w:rPr>
        <w:t>新的动机和需要建立适时有效的员工激励机制，努力为员工提供充足</w:t>
      </w:r>
      <w:r>
        <w:rPr>
          <w:rFonts w:ascii="FangSong" w:eastAsia="FangSong" w:hAnsi="FangSong" w:cs="FangSong"/>
          <w:spacing w:val="-4"/>
          <w:sz w:val="28"/>
          <w:szCs w:val="28"/>
        </w:rPr>
        <w:t>的个人发展空间，引导员工树立与企业共同发展的理念，并将多个激</w:t>
      </w:r>
      <w:r>
        <w:rPr>
          <w:rFonts w:ascii="FangSong" w:eastAsia="FangSong" w:hAnsi="FangSong" w:cs="FangSong"/>
          <w:spacing w:val="-4"/>
          <w:sz w:val="28"/>
          <w:szCs w:val="28"/>
        </w:rPr>
        <w:t>励方式联合运用，因地制宜、合理地运用激励机制，根据内外环境的</w:t>
      </w:r>
      <w:r>
        <w:rPr>
          <w:rFonts w:ascii="FangSong" w:eastAsia="FangSong" w:hAnsi="FangSong" w:cs="FangSong"/>
          <w:spacing w:val="-4"/>
          <w:sz w:val="28"/>
          <w:szCs w:val="28"/>
        </w:rPr>
        <w:t>实际情况不断的改进、完善和调整激励机制的方式，提高人力资源的</w:t>
      </w:r>
      <w:r>
        <w:rPr>
          <w:rFonts w:ascii="FangSong" w:eastAsia="FangSong" w:hAnsi="FangSong" w:cs="FangSong"/>
          <w:spacing w:val="-1"/>
          <w:sz w:val="28"/>
          <w:szCs w:val="28"/>
        </w:rPr>
        <w:t>利用率，使公司人力资源保持稳定。</w:t>
      </w:r>
    </w:p>
    <w:p>
      <w:pPr>
        <w:spacing w:before="155" w:line="413" w:lineRule="auto"/>
        <w:ind w:left="38" w:right="626" w:firstLine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结合公司绩效考核制度，对储备人才和关键岗位人才，在薪资、</w:t>
      </w:r>
      <w:r>
        <w:rPr>
          <w:rFonts w:ascii="FangSong" w:eastAsia="FangSong" w:hAnsi="FangSong" w:cs="FangSong"/>
          <w:spacing w:val="-2"/>
          <w:sz w:val="28"/>
          <w:szCs w:val="28"/>
        </w:rPr>
        <w:t>奖金、培训、评优等活动中，给予特珠政策。</w:t>
      </w:r>
    </w:p>
    <w:p>
      <w:pPr>
        <w:spacing w:before="313"/>
        <w:ind w:left="27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9.</w:t>
      </w:r>
      <w:r>
        <w:rPr>
          <w:rFonts w:ascii="Times New Roman" w:eastAsia="Times New Roman" w:hAnsi="Times New Roman" w:cs="Times New Roman"/>
          <w:spacing w:val="17"/>
          <w:sz w:val="31"/>
          <w:szCs w:val="31"/>
        </w:rPr>
        <w:t xml:space="preserve"> 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5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5"/>
          <w:sz w:val="31"/>
          <w:szCs w:val="31"/>
        </w:rPr>
        <w:t>指标</w:t>
      </w:r>
    </w:p>
    <w:p>
      <w:pPr>
        <w:pStyle w:val="BodyText"/>
        <w:spacing w:line="479" w:lineRule="auto"/>
      </w:pPr>
    </w:p>
    <w:p>
      <w:pPr>
        <w:pStyle w:val="BodyText"/>
        <w:spacing w:before="91" w:line="219" w:lineRule="auto"/>
        <w:ind w:left="4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人员储备管理的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KPI </w:t>
      </w:r>
      <w:r>
        <w:rPr>
          <w:rFonts w:ascii="FangSong" w:eastAsia="FangSong" w:hAnsi="FangSong" w:cs="FangSong"/>
          <w:spacing w:val="-3"/>
          <w:sz w:val="28"/>
          <w:szCs w:val="28"/>
        </w:rPr>
        <w:t>指标设置如下：</w:t>
      </w:r>
    </w:p>
    <w:p>
      <w:pPr>
        <w:spacing w:line="118" w:lineRule="exact"/>
      </w:pPr>
    </w:p>
    <w:tbl>
      <w:tblPr>
        <w:tblStyle w:val="TableNormal"/>
        <w:tblW w:w="8886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20"/>
        <w:gridCol w:w="1039"/>
        <w:gridCol w:w="1144"/>
      </w:tblGrid>
      <w:tr>
        <w:tblPrEx>
          <w:tblW w:w="8886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5"/>
        </w:trPr>
        <w:tc>
          <w:tcPr>
            <w:tcW w:w="2183" w:type="dxa"/>
            <w:shd w:val="clear" w:color="auto" w:fill="C0C0C0"/>
          </w:tcPr>
          <w:p>
            <w:pPr>
              <w:spacing w:line="397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5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指标名称</w:t>
            </w:r>
          </w:p>
        </w:tc>
        <w:tc>
          <w:tcPr>
            <w:tcW w:w="4520" w:type="dxa"/>
            <w:shd w:val="clear" w:color="auto" w:fill="C0C0C0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计算公式</w:t>
            </w:r>
          </w:p>
        </w:tc>
        <w:tc>
          <w:tcPr>
            <w:tcW w:w="1039" w:type="dxa"/>
            <w:shd w:val="clear" w:color="auto" w:fill="C0C0C0"/>
          </w:tcPr>
          <w:p>
            <w:pPr>
              <w:spacing w:before="177" w:line="219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考核</w:t>
            </w:r>
          </w:p>
          <w:p>
            <w:pPr>
              <w:spacing w:before="291" w:line="219" w:lineRule="auto"/>
              <w:ind w:left="2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要求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77" w:line="352" w:lineRule="auto"/>
              <w:ind w:left="446" w:right="148" w:hanging="2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考核周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期</w:t>
            </w:r>
          </w:p>
        </w:tc>
      </w:tr>
      <w:tr>
        <w:tblPrEx>
          <w:tblW w:w="8886" w:type="dxa"/>
          <w:tblInd w:w="17" w:type="dxa"/>
          <w:tblLayout w:type="fixed"/>
        </w:tblPrEx>
        <w:trPr>
          <w:trHeight w:val="1255"/>
        </w:trPr>
        <w:tc>
          <w:tcPr>
            <w:tcW w:w="2183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储备计划完成率</w:t>
            </w:r>
          </w:p>
        </w:tc>
        <w:tc>
          <w:tcPr>
            <w:tcW w:w="4520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实际储备人数/计划储备人数*100%</w:t>
            </w:r>
          </w:p>
        </w:tc>
        <w:tc>
          <w:tcPr>
            <w:tcW w:w="1039" w:type="dxa"/>
          </w:tcPr>
          <w:p>
            <w:pPr>
              <w:spacing w:before="176" w:line="238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≥</w:t>
            </w:r>
          </w:p>
          <w:p>
            <w:pPr>
              <w:spacing w:before="263" w:line="237" w:lineRule="auto"/>
              <w:ind w:left="2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14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年度</w:t>
            </w:r>
          </w:p>
        </w:tc>
      </w:tr>
    </w:tbl>
    <w:p>
      <w:pPr>
        <w:pStyle w:val="BodyText"/>
        <w:spacing w:line="348" w:lineRule="auto"/>
      </w:pPr>
    </w:p>
    <w:p>
      <w:pPr>
        <w:pStyle w:val="BodyText"/>
        <w:spacing w:line="349" w:lineRule="auto"/>
      </w:pPr>
    </w:p>
    <w:p>
      <w:pPr>
        <w:spacing w:before="101" w:line="239" w:lineRule="auto"/>
        <w:ind w:left="51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5"/>
          <w:sz w:val="31"/>
          <w:szCs w:val="31"/>
        </w:rPr>
        <w:t>10.</w:t>
      </w:r>
      <w:r>
        <w:rPr>
          <w:rFonts w:ascii="SimHei" w:eastAsia="SimHei" w:hAnsi="SimHei" w:cs="SimHei"/>
          <w:spacing w:val="5"/>
          <w:sz w:val="31"/>
          <w:szCs w:val="31"/>
        </w:rPr>
        <w:t>相关记录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before="91" w:line="412" w:lineRule="auto"/>
        <w:ind w:left="451" w:right="41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《</w:t>
      </w:r>
      <w:r>
        <w:rPr>
          <w:spacing w:val="-2"/>
          <w:sz w:val="28"/>
          <w:szCs w:val="28"/>
        </w:rPr>
        <w:t xml:space="preserve">XX </w:t>
      </w:r>
      <w:r>
        <w:rPr>
          <w:rFonts w:ascii="FangSong" w:eastAsia="FangSong" w:hAnsi="FangSong" w:cs="FangSong"/>
          <w:spacing w:val="-2"/>
          <w:sz w:val="28"/>
          <w:szCs w:val="28"/>
        </w:rPr>
        <w:t>年度运维岗位人员储备计划》</w:t>
      </w:r>
      <w:r>
        <w:rPr>
          <w:rFonts w:ascii="FangSong" w:eastAsia="FangSong" w:hAnsi="FangSong" w:cs="FangSong"/>
          <w:spacing w:val="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《</w:t>
      </w:r>
      <w:r>
        <w:rPr>
          <w:spacing w:val="-2"/>
          <w:sz w:val="28"/>
          <w:szCs w:val="28"/>
        </w:rPr>
        <w:t xml:space="preserve">XX </w:t>
      </w:r>
      <w:r>
        <w:rPr>
          <w:rFonts w:ascii="FangSong" w:eastAsia="FangSong" w:hAnsi="FangSong" w:cs="FangSong"/>
          <w:spacing w:val="-2"/>
          <w:sz w:val="28"/>
          <w:szCs w:val="28"/>
        </w:rPr>
        <w:t>年度人力资源工作总结报告》</w:t>
      </w:r>
    </w:p>
    <w:sectPr>
      <w:headerReference w:type="default" r:id="rId20"/>
      <w:footerReference w:type="default" r:id="rId21"/>
      <w:pgSz w:w="11907" w:h="16839"/>
      <w:pgMar w:top="1855" w:right="1214" w:bottom="1711" w:left="1785" w:header="803" w:footer="99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14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361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14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124564123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8" w:lineRule="exact"/>
      <w:ind w:left="4127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1</w:t>
    </w:r>
  </w:p>
  <w:p>
    <w:pPr>
      <w:pStyle w:val="BodyText"/>
      <w:spacing w:line="379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8" w:lineRule="exact"/>
      <w:ind w:left="4121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2</w:t>
    </w:r>
  </w:p>
  <w:p>
    <w:pPr>
      <w:pStyle w:val="BodyText"/>
      <w:spacing w:line="379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7" w:lineRule="exact"/>
      <w:ind w:left="4120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3</w:t>
    </w:r>
  </w:p>
  <w:p>
    <w:pPr>
      <w:pStyle w:val="BodyText"/>
      <w:spacing w:line="381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8" w:lineRule="exact"/>
      <w:ind w:left="4115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4</w:t>
    </w:r>
  </w:p>
  <w:p>
    <w:pPr>
      <w:pStyle w:val="BodyText"/>
      <w:spacing w:line="380" w:lineRule="auto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7" w:lineRule="exact"/>
      <w:ind w:left="4120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5</w:t>
    </w:r>
  </w:p>
  <w:p>
    <w:pPr>
      <w:pStyle w:val="BodyText"/>
      <w:spacing w:line="381" w:lineRule="auto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2" w:after="55" w:line="227" w:lineRule="exact"/>
      <w:ind w:left="4121"/>
      <w:rPr>
        <w:rFonts w:ascii="Calibri" w:eastAsia="Calibri" w:hAnsi="Calibri" w:cs="Calibri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9605772</wp:posOffset>
          </wp:positionV>
          <wp:extent cx="1483867" cy="455802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58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position w:val="1"/>
        <w:sz w:val="18"/>
        <w:szCs w:val="18"/>
      </w:rPr>
      <w:t>6</w:t>
    </w:r>
  </w:p>
  <w:p>
    <w:pPr>
      <w:pStyle w:val="BodyText"/>
      <w:spacing w:line="381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1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169909466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26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3439" cy="584834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3" w:lineRule="auto"/>
    </w:pPr>
  </w:p>
  <w:p>
    <w:pPr>
      <w:spacing w:before="58" w:line="220" w:lineRule="auto"/>
      <w:ind w:left="52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9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2023-07-25T23:12:00Z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2025-12-03T15:21:06Z</vt:filetime>
  </property>
  <property fmtid="{D5CDD505-2E9C-101B-9397-08002B2CF9AE}" pid="3" name="CRO">
    <vt:lpwstr>wqlLaW5nc29mdCBQREYgdG8gV1BTIDExNQ</vt:lpwstr>
  </property>
</Properties>
</file>