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spacing w:before="234" w:line="217" w:lineRule="auto"/>
        <w:ind w:left="2050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5"/>
          <w:sz w:val="72"/>
          <w:szCs w:val="72"/>
        </w:rPr>
        <w:t>运维服务工具</w:t>
      </w:r>
    </w:p>
    <w:p>
      <w:pPr>
        <w:spacing w:before="381" w:line="218" w:lineRule="auto"/>
        <w:ind w:left="2044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4"/>
          <w:sz w:val="72"/>
          <w:szCs w:val="72"/>
        </w:rPr>
        <w:t>应用情况说明</w:t>
      </w:r>
    </w:p>
    <w:p>
      <w:pPr>
        <w:spacing w:before="375" w:line="216" w:lineRule="auto"/>
        <w:ind w:left="1330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及效果自评估报告</w:t>
      </w:r>
    </w:p>
    <w:p>
      <w:pPr>
        <w:pStyle w:val="BodyText"/>
        <w:spacing w:line="350" w:lineRule="auto"/>
      </w:pPr>
    </w:p>
    <w:p>
      <w:pPr>
        <w:spacing w:before="91" w:line="232" w:lineRule="auto"/>
        <w:ind w:left="270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-3"/>
          <w:sz w:val="28"/>
          <w:szCs w:val="28"/>
        </w:rPr>
        <w:t>（YNTD-ITSS-1001-01）</w:t>
      </w:r>
    </w:p>
    <w:p>
      <w:pPr>
        <w:pStyle w:val="BodyText"/>
        <w:spacing w:line="308" w:lineRule="auto"/>
      </w:pPr>
    </w:p>
    <w:p>
      <w:pPr>
        <w:spacing w:before="91" w:line="220" w:lineRule="auto"/>
        <w:ind w:left="273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-3"/>
          <w:sz w:val="28"/>
          <w:szCs w:val="28"/>
        </w:rPr>
        <w:t>运维过程+监控管理工具</w:t>
      </w:r>
    </w:p>
    <w:p>
      <w:pPr>
        <w:spacing w:before="148" w:line="220" w:lineRule="auto"/>
        <w:ind w:left="165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-4"/>
          <w:sz w:val="28"/>
          <w:szCs w:val="28"/>
        </w:rPr>
        <w:t>(智能一体化运维支撑平台</w:t>
      </w:r>
      <w:r>
        <w:rPr>
          <w:rFonts w:ascii="SimSun" w:eastAsia="SimSun" w:hAnsi="SimSun" w:cs="SimSun"/>
          <w:spacing w:val="-4"/>
          <w:sz w:val="28"/>
          <w:szCs w:val="28"/>
        </w:rPr>
        <w:t xml:space="preserve"> </w:t>
      </w:r>
      <w:r>
        <w:rPr>
          <w:rFonts w:ascii="SimSun" w:eastAsia="SimSun" w:hAnsi="SimSun" w:cs="SimSun"/>
          <w:b/>
          <w:bCs/>
          <w:spacing w:val="-4"/>
          <w:sz w:val="28"/>
          <w:szCs w:val="28"/>
        </w:rPr>
        <w:t>SG-I6000</w:t>
      </w:r>
      <w:r>
        <w:rPr>
          <w:rFonts w:ascii="SimSun" w:eastAsia="SimSun" w:hAnsi="SimSun" w:cs="SimSun"/>
          <w:spacing w:val="-4"/>
          <w:sz w:val="28"/>
          <w:szCs w:val="28"/>
        </w:rPr>
        <w:t xml:space="preserve"> </w:t>
      </w:r>
      <w:r>
        <w:rPr>
          <w:rFonts w:ascii="SimSun" w:eastAsia="SimSun" w:hAnsi="SimSun" w:cs="SimSun"/>
          <w:b/>
          <w:bCs/>
          <w:spacing w:val="-4"/>
          <w:sz w:val="28"/>
          <w:szCs w:val="28"/>
        </w:rPr>
        <w:t>2.0)</w:t>
      </w: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spacing w:before="102" w:line="223" w:lineRule="auto"/>
        <w:ind w:left="195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571" w:right="1785" w:bottom="1034" w:left="1785" w:header="518" w:footer="316" w:gutter="0"/>
          <w:cols w:space="720"/>
        </w:sectPr>
      </w:pPr>
    </w:p>
    <w:p>
      <w:pPr>
        <w:pStyle w:val="BodyText"/>
        <w:spacing w:line="316" w:lineRule="auto"/>
      </w:pPr>
    </w:p>
    <w:p>
      <w:pPr>
        <w:pStyle w:val="BodyText"/>
        <w:spacing w:line="316" w:lineRule="auto"/>
      </w:pPr>
    </w:p>
    <w:p>
      <w:pPr>
        <w:spacing w:before="97" w:line="220" w:lineRule="auto"/>
        <w:ind w:left="3475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05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5"/>
        <w:gridCol w:w="883"/>
        <w:gridCol w:w="1271"/>
        <w:gridCol w:w="957"/>
        <w:gridCol w:w="1377"/>
        <w:gridCol w:w="1017"/>
        <w:gridCol w:w="1274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8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before="194" w:line="298" w:lineRule="auto"/>
              <w:ind w:left="294" w:right="7" w:firstLine="29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3"/>
                <w:sz w:val="24"/>
                <w:szCs w:val="24"/>
              </w:rPr>
              <w:t>版</w:t>
            </w:r>
            <w:r>
              <w:rPr>
                <w:rFonts w:ascii="SimSun" w:eastAsia="SimSun" w:hAnsi="SimSun" w:cs="SimSun"/>
                <w:b/>
                <w:bCs/>
                <w:spacing w:val="-3"/>
                <w:sz w:val="24"/>
                <w:szCs w:val="24"/>
              </w:rPr>
              <w:t>本</w:t>
            </w:r>
          </w:p>
        </w:tc>
        <w:tc>
          <w:tcPr>
            <w:tcW w:w="215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4" w:line="226" w:lineRule="auto"/>
              <w:ind w:left="53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4"/>
                <w:sz w:val="24"/>
                <w:szCs w:val="2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</w:rPr>
              <w:t>/</w:t>
            </w:r>
            <w:r>
              <w:rPr>
                <w:rFonts w:ascii="SimSun" w:eastAsia="SimSun" w:hAnsi="SimSun" w:cs="SimSun"/>
                <w:b/>
                <w:bCs/>
                <w:spacing w:val="-4"/>
                <w:sz w:val="24"/>
                <w:szCs w:val="2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3" w:line="219" w:lineRule="auto"/>
              <w:ind w:left="930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91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4" w:line="220" w:lineRule="auto"/>
              <w:ind w:left="915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1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76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3" w:type="dxa"/>
            <w:shd w:val="clear" w:color="auto" w:fill="D9D9D9"/>
          </w:tcPr>
          <w:p>
            <w:pPr>
              <w:spacing w:before="179" w:line="220" w:lineRule="auto"/>
              <w:ind w:left="19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1" w:type="dxa"/>
            <w:shd w:val="clear" w:color="auto" w:fill="D9D9D9"/>
          </w:tcPr>
          <w:p>
            <w:pPr>
              <w:spacing w:before="179" w:line="220" w:lineRule="auto"/>
              <w:ind w:left="43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spacing w:before="179" w:line="220" w:lineRule="auto"/>
              <w:ind w:left="24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spacing w:before="179" w:line="220" w:lineRule="auto"/>
              <w:ind w:left="49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spacing w:before="179" w:line="220" w:lineRule="auto"/>
              <w:ind w:left="27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4" w:type="dxa"/>
            <w:shd w:val="clear" w:color="auto" w:fill="D9D9D9"/>
          </w:tcPr>
          <w:p>
            <w:pPr>
              <w:spacing w:before="179" w:line="220" w:lineRule="auto"/>
              <w:ind w:left="44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592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74" w:line="237" w:lineRule="auto"/>
              <w:ind w:left="251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V1.0</w:t>
            </w:r>
          </w:p>
        </w:tc>
        <w:tc>
          <w:tcPr>
            <w:tcW w:w="883" w:type="dxa"/>
            <w:tcBorders>
              <w:bottom w:val="single" w:sz="10" w:space="0" w:color="000000"/>
            </w:tcBorders>
          </w:tcPr>
          <w:p>
            <w:pPr>
              <w:spacing w:before="73" w:line="220" w:lineRule="auto"/>
              <w:ind w:left="230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周丽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74" w:line="237" w:lineRule="auto"/>
              <w:ind w:left="26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2023.7.5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spacing w:before="73" w:line="218" w:lineRule="auto"/>
              <w:ind w:left="326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74" w:line="237" w:lineRule="auto"/>
              <w:ind w:left="32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2023.7.6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spacing w:before="73" w:line="220" w:lineRule="auto"/>
              <w:ind w:left="258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陆涛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74" w:line="237" w:lineRule="auto"/>
              <w:ind w:left="276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2023.7.6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spacing w:before="74" w:line="219" w:lineRule="auto"/>
              <w:ind w:left="542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6"/>
                <w:sz w:val="21"/>
                <w:szCs w:val="21"/>
              </w:rPr>
              <w:t>新建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571" w:right="1437" w:bottom="1303" w:left="1438" w:header="518" w:footer="487" w:gutter="0"/>
          <w:cols w:space="720"/>
        </w:sectPr>
      </w:pPr>
    </w:p>
    <w:p>
      <w:pPr>
        <w:pStyle w:val="BodyText"/>
        <w:spacing w:line="264" w:lineRule="auto"/>
      </w:pPr>
    </w:p>
    <w:p>
      <w:pPr>
        <w:pStyle w:val="BodyText"/>
        <w:spacing w:line="265" w:lineRule="auto"/>
      </w:pPr>
    </w:p>
    <w:p>
      <w:pPr>
        <w:pStyle w:val="BodyText"/>
        <w:spacing w:line="265" w:lineRule="auto"/>
      </w:pPr>
    </w:p>
    <w:p>
      <w:pPr>
        <w:pStyle w:val="BodyText"/>
        <w:spacing w:line="265" w:lineRule="auto"/>
      </w:pPr>
    </w:p>
    <w:p>
      <w:pPr>
        <w:pStyle w:val="BodyText"/>
        <w:spacing w:line="265" w:lineRule="auto"/>
      </w:pPr>
    </w:p>
    <w:p>
      <w:pPr>
        <w:pStyle w:val="BodyText"/>
        <w:spacing w:line="265" w:lineRule="auto"/>
      </w:pPr>
    </w:p>
    <w:p>
      <w:pPr>
        <w:pStyle w:val="BodyText"/>
        <w:spacing w:line="265" w:lineRule="auto"/>
      </w:pPr>
    </w:p>
    <w:sdt>
      <w:sdtPr>
        <w:rPr>
          <w:rFonts w:ascii="SimSun" w:eastAsia="SimSun" w:hAnsi="SimSun" w:cs="SimSun"/>
          <w:sz w:val="43"/>
          <w:szCs w:val="43"/>
        </w:rPr>
        <w:id w:val="76892626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sz w:val="28"/>
          <w:szCs w:val="28"/>
        </w:rPr>
      </w:sdtEndPr>
      <w:sdtContent>
        <w:p>
          <w:pPr>
            <w:spacing w:before="140" w:line="226" w:lineRule="auto"/>
            <w:ind w:left="3956"/>
            <w:rPr>
              <w:rFonts w:ascii="SimSun" w:eastAsia="SimSun" w:hAnsi="SimSun" w:cs="SimSun"/>
              <w:sz w:val="43"/>
              <w:szCs w:val="43"/>
            </w:rPr>
          </w:pPr>
          <w:r>
            <w:rPr>
              <w:rFonts w:ascii="SimSun" w:eastAsia="SimSun" w:hAnsi="SimSun" w:cs="SimSun"/>
              <w:b/>
              <w:bCs/>
              <w:spacing w:val="-51"/>
              <w:sz w:val="43"/>
              <w:szCs w:val="43"/>
            </w:rPr>
            <w:t>目</w:t>
          </w:r>
          <w:r>
            <w:rPr>
              <w:rFonts w:ascii="SimSun" w:eastAsia="SimSun" w:hAnsi="SimSun" w:cs="SimSun"/>
              <w:spacing w:val="27"/>
              <w:sz w:val="43"/>
              <w:szCs w:val="43"/>
            </w:rPr>
            <w:t xml:space="preserve"> </w:t>
          </w:r>
          <w:r>
            <w:rPr>
              <w:rFonts w:ascii="SimSun" w:eastAsia="SimSun" w:hAnsi="SimSun" w:cs="SimSun"/>
              <w:b/>
              <w:bCs/>
              <w:spacing w:val="-51"/>
              <w:sz w:val="43"/>
              <w:szCs w:val="43"/>
            </w:rPr>
            <w:t>录</w:t>
          </w:r>
        </w:p>
        <w:p>
          <w:pPr>
            <w:pStyle w:val="BodyText"/>
            <w:spacing w:line="263" w:lineRule="auto"/>
          </w:pPr>
        </w:p>
        <w:p>
          <w:pPr>
            <w:pStyle w:val="BodyText"/>
            <w:spacing w:line="264" w:lineRule="auto"/>
          </w:pPr>
        </w:p>
        <w:p>
          <w:pPr>
            <w:pStyle w:val="BodyText"/>
            <w:tabs>
              <w:tab w:val="right" w:leader="dot" w:pos="8322"/>
            </w:tabs>
            <w:spacing w:before="91" w:line="198" w:lineRule="auto"/>
            <w:ind w:left="45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spacing w:val="-13"/>
              <w:sz w:val="28"/>
              <w:szCs w:val="28"/>
            </w:rPr>
            <w:t>1</w:t>
          </w:r>
          <w:r>
            <w:rPr>
              <w:spacing w:val="5"/>
              <w:sz w:val="28"/>
              <w:szCs w:val="28"/>
            </w:rPr>
            <w:t xml:space="preserve">      </w:t>
          </w:r>
          <w:r>
            <w:rPr>
              <w:rFonts w:ascii="FangSong" w:eastAsia="FangSong" w:hAnsi="FangSong" w:cs="FangSong"/>
              <w:b/>
              <w:bCs/>
              <w:spacing w:val="-13"/>
              <w:sz w:val="28"/>
              <w:szCs w:val="28"/>
            </w:rPr>
            <w:t>工具概述</w:t>
          </w:r>
          <w:r>
            <w:rPr>
              <w:rFonts w:ascii="FangSong" w:eastAsia="FangSong" w:hAnsi="FangSong" w:cs="FangSong"/>
              <w:b/>
              <w:bCs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4"/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4</w:t>
          </w:r>
          <w:r>
            <w:fldChar w:fldCharType="end"/>
          </w:r>
        </w:p>
        <w:p>
          <w:pPr>
            <w:pStyle w:val="BodyText"/>
            <w:spacing w:line="259" w:lineRule="auto"/>
          </w:pPr>
        </w:p>
        <w:p>
          <w:pPr>
            <w:pStyle w:val="BodyText"/>
            <w:tabs>
              <w:tab w:val="right" w:leader="dot" w:pos="8322"/>
            </w:tabs>
            <w:spacing w:before="91" w:line="198" w:lineRule="auto"/>
            <w:ind w:left="22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spacing w:val="-6"/>
              <w:sz w:val="28"/>
              <w:szCs w:val="28"/>
            </w:rPr>
            <w:t>2</w:t>
          </w:r>
          <w:r>
            <w:rPr>
              <w:spacing w:val="5"/>
              <w:sz w:val="28"/>
              <w:szCs w:val="28"/>
            </w:rPr>
            <w:t xml:space="preserve">      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工具效果自评估</w:t>
          </w:r>
          <w:r>
            <w:rPr>
              <w:rFonts w:ascii="FangSong" w:eastAsia="FangSong" w:hAnsi="FangSong" w:cs="FangSong"/>
              <w:spacing w:val="-7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spacing w:val="27"/>
              <w:sz w:val="28"/>
              <w:szCs w:val="28"/>
            </w:rPr>
            <w:t>10</w:t>
          </w:r>
        </w:p>
        <w:p>
          <w:pPr>
            <w:pStyle w:val="BodyText"/>
            <w:spacing w:line="260" w:lineRule="auto"/>
          </w:pPr>
        </w:p>
        <w:p>
          <w:pPr>
            <w:pStyle w:val="BodyText"/>
            <w:tabs>
              <w:tab w:val="right" w:leader="dot" w:pos="8322"/>
            </w:tabs>
            <w:spacing w:before="91" w:line="229" w:lineRule="auto"/>
            <w:ind w:left="26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spacing w:val="-7"/>
              <w:sz w:val="28"/>
              <w:szCs w:val="28"/>
            </w:rPr>
            <w:t>3</w:t>
          </w:r>
          <w:r>
            <w:rPr>
              <w:spacing w:val="5"/>
              <w:sz w:val="28"/>
              <w:szCs w:val="28"/>
            </w:rPr>
            <w:t xml:space="preserve">      </w:t>
          </w:r>
          <w:r>
            <w:rPr>
              <w:rFonts w:ascii="FangSong" w:eastAsia="FangSong" w:hAnsi="FangSong" w:cs="FangSong"/>
              <w:b/>
              <w:bCs/>
              <w:spacing w:val="-7"/>
              <w:sz w:val="28"/>
              <w:szCs w:val="28"/>
            </w:rPr>
            <w:t>工具的适用性</w:t>
          </w:r>
          <w:r>
            <w:rPr>
              <w:rFonts w:ascii="FangSong" w:eastAsia="FangSong" w:hAnsi="FangSong" w:cs="FangSong"/>
              <w:b/>
              <w:bCs/>
              <w:sz w:val="28"/>
              <w:szCs w:val="28"/>
            </w:rPr>
            <w:tab/>
          </w:r>
          <w:r>
            <w:fldChar w:fldCharType="end"/>
          </w:r>
          <w:r>
            <w:rPr>
              <w:spacing w:val="27"/>
              <w:sz w:val="28"/>
              <w:szCs w:val="28"/>
            </w:rPr>
            <w:t>10</w:t>
          </w:r>
        </w:p>
      </w:sdtContent>
    </w:sdt>
    <w:p>
      <w:pPr>
        <w:spacing w:line="229" w:lineRule="auto"/>
        <w:rPr>
          <w:sz w:val="28"/>
          <w:szCs w:val="28"/>
        </w:rPr>
        <w:sectPr>
          <w:headerReference w:type="default" r:id="rId8"/>
          <w:footerReference w:type="default" r:id="rId9"/>
          <w:pgSz w:w="11907" w:h="16839"/>
          <w:pgMar w:top="1571" w:right="1785" w:bottom="1303" w:left="1785" w:header="518" w:footer="489" w:gutter="0"/>
          <w:cols w:space="720"/>
        </w:sectPr>
      </w:pPr>
    </w:p>
    <w:p>
      <w:pPr>
        <w:spacing w:before="160" w:line="238" w:lineRule="auto"/>
        <w:outlineLvl w:val="0"/>
        <w:rPr>
          <w:rFonts w:ascii="SimHei" w:eastAsia="SimHei" w:hAnsi="SimHei" w:cs="SimHei"/>
          <w:sz w:val="31"/>
          <w:szCs w:val="31"/>
        </w:rPr>
      </w:pPr>
      <w:bookmarkStart w:id="0" w:name="bookmark4"/>
      <w:bookmarkEnd w:id="0"/>
      <w:r>
        <w:rPr>
          <w:rFonts w:ascii="Times New Roman" w:eastAsia="Times New Roman" w:hAnsi="Times New Roman" w:cs="Times New Roman"/>
          <w:spacing w:val="-2"/>
          <w:sz w:val="31"/>
          <w:szCs w:val="31"/>
        </w:rPr>
        <w:t>1</w:t>
      </w:r>
      <w:r>
        <w:rPr>
          <w:rFonts w:ascii="Times New Roman" w:eastAsia="Times New Roman" w:hAnsi="Times New Roman" w:cs="Times New Roman"/>
          <w:spacing w:val="14"/>
          <w:sz w:val="31"/>
          <w:szCs w:val="31"/>
        </w:rPr>
        <w:t xml:space="preserve">   </w:t>
      </w:r>
      <w:r>
        <w:rPr>
          <w:rFonts w:ascii="SimHei" w:eastAsia="SimHei" w:hAnsi="SimHei" w:cs="SimHei"/>
          <w:spacing w:val="-2"/>
          <w:sz w:val="31"/>
          <w:szCs w:val="31"/>
        </w:rPr>
        <w:t>工具概述</w:t>
      </w:r>
    </w:p>
    <w:p>
      <w:pPr>
        <w:pStyle w:val="BodyText"/>
        <w:spacing w:line="394" w:lineRule="auto"/>
      </w:pPr>
    </w:p>
    <w:p>
      <w:pPr>
        <w:pStyle w:val="BodyText"/>
        <w:spacing w:before="91" w:line="230" w:lineRule="auto"/>
        <w:ind w:left="263"/>
        <w:rPr>
          <w:sz w:val="28"/>
          <w:szCs w:val="28"/>
        </w:rPr>
      </w:pPr>
      <w:bookmarkStart w:id="1" w:name="bookmark1"/>
      <w:bookmarkEnd w:id="1"/>
      <w:bookmarkStart w:id="2" w:name="bookmark2"/>
      <w:bookmarkEnd w:id="2"/>
      <w:r>
        <w:rPr>
          <w:b/>
          <w:bCs/>
          <w:spacing w:val="-2"/>
          <w:sz w:val="28"/>
          <w:szCs w:val="28"/>
        </w:rPr>
        <w:t>1.1.</w:t>
      </w:r>
      <w:r>
        <w:rPr>
          <w:b/>
          <w:bCs/>
          <w:spacing w:val="37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2"/>
          <w:sz w:val="28"/>
          <w:szCs w:val="28"/>
        </w:rPr>
        <w:t>智能一体化运维支撑平台</w:t>
      </w:r>
      <w:r>
        <w:rPr>
          <w:rFonts w:ascii="FangSong" w:eastAsia="FangSong" w:hAnsi="FangSong" w:cs="FangSong"/>
          <w:spacing w:val="-2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SG-I6</w:t>
      </w:r>
      <w:r>
        <w:rPr>
          <w:b/>
          <w:bCs/>
          <w:spacing w:val="-3"/>
          <w:sz w:val="28"/>
          <w:szCs w:val="28"/>
        </w:rPr>
        <w:t>000 2.0</w:t>
      </w:r>
    </w:p>
    <w:p>
      <w:pPr>
        <w:pStyle w:val="BodyText"/>
        <w:spacing w:line="469" w:lineRule="auto"/>
      </w:pPr>
    </w:p>
    <w:p>
      <w:pPr>
        <w:pStyle w:val="BodyText"/>
        <w:spacing w:before="91" w:line="230" w:lineRule="auto"/>
        <w:ind w:left="263"/>
        <w:rPr>
          <w:rFonts w:ascii="FangSong" w:eastAsia="FangSong" w:hAnsi="FangSong" w:cs="FangSong"/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1.1.1.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平台简介</w:t>
      </w:r>
    </w:p>
    <w:p>
      <w:pPr>
        <w:pStyle w:val="BodyText"/>
        <w:spacing w:line="332" w:lineRule="auto"/>
      </w:pPr>
    </w:p>
    <w:p>
      <w:pPr>
        <w:spacing w:before="78" w:line="359" w:lineRule="auto"/>
        <w:ind w:left="247" w:right="12" w:firstLine="249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SG-I6000 2.0</w:t>
      </w:r>
      <w:r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遵循信息系统调度运行体系，基于</w:t>
      </w:r>
      <w:r>
        <w:rPr>
          <w:rFonts w:ascii="FangSong" w:eastAsia="FangSong" w:hAnsi="FangSong" w:cs="FangSong"/>
          <w:spacing w:val="-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SG-UAP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开发平台，融合集成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IMS</w:t>
      </w:r>
      <w:r>
        <w:rPr>
          <w:rFonts w:ascii="FangSong" w:eastAsia="FangSong" w:hAnsi="FangSong" w:cs="FangSong"/>
          <w:spacing w:val="-9"/>
          <w:sz w:val="24"/>
          <w:szCs w:val="24"/>
        </w:rPr>
        <w:t>、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IDS</w:t>
      </w:r>
      <w:r>
        <w:rPr>
          <w:rFonts w:ascii="FangSong" w:eastAsia="FangSong" w:hAnsi="FangSong" w:cs="FangSong"/>
          <w:spacing w:val="-9"/>
          <w:sz w:val="24"/>
          <w:szCs w:val="24"/>
        </w:rPr>
        <w:t>、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ICS</w:t>
      </w:r>
      <w:r>
        <w:rPr>
          <w:rFonts w:ascii="FangSong" w:eastAsia="FangSong" w:hAnsi="FangSong" w:cs="FangSong"/>
          <w:spacing w:val="-9"/>
          <w:sz w:val="24"/>
          <w:szCs w:val="24"/>
        </w:rPr>
        <w:t>、评价分析等现有信息通信运维支撑工具，开发集</w:t>
      </w:r>
      <w:r>
        <w:rPr>
          <w:rFonts w:ascii="FangSong" w:eastAsia="FangSong" w:hAnsi="FangSong" w:cs="FangSong"/>
          <w:spacing w:val="-10"/>
          <w:sz w:val="24"/>
          <w:szCs w:val="24"/>
        </w:rPr>
        <w:t>“调度、运行、</w:t>
      </w:r>
      <w:r>
        <w:rPr>
          <w:rFonts w:ascii="FangSong" w:eastAsia="FangSong" w:hAnsi="FangSong" w:cs="FangSong"/>
          <w:spacing w:val="-3"/>
          <w:sz w:val="24"/>
          <w:szCs w:val="24"/>
        </w:rPr>
        <w:t>检修、客服、三线”于一体的信息通信一体化调度运行支撑平台。主要具备以下</w:t>
      </w:r>
      <w:r>
        <w:rPr>
          <w:rFonts w:ascii="FangSong" w:eastAsia="FangSong" w:hAnsi="FangSong" w:cs="FangSong"/>
          <w:spacing w:val="-3"/>
          <w:sz w:val="24"/>
          <w:szCs w:val="24"/>
        </w:rPr>
        <w:t>特点：</w:t>
      </w:r>
    </w:p>
    <w:p>
      <w:pPr>
        <w:spacing w:line="231" w:lineRule="auto"/>
        <w:ind w:left="509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1</w:t>
      </w:r>
      <w:r>
        <w:rPr>
          <w:rFonts w:ascii="FangSong" w:eastAsia="FangSong" w:hAnsi="FangSong" w:cs="FangSong"/>
          <w:spacing w:val="-4"/>
          <w:sz w:val="24"/>
          <w:szCs w:val="24"/>
        </w:rPr>
        <w:t>、采集监控一体化</w:t>
      </w:r>
    </w:p>
    <w:p>
      <w:pPr>
        <w:spacing w:before="165" w:line="359" w:lineRule="auto"/>
        <w:ind w:left="256" w:right="12" w:firstLine="24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6"/>
          <w:sz w:val="24"/>
          <w:szCs w:val="24"/>
        </w:rPr>
        <w:t>进一步扩充了监测指标，支持采集配置信息</w:t>
      </w:r>
      <w:r>
        <w:rPr>
          <w:rFonts w:ascii="FangSong" w:eastAsia="FangSong" w:hAnsi="FangSong" w:cs="FangSong"/>
          <w:spacing w:val="-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108</w:t>
      </w:r>
      <w:r>
        <w:rPr>
          <w:rFonts w:ascii="Times New Roman" w:eastAsia="Times New Roman" w:hAnsi="Times New Roman" w:cs="Times New Roman"/>
          <w:spacing w:val="17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项，实时监控指标</w:t>
      </w:r>
      <w:r>
        <w:rPr>
          <w:rFonts w:ascii="FangSong" w:eastAsia="FangSong" w:hAnsi="FangSong" w:cs="FangSong"/>
          <w:spacing w:val="-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169</w:t>
      </w:r>
      <w:r>
        <w:rPr>
          <w:rFonts w:ascii="Times New Roman" w:eastAsia="Times New Roman" w:hAnsi="Times New Roman" w:cs="Times New Roman"/>
          <w:spacing w:val="17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项，将</w:t>
      </w:r>
      <w:r>
        <w:rPr>
          <w:rFonts w:ascii="FangSong" w:eastAsia="FangSong" w:hAnsi="FangSong" w:cs="FangSong"/>
          <w:spacing w:val="-6"/>
          <w:sz w:val="24"/>
          <w:szCs w:val="24"/>
        </w:rPr>
        <w:t>调度监测与配置管理、业务管控相结合，</w:t>
      </w:r>
      <w:r>
        <w:rPr>
          <w:rFonts w:ascii="FangSong" w:eastAsia="FangSong" w:hAnsi="FangSong" w:cs="FangSong"/>
          <w:spacing w:val="-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实现</w:t>
      </w:r>
      <w:r>
        <w:rPr>
          <w:rFonts w:ascii="FangSong" w:eastAsia="FangSong" w:hAnsi="FangSong" w:cs="FangSong"/>
          <w:spacing w:val="-7"/>
          <w:sz w:val="24"/>
          <w:szCs w:val="24"/>
        </w:rPr>
        <w:t>平台级的统一运维监控。监控内容</w:t>
      </w:r>
      <w:r>
        <w:rPr>
          <w:rFonts w:ascii="FangSong" w:eastAsia="FangSong" w:hAnsi="FangSong" w:cs="FangSong"/>
          <w:spacing w:val="-3"/>
          <w:sz w:val="24"/>
          <w:szCs w:val="24"/>
        </w:rPr>
        <w:t>更详实，并与运行方式进行关联管理，提高了运维人员故障定位、</w:t>
      </w:r>
      <w:r>
        <w:rPr>
          <w:rFonts w:ascii="FangSong" w:eastAsia="FangSong" w:hAnsi="FangSong" w:cs="FangSong"/>
          <w:spacing w:val="-4"/>
          <w:sz w:val="24"/>
          <w:szCs w:val="24"/>
        </w:rPr>
        <w:t>检修影响分析</w:t>
      </w:r>
      <w:r>
        <w:rPr>
          <w:rFonts w:ascii="FangSong" w:eastAsia="FangSong" w:hAnsi="FangSong" w:cs="FangSong"/>
          <w:spacing w:val="-9"/>
          <w:sz w:val="24"/>
          <w:szCs w:val="24"/>
        </w:rPr>
        <w:t>的能力。</w:t>
      </w:r>
    </w:p>
    <w:p>
      <w:pPr>
        <w:spacing w:before="2" w:line="324" w:lineRule="auto"/>
        <w:ind w:left="257" w:right="12" w:firstLine="228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2</w:t>
      </w:r>
      <w:r>
        <w:rPr>
          <w:rFonts w:ascii="FangSong" w:eastAsia="FangSong" w:hAnsi="FangSong" w:cs="FangSong"/>
          <w:spacing w:val="-4"/>
          <w:sz w:val="24"/>
          <w:szCs w:val="24"/>
        </w:rPr>
        <w:t>、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SG-I6000 2.0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资源模型更加完善，相比</w:t>
      </w:r>
      <w:r>
        <w:rPr>
          <w:rFonts w:ascii="FangSong" w:eastAsia="FangSong" w:hAnsi="FangSong" w:cs="FangSong"/>
          <w:spacing w:val="-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IMS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系</w:t>
      </w:r>
      <w:r>
        <w:rPr>
          <w:rFonts w:ascii="FangSong" w:eastAsia="FangSong" w:hAnsi="FangSong" w:cs="FangSong"/>
          <w:spacing w:val="-5"/>
          <w:sz w:val="24"/>
          <w:szCs w:val="24"/>
        </w:rPr>
        <w:t>统新增资源类型</w:t>
      </w:r>
      <w:r>
        <w:rPr>
          <w:rFonts w:ascii="FangSong" w:eastAsia="FangSong" w:hAnsi="FangSong" w:cs="FangSong"/>
          <w:spacing w:val="-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48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5"/>
          <w:sz w:val="24"/>
          <w:szCs w:val="24"/>
        </w:rPr>
        <w:t>种，总计</w:t>
      </w:r>
      <w:r>
        <w:rPr>
          <w:rFonts w:ascii="FangSong" w:eastAsia="FangSong" w:hAnsi="FangSong" w:cs="FangSong"/>
          <w:spacing w:val="-2"/>
          <w:sz w:val="24"/>
          <w:szCs w:val="24"/>
        </w:rPr>
        <w:t>资源类型</w:t>
      </w:r>
      <w:r>
        <w:rPr>
          <w:rFonts w:ascii="FangSong" w:eastAsia="FangSong" w:hAnsi="FangSong" w:cs="FangSong"/>
          <w:spacing w:val="-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160</w:t>
      </w:r>
      <w:r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类；并基于图形平台和图模</w:t>
      </w:r>
      <w:r>
        <w:rPr>
          <w:rFonts w:ascii="FangSong" w:eastAsia="FangSong" w:hAnsi="FangSong" w:cs="FangSong"/>
          <w:spacing w:val="-3"/>
          <w:sz w:val="24"/>
          <w:szCs w:val="24"/>
        </w:rPr>
        <w:t>库一体化操作设计，预置图元</w:t>
      </w:r>
      <w:r>
        <w:rPr>
          <w:rFonts w:ascii="FangSong" w:eastAsia="FangSong" w:hAnsi="FangSong" w:cs="FangSong"/>
          <w:spacing w:val="-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26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个，</w:t>
      </w:r>
      <w:r>
        <w:rPr>
          <w:rFonts w:ascii="FangSong" w:eastAsia="FangSong" w:hAnsi="FangSong" w:cs="FangSong"/>
          <w:spacing w:val="-2"/>
          <w:sz w:val="24"/>
          <w:szCs w:val="24"/>
        </w:rPr>
        <w:t>组件</w:t>
      </w:r>
      <w:r>
        <w:rPr>
          <w:rFonts w:ascii="FangSong" w:eastAsia="FangSong" w:hAnsi="FangSong" w:cs="FangSong"/>
          <w:spacing w:val="-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42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个，支持</w:t>
      </w:r>
      <w:r>
        <w:rPr>
          <w:rFonts w:ascii="FangSong" w:eastAsia="FangSong" w:hAnsi="FangSong" w:cs="FangSong"/>
          <w:spacing w:val="-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类视图绘制；实现各类资源的可视化管理，增强了调度人员</w:t>
      </w:r>
      <w:r>
        <w:rPr>
          <w:rFonts w:ascii="FangSong" w:eastAsia="FangSong" w:hAnsi="FangSong" w:cs="FangSong"/>
          <w:spacing w:val="-5"/>
          <w:sz w:val="24"/>
          <w:szCs w:val="24"/>
        </w:rPr>
        <w:t>对资源的调配能力。</w:t>
      </w:r>
    </w:p>
    <w:p>
      <w:pPr>
        <w:spacing w:before="183" w:line="331" w:lineRule="auto"/>
        <w:ind w:left="258" w:right="12" w:firstLine="231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3</w:t>
      </w:r>
      <w:r>
        <w:rPr>
          <w:rFonts w:ascii="FangSong" w:eastAsia="FangSong" w:hAnsi="FangSong" w:cs="FangSong"/>
          <w:spacing w:val="-2"/>
          <w:sz w:val="24"/>
          <w:szCs w:val="24"/>
        </w:rPr>
        <w:t>、通过</w:t>
      </w:r>
      <w:r>
        <w:rPr>
          <w:rFonts w:ascii="FangSong" w:eastAsia="FangSong" w:hAnsi="FangSong" w:cs="FangSong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SG-I6000</w:t>
      </w:r>
      <w:r>
        <w:rPr>
          <w:rFonts w:ascii="Times New Roman" w:eastAsia="Times New Roman" w:hAnsi="Times New Roman" w:cs="Times New Roman"/>
          <w:spacing w:val="36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2.0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使用，实现上下线、运行、检</w:t>
      </w:r>
      <w:r>
        <w:rPr>
          <w:rFonts w:ascii="FangSong" w:eastAsia="FangSong" w:hAnsi="FangSong" w:cs="FangSong"/>
          <w:spacing w:val="-3"/>
          <w:sz w:val="24"/>
          <w:szCs w:val="24"/>
        </w:rPr>
        <w:t>修等工作与资源管理、运</w:t>
      </w:r>
      <w:r>
        <w:rPr>
          <w:rFonts w:ascii="FangSong" w:eastAsia="FangSong" w:hAnsi="FangSong" w:cs="FangSong"/>
          <w:spacing w:val="-3"/>
          <w:sz w:val="24"/>
          <w:szCs w:val="24"/>
        </w:rPr>
        <w:t>行方式等工作紧密结合。通过服务目录功能实现用户的服务</w:t>
      </w:r>
      <w:r>
        <w:rPr>
          <w:rFonts w:ascii="FangSong" w:eastAsia="FangSong" w:hAnsi="FangSong" w:cs="FangSong"/>
          <w:spacing w:val="-4"/>
          <w:sz w:val="24"/>
          <w:szCs w:val="24"/>
        </w:rPr>
        <w:t>请求和事件管理，通</w:t>
      </w:r>
      <w:r>
        <w:rPr>
          <w:rFonts w:ascii="FangSong" w:eastAsia="FangSong" w:hAnsi="FangSong" w:cs="FangSong"/>
          <w:spacing w:val="-3"/>
          <w:sz w:val="24"/>
          <w:szCs w:val="24"/>
        </w:rPr>
        <w:t>过两票微服务和检修模块，解决用户的故障问题，对变更和发布进</w:t>
      </w:r>
      <w:r>
        <w:rPr>
          <w:rFonts w:ascii="FangSong" w:eastAsia="FangSong" w:hAnsi="FangSong" w:cs="FangSong"/>
          <w:spacing w:val="-4"/>
          <w:sz w:val="24"/>
          <w:szCs w:val="24"/>
        </w:rPr>
        <w:t>行管控。信息</w:t>
      </w:r>
      <w:r>
        <w:rPr>
          <w:rFonts w:ascii="FangSong" w:eastAsia="FangSong" w:hAnsi="FangSong" w:cs="FangSong"/>
          <w:spacing w:val="-7"/>
          <w:sz w:val="24"/>
          <w:szCs w:val="24"/>
        </w:rPr>
        <w:t>系统上线前完成资源采集、监控拓扑图绘制等工作，</w:t>
      </w:r>
      <w:r>
        <w:rPr>
          <w:rFonts w:ascii="FangSong" w:eastAsia="FangSong" w:hAnsi="FangSong" w:cs="FangSong"/>
          <w:spacing w:val="-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7"/>
          <w:sz w:val="24"/>
          <w:szCs w:val="24"/>
        </w:rPr>
        <w:t>日常检修涉及运行方式变化</w:t>
      </w:r>
      <w:r>
        <w:rPr>
          <w:rFonts w:ascii="FangSong" w:eastAsia="FangSong" w:hAnsi="FangSong" w:cs="FangSong"/>
          <w:spacing w:val="-5"/>
          <w:sz w:val="24"/>
          <w:szCs w:val="24"/>
        </w:rPr>
        <w:t>时，需变更监控拓扑图。</w:t>
      </w:r>
    </w:p>
    <w:p>
      <w:pPr>
        <w:spacing w:before="186" w:line="311" w:lineRule="auto"/>
        <w:ind w:left="257" w:right="14" w:firstLine="107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pacing w:val="-20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、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SG-I6000 2.0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按照以用户为中心设计理念，提升操作体验效果，具备个性化</w:t>
      </w:r>
      <w:r>
        <w:rPr>
          <w:rFonts w:ascii="FangSong" w:eastAsia="FangSong" w:hAnsi="FangSong" w:cs="FangSong"/>
          <w:spacing w:val="-8"/>
          <w:sz w:val="24"/>
          <w:szCs w:val="24"/>
        </w:rPr>
        <w:t>组件定制、界面换肤、图形化展现等效果；</w:t>
      </w:r>
      <w:r>
        <w:rPr>
          <w:rFonts w:ascii="FangSong" w:eastAsia="FangSong" w:hAnsi="FangSong" w:cs="FangSong"/>
          <w:spacing w:val="4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8"/>
          <w:sz w:val="24"/>
          <w:szCs w:val="24"/>
        </w:rPr>
        <w:t>同时在页面响应速度、部署架构稳定</w:t>
      </w:r>
      <w:r>
        <w:rPr>
          <w:rFonts w:ascii="FangSong" w:eastAsia="FangSong" w:hAnsi="FangSong" w:cs="FangSong"/>
          <w:spacing w:val="-6"/>
          <w:sz w:val="24"/>
          <w:szCs w:val="24"/>
        </w:rPr>
        <w:t>性均有大幅提升。</w:t>
      </w:r>
    </w:p>
    <w:p>
      <w:pPr>
        <w:spacing w:line="311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10"/>
          <w:footerReference w:type="default" r:id="rId11"/>
          <w:pgSz w:w="11907" w:h="16839"/>
          <w:pgMar w:top="1571" w:right="1785" w:bottom="1303" w:left="1559" w:header="518" w:footer="487" w:gutter="0"/>
          <w:cols w:space="720"/>
        </w:sectPr>
      </w:pPr>
    </w:p>
    <w:p>
      <w:pPr>
        <w:pStyle w:val="BodyText"/>
        <w:spacing w:before="305" w:line="231" w:lineRule="auto"/>
        <w:ind w:left="36"/>
        <w:rPr>
          <w:rFonts w:ascii="FangSong" w:eastAsia="FangSong" w:hAnsi="FangSong" w:cs="FangSong"/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1.1.2.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部署架构</w:t>
      </w:r>
    </w:p>
    <w:p>
      <w:pPr>
        <w:pStyle w:val="BodyText"/>
        <w:spacing w:line="370" w:lineRule="auto"/>
      </w:pPr>
    </w:p>
    <w:p>
      <w:pPr>
        <w:spacing w:line="4882" w:lineRule="exact"/>
        <w:ind w:firstLine="494"/>
      </w:pPr>
      <w:r>
        <w:rPr>
          <w:position w:val="-97"/>
        </w:rPr>
        <w:drawing>
          <wp:inline distT="0" distB="0" distL="0" distR="0">
            <wp:extent cx="5984240" cy="3100577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4240" cy="310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9" w:lineRule="auto"/>
      </w:pPr>
    </w:p>
    <w:p>
      <w:pPr>
        <w:pStyle w:val="BodyText"/>
        <w:spacing w:line="310" w:lineRule="auto"/>
      </w:pPr>
    </w:p>
    <w:p>
      <w:pPr>
        <w:pStyle w:val="BodyText"/>
        <w:spacing w:line="310" w:lineRule="auto"/>
      </w:pPr>
    </w:p>
    <w:p>
      <w:pPr>
        <w:pStyle w:val="BodyText"/>
        <w:spacing w:before="91" w:line="232" w:lineRule="auto"/>
        <w:ind w:left="36"/>
        <w:rPr>
          <w:rFonts w:ascii="FangSong" w:eastAsia="FangSong" w:hAnsi="FangSong" w:cs="FangSong"/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1.1.3.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系统界面</w:t>
      </w:r>
    </w:p>
    <w:p>
      <w:pPr>
        <w:pStyle w:val="BodyText"/>
        <w:spacing w:line="327" w:lineRule="auto"/>
      </w:pPr>
    </w:p>
    <w:p>
      <w:pPr>
        <w:spacing w:before="78" w:line="216" w:lineRule="auto"/>
        <w:ind w:left="516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工作台</w:t>
      </w:r>
    </w:p>
    <w:p>
      <w:pPr>
        <w:spacing w:before="149" w:line="4953" w:lineRule="exact"/>
        <w:ind w:firstLine="14"/>
      </w:pPr>
      <w:r>
        <w:rPr>
          <w:position w:val="-99"/>
        </w:rPr>
        <w:drawing>
          <wp:inline distT="0" distB="0" distL="0" distR="0">
            <wp:extent cx="5266690" cy="3145154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314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953" w:lineRule="exact"/>
        <w:sectPr>
          <w:headerReference w:type="default" r:id="rId14"/>
          <w:footerReference w:type="default" r:id="rId15"/>
          <w:pgSz w:w="11907" w:h="16839"/>
          <w:pgMar w:top="1571" w:right="202" w:bottom="1303" w:left="1785" w:header="518" w:footer="489" w:gutter="0"/>
          <w:cols w:space="720"/>
        </w:sectPr>
      </w:pPr>
    </w:p>
    <w:p>
      <w:pPr>
        <w:spacing w:before="151" w:line="220" w:lineRule="auto"/>
        <w:ind w:left="52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8"/>
          <w:sz w:val="24"/>
          <w:szCs w:val="24"/>
        </w:rPr>
        <w:t>资源管理</w:t>
      </w:r>
    </w:p>
    <w:p>
      <w:pPr>
        <w:pStyle w:val="BodyText"/>
        <w:spacing w:line="298" w:lineRule="auto"/>
      </w:pPr>
    </w:p>
    <w:p>
      <w:pPr>
        <w:spacing w:line="5244" w:lineRule="exact"/>
        <w:ind w:firstLine="14"/>
      </w:pPr>
      <w:r>
        <w:rPr>
          <w:position w:val="-104"/>
        </w:rPr>
        <w:drawing>
          <wp:inline distT="0" distB="0" distL="0" distR="0">
            <wp:extent cx="5266690" cy="332994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6" w:lineRule="auto"/>
      </w:pPr>
    </w:p>
    <w:p>
      <w:pPr>
        <w:spacing w:before="78" w:line="219" w:lineRule="auto"/>
        <w:ind w:left="52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资源管理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-</w:t>
      </w:r>
      <w:r>
        <w:rPr>
          <w:rFonts w:ascii="FangSong" w:eastAsia="FangSong" w:hAnsi="FangSong" w:cs="FangSong"/>
          <w:spacing w:val="-3"/>
          <w:sz w:val="24"/>
          <w:szCs w:val="24"/>
        </w:rPr>
        <w:t>全过程管理</w:t>
      </w:r>
    </w:p>
    <w:p>
      <w:pPr>
        <w:pStyle w:val="BodyText"/>
        <w:spacing w:line="300" w:lineRule="auto"/>
      </w:pPr>
    </w:p>
    <w:p>
      <w:pPr>
        <w:spacing w:line="5329" w:lineRule="exact"/>
        <w:ind w:firstLine="14"/>
      </w:pPr>
      <w:r>
        <w:rPr>
          <w:position w:val="-106"/>
        </w:rPr>
        <w:drawing>
          <wp:inline distT="0" distB="0" distL="0" distR="0">
            <wp:extent cx="5268594" cy="3383914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8594" cy="338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329" w:lineRule="exact"/>
        <w:sectPr>
          <w:headerReference w:type="default" r:id="rId18"/>
          <w:footerReference w:type="default" r:id="rId19"/>
          <w:pgSz w:w="11907" w:h="16839"/>
          <w:pgMar w:top="1571" w:right="1785" w:bottom="1303" w:left="1785" w:header="518" w:footer="489" w:gutter="0"/>
          <w:cols w:space="720"/>
        </w:sectPr>
      </w:pPr>
    </w:p>
    <w:p>
      <w:pPr>
        <w:spacing w:before="152" w:line="217" w:lineRule="auto"/>
        <w:ind w:left="52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资源采集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-</w:t>
      </w:r>
      <w:r>
        <w:rPr>
          <w:rFonts w:ascii="FangSong" w:eastAsia="FangSong" w:hAnsi="FangSong" w:cs="FangSong"/>
          <w:spacing w:val="-3"/>
          <w:sz w:val="24"/>
          <w:szCs w:val="24"/>
        </w:rPr>
        <w:t>应用系统监测</w:t>
      </w:r>
    </w:p>
    <w:p>
      <w:pPr>
        <w:pStyle w:val="BodyText"/>
        <w:spacing w:line="301" w:lineRule="auto"/>
      </w:pPr>
    </w:p>
    <w:p>
      <w:pPr>
        <w:spacing w:line="5731" w:lineRule="exact"/>
        <w:ind w:firstLine="14"/>
      </w:pPr>
      <w:r>
        <w:rPr>
          <w:position w:val="-114"/>
        </w:rPr>
        <w:drawing>
          <wp:inline distT="0" distB="0" distL="0" distR="0">
            <wp:extent cx="5266690" cy="3639184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363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1" w:lineRule="auto"/>
      </w:pPr>
    </w:p>
    <w:p>
      <w:pPr>
        <w:spacing w:before="78" w:line="217" w:lineRule="auto"/>
        <w:ind w:left="52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资源采集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-</w:t>
      </w:r>
      <w:r>
        <w:rPr>
          <w:rFonts w:ascii="FangSong" w:eastAsia="FangSong" w:hAnsi="FangSong" w:cs="FangSong"/>
          <w:spacing w:val="-3"/>
          <w:sz w:val="24"/>
          <w:szCs w:val="24"/>
        </w:rPr>
        <w:t>服务器监测</w:t>
      </w:r>
    </w:p>
    <w:p>
      <w:pPr>
        <w:pStyle w:val="BodyText"/>
        <w:spacing w:line="300" w:lineRule="auto"/>
      </w:pPr>
    </w:p>
    <w:p>
      <w:pPr>
        <w:spacing w:line="6318" w:lineRule="exact"/>
        <w:ind w:firstLine="14"/>
      </w:pPr>
      <w:r>
        <w:rPr>
          <w:position w:val="-126"/>
        </w:rPr>
        <w:drawing>
          <wp:inline distT="0" distB="0" distL="0" distR="0">
            <wp:extent cx="5266690" cy="4011929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401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318" w:lineRule="exact"/>
        <w:sectPr>
          <w:footerReference w:type="default" r:id="rId22"/>
          <w:pgSz w:w="11907" w:h="16839"/>
          <w:pgMar w:top="1571" w:right="1785" w:bottom="1303" w:left="1785" w:header="518" w:footer="487" w:gutter="0"/>
          <w:cols w:space="720"/>
        </w:sectPr>
      </w:pPr>
    </w:p>
    <w:p>
      <w:pPr>
        <w:spacing w:before="152" w:line="217" w:lineRule="auto"/>
        <w:ind w:left="52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资源采集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-</w:t>
      </w:r>
      <w:r>
        <w:rPr>
          <w:rFonts w:ascii="FangSong" w:eastAsia="FangSong" w:hAnsi="FangSong" w:cs="FangSong"/>
          <w:spacing w:val="-3"/>
          <w:sz w:val="24"/>
          <w:szCs w:val="24"/>
        </w:rPr>
        <w:t>数据库监测</w:t>
      </w:r>
    </w:p>
    <w:p>
      <w:pPr>
        <w:pStyle w:val="BodyText"/>
        <w:spacing w:line="301" w:lineRule="auto"/>
      </w:pPr>
    </w:p>
    <w:p>
      <w:pPr>
        <w:spacing w:line="6370" w:lineRule="exact"/>
        <w:ind w:firstLine="14"/>
      </w:pPr>
      <w:r>
        <w:rPr>
          <w:position w:val="-127"/>
        </w:rPr>
        <w:drawing>
          <wp:inline distT="0" distB="0" distL="0" distR="0">
            <wp:extent cx="5266690" cy="404495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1" w:lineRule="auto"/>
      </w:pPr>
    </w:p>
    <w:p>
      <w:pPr>
        <w:spacing w:before="78" w:line="217" w:lineRule="auto"/>
        <w:ind w:left="52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资源采集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-</w:t>
      </w:r>
      <w:r>
        <w:rPr>
          <w:rFonts w:ascii="FangSong" w:eastAsia="FangSong" w:hAnsi="FangSong" w:cs="FangSong"/>
          <w:spacing w:val="-3"/>
          <w:sz w:val="24"/>
          <w:szCs w:val="24"/>
        </w:rPr>
        <w:t>中间件监测</w:t>
      </w:r>
    </w:p>
    <w:p>
      <w:pPr>
        <w:spacing w:before="147" w:line="4989" w:lineRule="exact"/>
        <w:ind w:firstLine="14"/>
      </w:pPr>
      <w:r>
        <w:rPr>
          <w:position w:val="-99"/>
        </w:rPr>
        <w:drawing>
          <wp:inline distT="0" distB="0" distL="0" distR="0">
            <wp:extent cx="5266690" cy="316801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989" w:lineRule="exact"/>
        <w:sectPr>
          <w:footerReference w:type="default" r:id="rId25"/>
          <w:pgSz w:w="11907" w:h="16839"/>
          <w:pgMar w:top="1571" w:right="1785" w:bottom="1303" w:left="1785" w:header="518" w:footer="489" w:gutter="0"/>
          <w:cols w:space="720"/>
        </w:sectPr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spacing w:before="78" w:line="217" w:lineRule="auto"/>
        <w:ind w:left="52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资源采集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-</w:t>
      </w:r>
      <w:r>
        <w:rPr>
          <w:rFonts w:ascii="FangSong" w:eastAsia="FangSong" w:hAnsi="FangSong" w:cs="FangSong"/>
          <w:spacing w:val="-3"/>
          <w:sz w:val="24"/>
          <w:szCs w:val="24"/>
        </w:rPr>
        <w:t>网络设备监测</w:t>
      </w:r>
    </w:p>
    <w:p>
      <w:pPr>
        <w:spacing w:before="148" w:line="5835" w:lineRule="exact"/>
        <w:ind w:firstLine="494"/>
      </w:pPr>
      <w:r>
        <w:rPr>
          <w:position w:val="-116"/>
        </w:rPr>
        <w:drawing>
          <wp:inline distT="0" distB="0" distL="0" distR="0">
            <wp:extent cx="5270500" cy="3705098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500" cy="37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1" w:lineRule="auto"/>
      </w:pPr>
    </w:p>
    <w:p>
      <w:pPr>
        <w:pStyle w:val="BodyText"/>
        <w:spacing w:line="261" w:lineRule="auto"/>
      </w:pPr>
    </w:p>
    <w:p>
      <w:pPr>
        <w:spacing w:before="78" w:line="217" w:lineRule="auto"/>
        <w:ind w:left="516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工具应用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-</w:t>
      </w:r>
      <w:r>
        <w:rPr>
          <w:rFonts w:ascii="FangSong" w:eastAsia="FangSong" w:hAnsi="FangSong" w:cs="FangSong"/>
          <w:spacing w:val="-3"/>
          <w:sz w:val="24"/>
          <w:szCs w:val="24"/>
        </w:rPr>
        <w:t>两票管理微应用</w:t>
      </w:r>
      <w:r>
        <w:rPr>
          <w:rFonts w:ascii="FangSong" w:eastAsia="FangSong" w:hAnsi="FangSong" w:cs="FangSong"/>
          <w:b/>
          <w:bCs/>
          <w:spacing w:val="-3"/>
          <w:sz w:val="24"/>
          <w:szCs w:val="24"/>
        </w:rPr>
        <w:t>（对应</w:t>
      </w:r>
      <w:r>
        <w:rPr>
          <w:rFonts w:ascii="FangSong" w:eastAsia="FangSong" w:hAnsi="FangSong" w:cs="FangSong"/>
          <w:spacing w:val="-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ITSS</w:t>
      </w:r>
      <w:r>
        <w:rPr>
          <w:rFonts w:ascii="Times New Roman" w:eastAsia="Times New Roman" w:hAnsi="Times New Roman" w:cs="Times New Roman"/>
          <w:b/>
          <w:bCs/>
          <w:spacing w:val="51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b/>
          <w:bCs/>
          <w:spacing w:val="-3"/>
          <w:sz w:val="24"/>
          <w:szCs w:val="24"/>
        </w:rPr>
        <w:t>中的问题管理，解决用户故</w:t>
      </w:r>
      <w:r>
        <w:rPr>
          <w:rFonts w:ascii="FangSong" w:eastAsia="FangSong" w:hAnsi="FangSong" w:cs="FangSong"/>
          <w:b/>
          <w:bCs/>
          <w:spacing w:val="-4"/>
          <w:sz w:val="24"/>
          <w:szCs w:val="24"/>
        </w:rPr>
        <w:t>障问题）</w:t>
      </w:r>
    </w:p>
    <w:p>
      <w:pPr>
        <w:spacing w:before="147" w:line="5359" w:lineRule="exact"/>
        <w:ind w:firstLine="14"/>
      </w:pPr>
      <w:r>
        <w:rPr>
          <w:position w:val="-107"/>
        </w:rPr>
        <w:drawing>
          <wp:inline distT="0" distB="0" distL="0" distR="0">
            <wp:extent cx="5266690" cy="3402838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340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359" w:lineRule="exact"/>
        <w:sectPr>
          <w:headerReference w:type="default" r:id="rId28"/>
          <w:footerReference w:type="default" r:id="rId29"/>
          <w:pgSz w:w="11907" w:h="16839"/>
          <w:pgMar w:top="1571" w:right="1326" w:bottom="1303" w:left="1785" w:header="518" w:footer="489" w:gutter="0"/>
          <w:cols w:space="720"/>
        </w:sectPr>
      </w:pPr>
    </w:p>
    <w:p>
      <w:pPr>
        <w:spacing w:before="115" w:line="4040" w:lineRule="exact"/>
        <w:ind w:firstLine="14"/>
      </w:pPr>
      <w:r>
        <w:rPr>
          <w:position w:val="-80"/>
        </w:rPr>
        <w:drawing>
          <wp:inline distT="0" distB="0" distL="0" distR="0">
            <wp:extent cx="5274309" cy="2565272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256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42" w:lineRule="auto"/>
      </w:pPr>
    </w:p>
    <w:p>
      <w:pPr>
        <w:spacing w:before="79" w:line="216" w:lineRule="auto"/>
        <w:ind w:left="516"/>
        <w:outlineLvl w:val="0"/>
        <w:rPr>
          <w:rFonts w:ascii="FangSong" w:eastAsia="FangSong" w:hAnsi="FangSong" w:cs="FangSong"/>
          <w:sz w:val="24"/>
          <w:szCs w:val="24"/>
        </w:rPr>
      </w:pPr>
      <w:bookmarkStart w:id="3" w:name="bookmark5"/>
      <w:bookmarkEnd w:id="3"/>
      <w:r>
        <w:rPr>
          <w:rFonts w:ascii="FangSong" w:eastAsia="FangSong" w:hAnsi="FangSong" w:cs="FangSong"/>
          <w:spacing w:val="-4"/>
          <w:sz w:val="24"/>
          <w:szCs w:val="24"/>
        </w:rPr>
        <w:t>工具应用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-</w:t>
      </w:r>
      <w:r>
        <w:rPr>
          <w:rFonts w:ascii="FangSong" w:eastAsia="FangSong" w:hAnsi="FangSong" w:cs="FangSong"/>
          <w:spacing w:val="-4"/>
          <w:sz w:val="24"/>
          <w:szCs w:val="24"/>
        </w:rPr>
        <w:t>检修管理</w:t>
      </w:r>
      <w:r>
        <w:rPr>
          <w:rFonts w:ascii="FangSong" w:eastAsia="FangSong" w:hAnsi="FangSong" w:cs="FangSong"/>
          <w:b/>
          <w:bCs/>
          <w:spacing w:val="-4"/>
          <w:sz w:val="24"/>
          <w:szCs w:val="24"/>
        </w:rPr>
        <w:t>（对应</w:t>
      </w:r>
      <w:r>
        <w:rPr>
          <w:rFonts w:ascii="FangSong" w:eastAsia="FangSong" w:hAnsi="FangSong" w:cs="FangSong"/>
          <w:spacing w:val="-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ITSS</w:t>
      </w:r>
      <w:r>
        <w:rPr>
          <w:rFonts w:ascii="Times New Roman" w:eastAsia="Times New Roman" w:hAnsi="Times New Roman" w:cs="Times New Roman"/>
          <w:b/>
          <w:bCs/>
          <w:spacing w:val="28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4"/>
          <w:szCs w:val="24"/>
        </w:rPr>
        <w:t>的变更和发布管</w:t>
      </w:r>
      <w:r>
        <w:rPr>
          <w:rFonts w:ascii="FangSong" w:eastAsia="FangSong" w:hAnsi="FangSong" w:cs="FangSong"/>
          <w:b/>
          <w:bCs/>
          <w:spacing w:val="-5"/>
          <w:sz w:val="24"/>
          <w:szCs w:val="24"/>
        </w:rPr>
        <w:t>理）</w:t>
      </w:r>
    </w:p>
    <w:p>
      <w:pPr>
        <w:pStyle w:val="BodyText"/>
        <w:spacing w:line="302" w:lineRule="auto"/>
      </w:pPr>
    </w:p>
    <w:p>
      <w:pPr>
        <w:spacing w:line="5715" w:lineRule="exact"/>
        <w:ind w:firstLine="14"/>
      </w:pPr>
      <w:r>
        <w:rPr>
          <w:position w:val="-114"/>
        </w:rPr>
        <w:drawing>
          <wp:inline distT="0" distB="0" distL="0" distR="0">
            <wp:extent cx="5266690" cy="362902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715" w:lineRule="exact"/>
        <w:sectPr>
          <w:headerReference w:type="default" r:id="rId32"/>
          <w:footerReference w:type="default" r:id="rId33"/>
          <w:pgSz w:w="11907" w:h="16839"/>
          <w:pgMar w:top="1571" w:right="1785" w:bottom="1303" w:left="1785" w:header="518" w:footer="489" w:gutter="0"/>
          <w:cols w:space="720"/>
        </w:sectPr>
      </w:pPr>
    </w:p>
    <w:p>
      <w:pPr>
        <w:spacing w:before="115" w:line="4032" w:lineRule="exact"/>
        <w:ind w:firstLine="14"/>
      </w:pPr>
      <w:r>
        <w:rPr>
          <w:position w:val="-80"/>
        </w:rPr>
        <w:drawing>
          <wp:inline distT="0" distB="0" distL="0" distR="0">
            <wp:extent cx="5274309" cy="2560193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256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</w:pPr>
    </w:p>
    <w:p>
      <w:pPr>
        <w:pStyle w:val="BodyText"/>
        <w:spacing w:line="246" w:lineRule="auto"/>
      </w:pPr>
    </w:p>
    <w:p>
      <w:pPr>
        <w:spacing w:line="4052" w:lineRule="exact"/>
        <w:ind w:firstLine="14"/>
      </w:pPr>
      <w:r>
        <w:rPr>
          <w:position w:val="-81"/>
        </w:rPr>
        <w:drawing>
          <wp:inline distT="0" distB="0" distL="0" distR="0">
            <wp:extent cx="5271770" cy="2573273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770" cy="25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1" w:line="217" w:lineRule="auto"/>
        <w:ind w:left="516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工具应用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-</w:t>
      </w:r>
      <w:r>
        <w:rPr>
          <w:rFonts w:ascii="FangSong" w:eastAsia="FangSong" w:hAnsi="FangSong" w:cs="FangSong"/>
          <w:spacing w:val="-4"/>
          <w:sz w:val="24"/>
          <w:szCs w:val="24"/>
        </w:rPr>
        <w:t>服务目录</w:t>
      </w:r>
      <w:r>
        <w:rPr>
          <w:rFonts w:ascii="FangSong" w:eastAsia="FangSong" w:hAnsi="FangSong" w:cs="FangSong"/>
          <w:b/>
          <w:bCs/>
          <w:spacing w:val="-4"/>
          <w:sz w:val="24"/>
          <w:szCs w:val="24"/>
        </w:rPr>
        <w:t>（对应</w:t>
      </w:r>
      <w:r>
        <w:rPr>
          <w:rFonts w:ascii="FangSong" w:eastAsia="FangSong" w:hAnsi="FangSong" w:cs="FangSong"/>
          <w:spacing w:val="-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ITSS</w:t>
      </w:r>
      <w:r>
        <w:rPr>
          <w:rFonts w:ascii="Times New Roman" w:eastAsia="Times New Roman" w:hAnsi="Times New Roman" w:cs="Times New Roman"/>
          <w:b/>
          <w:bCs/>
          <w:spacing w:val="46"/>
          <w:sz w:val="24"/>
          <w:szCs w:val="24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4"/>
          <w:szCs w:val="24"/>
        </w:rPr>
        <w:t>中的事件管理，为客户提供工单服务）</w:t>
      </w:r>
    </w:p>
    <w:p>
      <w:pPr>
        <w:spacing w:line="217" w:lineRule="auto"/>
        <w:rPr>
          <w:rFonts w:ascii="FangSong" w:eastAsia="FangSong" w:hAnsi="FangSong" w:cs="FangSong"/>
          <w:sz w:val="24"/>
          <w:szCs w:val="24"/>
        </w:rPr>
        <w:sectPr>
          <w:footerReference w:type="default" r:id="rId36"/>
          <w:pgSz w:w="11907" w:h="16839"/>
          <w:pgMar w:top="1571" w:right="1785" w:bottom="1303" w:left="1785" w:header="518" w:footer="487" w:gutter="0"/>
          <w:cols w:space="720"/>
        </w:sectPr>
      </w:pPr>
    </w:p>
    <w:p>
      <w:pPr>
        <w:spacing w:before="115" w:line="6312" w:lineRule="exact"/>
        <w:ind w:firstLine="14"/>
      </w:pPr>
      <w:r>
        <w:rPr>
          <w:position w:val="-126"/>
        </w:rPr>
        <w:drawing>
          <wp:inline distT="0" distB="0" distL="0" distR="0">
            <wp:extent cx="5262879" cy="4007992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879" cy="400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33" w:lineRule="auto"/>
      </w:pPr>
    </w:p>
    <w:p>
      <w:pPr>
        <w:spacing w:line="4039" w:lineRule="exact"/>
        <w:ind w:firstLine="14"/>
      </w:pPr>
      <w:r>
        <w:rPr>
          <w:position w:val="-80"/>
        </w:rPr>
        <w:drawing>
          <wp:inline distT="0" distB="0" distL="0" distR="0">
            <wp:extent cx="5264150" cy="2564764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4150" cy="256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43" w:lineRule="auto"/>
      </w:pPr>
    </w:p>
    <w:p>
      <w:pPr>
        <w:spacing w:before="78" w:line="218" w:lineRule="auto"/>
        <w:ind w:left="516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工具应用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-</w:t>
      </w:r>
      <w:r>
        <w:rPr>
          <w:rFonts w:ascii="FangSong" w:eastAsia="FangSong" w:hAnsi="FangSong" w:cs="FangSong"/>
          <w:spacing w:val="-2"/>
          <w:sz w:val="24"/>
          <w:szCs w:val="24"/>
        </w:rPr>
        <w:t>系统上下线备案</w:t>
      </w:r>
    </w:p>
    <w:p>
      <w:pPr>
        <w:spacing w:line="218" w:lineRule="auto"/>
        <w:rPr>
          <w:rFonts w:ascii="FangSong" w:eastAsia="FangSong" w:hAnsi="FangSong" w:cs="FangSong"/>
          <w:sz w:val="24"/>
          <w:szCs w:val="24"/>
        </w:rPr>
        <w:sectPr>
          <w:footerReference w:type="default" r:id="rId39"/>
          <w:pgSz w:w="11907" w:h="16839"/>
          <w:pgMar w:top="1571" w:right="1785" w:bottom="1303" w:left="1785" w:header="518" w:footer="487" w:gutter="0"/>
          <w:cols w:space="720"/>
        </w:sectPr>
      </w:pPr>
    </w:p>
    <w:p>
      <w:pPr>
        <w:spacing w:before="115" w:line="5543" w:lineRule="exact"/>
        <w:ind w:firstLine="494"/>
      </w:pPr>
      <w:r>
        <w:rPr>
          <w:position w:val="-110"/>
        </w:rPr>
        <w:drawing>
          <wp:inline distT="0" distB="0" distL="0" distR="0">
            <wp:extent cx="5271134" cy="3519678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134" cy="351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8" w:lineRule="auto"/>
      </w:pPr>
    </w:p>
    <w:p>
      <w:pPr>
        <w:spacing w:before="78" w:line="219" w:lineRule="auto"/>
        <w:ind w:left="516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工具应用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-</w:t>
      </w:r>
      <w:r>
        <w:rPr>
          <w:rFonts w:ascii="FangSong" w:eastAsia="FangSong" w:hAnsi="FangSong" w:cs="FangSong"/>
          <w:spacing w:val="-3"/>
          <w:sz w:val="24"/>
          <w:szCs w:val="24"/>
        </w:rPr>
        <w:t>业务系统备案</w:t>
      </w:r>
    </w:p>
    <w:p>
      <w:pPr>
        <w:pStyle w:val="BodyText"/>
        <w:spacing w:line="299" w:lineRule="auto"/>
      </w:pPr>
    </w:p>
    <w:p>
      <w:pPr>
        <w:spacing w:line="6201" w:lineRule="exact"/>
        <w:ind w:firstLine="494"/>
      </w:pPr>
      <w:r>
        <w:rPr>
          <w:position w:val="-124"/>
        </w:rPr>
        <w:drawing>
          <wp:inline distT="0" distB="0" distL="0" distR="0">
            <wp:extent cx="5266690" cy="3937634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393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0" w:lineRule="auto"/>
      </w:pPr>
    </w:p>
    <w:p>
      <w:pPr>
        <w:spacing w:before="78" w:line="217" w:lineRule="auto"/>
        <w:ind w:left="51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平台服务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-</w:t>
      </w:r>
      <w:r>
        <w:rPr>
          <w:rFonts w:ascii="FangSong" w:eastAsia="FangSong" w:hAnsi="FangSong" w:cs="FangSong"/>
          <w:spacing w:val="-2"/>
          <w:sz w:val="24"/>
          <w:szCs w:val="24"/>
        </w:rPr>
        <w:t>采集控制</w:t>
      </w:r>
    </w:p>
    <w:p>
      <w:pPr>
        <w:spacing w:line="217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42"/>
          <w:footerReference w:type="default" r:id="rId43"/>
          <w:pgSz w:w="11907" w:h="16839"/>
          <w:pgMar w:top="1571" w:right="1325" w:bottom="1303" w:left="1785" w:header="518" w:footer="489" w:gutter="0"/>
          <w:cols w:space="720"/>
        </w:sectPr>
      </w:pPr>
    </w:p>
    <w:p>
      <w:pPr>
        <w:spacing w:before="115" w:line="6318" w:lineRule="exact"/>
        <w:ind w:firstLine="494"/>
      </w:pPr>
      <w:r>
        <w:rPr>
          <w:position w:val="-126"/>
        </w:rPr>
        <w:drawing>
          <wp:inline distT="0" distB="0" distL="0" distR="0">
            <wp:extent cx="5266690" cy="4011802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401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7" w:line="217" w:lineRule="auto"/>
        <w:ind w:left="51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平台服务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-</w:t>
      </w:r>
      <w:r>
        <w:rPr>
          <w:rFonts w:ascii="FangSong" w:eastAsia="FangSong" w:hAnsi="FangSong" w:cs="FangSong"/>
          <w:spacing w:val="-2"/>
          <w:sz w:val="24"/>
          <w:szCs w:val="24"/>
        </w:rPr>
        <w:t>采集控制</w:t>
      </w:r>
    </w:p>
    <w:p>
      <w:pPr>
        <w:spacing w:before="147" w:line="6039" w:lineRule="exact"/>
        <w:ind w:firstLine="494"/>
      </w:pPr>
      <w:r>
        <w:rPr>
          <w:position w:val="-120"/>
        </w:rPr>
        <w:drawing>
          <wp:inline distT="0" distB="0" distL="0" distR="0">
            <wp:extent cx="5266690" cy="3834764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383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7" w:line="216" w:lineRule="auto"/>
        <w:ind w:left="51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平台服务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-</w:t>
      </w:r>
      <w:r>
        <w:rPr>
          <w:rFonts w:ascii="FangSong" w:eastAsia="FangSong" w:hAnsi="FangSong" w:cs="FangSong"/>
          <w:spacing w:val="-2"/>
          <w:sz w:val="24"/>
          <w:szCs w:val="24"/>
        </w:rPr>
        <w:t>作业管理</w:t>
      </w:r>
    </w:p>
    <w:p>
      <w:pPr>
        <w:spacing w:line="216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46"/>
          <w:footerReference w:type="default" r:id="rId47"/>
          <w:pgSz w:w="11907" w:h="16839"/>
          <w:pgMar w:top="1571" w:right="1332" w:bottom="1303" w:left="1785" w:header="518" w:footer="487" w:gutter="0"/>
          <w:cols w:space="720"/>
        </w:sectPr>
      </w:pPr>
    </w:p>
    <w:p>
      <w:pPr>
        <w:spacing w:before="115" w:line="6078" w:lineRule="exact"/>
        <w:ind w:firstLine="494"/>
      </w:pPr>
      <w:r>
        <w:rPr>
          <w:position w:val="-121"/>
        </w:rPr>
        <w:drawing>
          <wp:inline distT="0" distB="0" distL="0" distR="0">
            <wp:extent cx="5266690" cy="3859402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385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3" w:lineRule="auto"/>
      </w:pPr>
    </w:p>
    <w:p>
      <w:pPr>
        <w:spacing w:before="78" w:line="217" w:lineRule="auto"/>
        <w:ind w:left="51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平台服务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-</w:t>
      </w:r>
      <w:r>
        <w:rPr>
          <w:rFonts w:ascii="FangSong" w:eastAsia="FangSong" w:hAnsi="FangSong" w:cs="FangSong"/>
          <w:spacing w:val="-2"/>
          <w:sz w:val="24"/>
          <w:szCs w:val="24"/>
        </w:rPr>
        <w:t>工具仓库</w:t>
      </w:r>
    </w:p>
    <w:p>
      <w:pPr>
        <w:pStyle w:val="BodyText"/>
        <w:spacing w:line="301" w:lineRule="auto"/>
      </w:pPr>
    </w:p>
    <w:p>
      <w:pPr>
        <w:spacing w:line="6031" w:lineRule="exact"/>
        <w:ind w:firstLine="494"/>
      </w:pPr>
      <w:r>
        <w:rPr>
          <w:position w:val="-120"/>
        </w:rPr>
        <w:drawing>
          <wp:inline distT="0" distB="0" distL="0" distR="0">
            <wp:extent cx="5266690" cy="3829684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382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1" w:lineRule="auto"/>
      </w:pPr>
    </w:p>
    <w:p>
      <w:pPr>
        <w:spacing w:before="78" w:line="217" w:lineRule="auto"/>
        <w:ind w:left="51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平台服务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-</w:t>
      </w:r>
      <w:r>
        <w:rPr>
          <w:rFonts w:ascii="FangSong" w:eastAsia="FangSong" w:hAnsi="FangSong" w:cs="FangSong"/>
          <w:spacing w:val="-2"/>
          <w:sz w:val="24"/>
          <w:szCs w:val="24"/>
        </w:rPr>
        <w:t>场景管理</w:t>
      </w:r>
    </w:p>
    <w:p>
      <w:pPr>
        <w:spacing w:line="217" w:lineRule="auto"/>
        <w:rPr>
          <w:rFonts w:ascii="FangSong" w:eastAsia="FangSong" w:hAnsi="FangSong" w:cs="FangSong"/>
          <w:sz w:val="24"/>
          <w:szCs w:val="24"/>
        </w:rPr>
        <w:sectPr>
          <w:footerReference w:type="default" r:id="rId50"/>
          <w:pgSz w:w="11907" w:h="16839"/>
          <w:pgMar w:top="1571" w:right="1332" w:bottom="1303" w:left="1785" w:header="518" w:footer="489" w:gutter="0"/>
          <w:cols w:space="720"/>
        </w:sectPr>
      </w:pPr>
    </w:p>
    <w:p>
      <w:pPr>
        <w:spacing w:before="115" w:line="6299" w:lineRule="exact"/>
        <w:ind w:firstLine="494"/>
      </w:pPr>
      <w:r>
        <w:rPr>
          <w:position w:val="-125"/>
        </w:rPr>
        <w:drawing>
          <wp:inline distT="0" distB="0" distL="0" distR="0">
            <wp:extent cx="5266690" cy="3999738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399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1" w:lineRule="auto"/>
      </w:pPr>
    </w:p>
    <w:p>
      <w:pPr>
        <w:spacing w:before="78" w:line="217" w:lineRule="auto"/>
        <w:ind w:left="51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平台服务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-</w:t>
      </w:r>
      <w:r>
        <w:rPr>
          <w:rFonts w:ascii="FangSong" w:eastAsia="FangSong" w:hAnsi="FangSong" w:cs="FangSong"/>
          <w:spacing w:val="-2"/>
          <w:sz w:val="24"/>
          <w:szCs w:val="24"/>
        </w:rPr>
        <w:t>流程管理</w:t>
      </w:r>
    </w:p>
    <w:p>
      <w:pPr>
        <w:pStyle w:val="BodyText"/>
        <w:spacing w:line="302" w:lineRule="auto"/>
      </w:pPr>
    </w:p>
    <w:p>
      <w:pPr>
        <w:spacing w:line="5871" w:lineRule="exact"/>
        <w:ind w:firstLine="494"/>
      </w:pPr>
      <w:r>
        <w:rPr>
          <w:position w:val="-117"/>
        </w:rPr>
        <w:drawing>
          <wp:inline distT="0" distB="0" distL="0" distR="0">
            <wp:extent cx="5266690" cy="3728084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372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871" w:lineRule="exact"/>
        <w:sectPr>
          <w:footerReference w:type="default" r:id="rId53"/>
          <w:pgSz w:w="11907" w:h="16839"/>
          <w:pgMar w:top="1571" w:right="1332" w:bottom="1303" w:left="1785" w:header="518" w:footer="489" w:gutter="0"/>
          <w:cols w:space="720"/>
        </w:sectPr>
      </w:pPr>
    </w:p>
    <w:p>
      <w:pPr>
        <w:spacing w:before="223" w:line="238" w:lineRule="auto"/>
        <w:ind w:left="21"/>
        <w:rPr>
          <w:rFonts w:ascii="SimHei" w:eastAsia="SimHei" w:hAnsi="SimHei" w:cs="SimHei"/>
          <w:sz w:val="31"/>
          <w:szCs w:val="31"/>
        </w:rPr>
      </w:pPr>
      <w:bookmarkStart w:id="4" w:name="bookmark3"/>
      <w:bookmarkEnd w:id="4"/>
      <w:r>
        <w:rPr>
          <w:rFonts w:ascii="Times New Roman" w:eastAsia="Times New Roman" w:hAnsi="Times New Roman" w:cs="Times New Roman"/>
          <w:spacing w:val="6"/>
          <w:sz w:val="31"/>
          <w:szCs w:val="31"/>
        </w:rPr>
        <w:t>2</w:t>
      </w:r>
      <w:r>
        <w:rPr>
          <w:rFonts w:ascii="Times New Roman" w:eastAsia="Times New Roman" w:hAnsi="Times New Roman" w:cs="Times New Roman"/>
          <w:spacing w:val="16"/>
          <w:sz w:val="31"/>
          <w:szCs w:val="31"/>
        </w:rPr>
        <w:t xml:space="preserve">   </w:t>
      </w:r>
      <w:r>
        <w:rPr>
          <w:rFonts w:ascii="SimHei" w:eastAsia="SimHei" w:hAnsi="SimHei" w:cs="SimHei"/>
          <w:spacing w:val="6"/>
          <w:sz w:val="31"/>
          <w:szCs w:val="31"/>
        </w:rPr>
        <w:t>工具效果自评估</w:t>
      </w:r>
    </w:p>
    <w:p>
      <w:pPr>
        <w:pStyle w:val="BodyText"/>
        <w:spacing w:line="258" w:lineRule="auto"/>
      </w:pPr>
    </w:p>
    <w:p>
      <w:pPr>
        <w:spacing w:before="78" w:line="350" w:lineRule="auto"/>
        <w:ind w:left="30" w:right="80" w:firstLine="479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SG-I6000 2.0</w:t>
      </w:r>
      <w:r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系统为面向信息化领域的软硬件台账管理、资源运行监控、调</w:t>
      </w:r>
      <w:r>
        <w:rPr>
          <w:rFonts w:ascii="FangSong" w:eastAsia="FangSong" w:hAnsi="FangSong" w:cs="FangSong"/>
          <w:spacing w:val="-2"/>
          <w:sz w:val="24"/>
          <w:szCs w:val="24"/>
        </w:rPr>
        <w:t>度管理、运行管理、检修管理等工作的核心信息化支撑系统。</w:t>
      </w:r>
    </w:p>
    <w:p>
      <w:pPr>
        <w:spacing w:before="304" w:line="369" w:lineRule="auto"/>
        <w:ind w:left="31" w:right="78" w:firstLine="521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目前，在公司的典型项目《国网新源控股黑峰公司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2023-2025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年调度通信系</w:t>
      </w:r>
      <w:r>
        <w:rPr>
          <w:rFonts w:ascii="FangSong" w:eastAsia="FangSong" w:hAnsi="FangSong" w:cs="FangSong"/>
          <w:spacing w:val="-8"/>
          <w:sz w:val="24"/>
          <w:szCs w:val="24"/>
        </w:rPr>
        <w:t>统运维服务》、《国网湖南信通公司</w:t>
      </w:r>
      <w:r>
        <w:rPr>
          <w:rFonts w:ascii="FangSong" w:eastAsia="FangSong" w:hAnsi="FangSong" w:cs="FangSong"/>
          <w:spacing w:val="-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2023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8"/>
          <w:sz w:val="24"/>
          <w:szCs w:val="24"/>
        </w:rPr>
        <w:t>年省调自动</w:t>
      </w:r>
      <w:r>
        <w:rPr>
          <w:rFonts w:ascii="FangSong" w:eastAsia="FangSong" w:hAnsi="FangSong" w:cs="FangSong"/>
          <w:spacing w:val="-9"/>
          <w:sz w:val="24"/>
          <w:szCs w:val="24"/>
        </w:rPr>
        <w:t>化及网络安全监测值班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.</w:t>
      </w:r>
      <w:r>
        <w:rPr>
          <w:rFonts w:ascii="FangSong" w:eastAsia="FangSong" w:hAnsi="FangSong" w:cs="FangSong"/>
          <w:spacing w:val="-9"/>
          <w:sz w:val="24"/>
          <w:szCs w:val="24"/>
        </w:rPr>
        <w:t>》中</w:t>
      </w:r>
      <w:r>
        <w:rPr>
          <w:rFonts w:ascii="FangSong" w:eastAsia="FangSong" w:hAnsi="FangSong" w:cs="FangSong"/>
          <w:spacing w:val="-3"/>
          <w:sz w:val="24"/>
          <w:szCs w:val="24"/>
        </w:rPr>
        <w:t>得到较好的应用。</w:t>
      </w:r>
    </w:p>
    <w:p>
      <w:pPr>
        <w:spacing w:before="316" w:line="359" w:lineRule="auto"/>
        <w:ind w:left="43" w:right="82" w:firstLine="473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主要功能：信息化专业的资源管理、资源监测、调度管理、运行管理、检修</w:t>
      </w:r>
      <w:r>
        <w:rPr>
          <w:rFonts w:ascii="FangSong" w:eastAsia="FangSong" w:hAnsi="FangSong" w:cs="FangSong"/>
          <w:spacing w:val="-12"/>
          <w:sz w:val="24"/>
          <w:szCs w:val="24"/>
        </w:rPr>
        <w:t>管理等。</w:t>
      </w:r>
    </w:p>
    <w:p>
      <w:pPr>
        <w:spacing w:before="9" w:line="358" w:lineRule="auto"/>
        <w:ind w:left="30" w:right="80" w:firstLine="479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SG-I6000 2.0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平台自上线运行，运行情况良好。完成包括资源管理、</w:t>
      </w:r>
      <w:r>
        <w:rPr>
          <w:rFonts w:ascii="FangSong" w:eastAsia="FangSong" w:hAnsi="FangSong" w:cs="FangSong"/>
          <w:spacing w:val="58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一体化</w:t>
      </w:r>
      <w:r>
        <w:rPr>
          <w:rFonts w:ascii="FangSong" w:eastAsia="FangSong" w:hAnsi="FangSong" w:cs="FangSong"/>
          <w:spacing w:val="-3"/>
          <w:sz w:val="24"/>
          <w:szCs w:val="24"/>
        </w:rPr>
        <w:t>平台监测、运行数据分析、移动运维、数据采集、告警中心、技</w:t>
      </w:r>
      <w:r>
        <w:rPr>
          <w:rFonts w:ascii="FangSong" w:eastAsia="FangSong" w:hAnsi="FangSong" w:cs="FangSong"/>
          <w:spacing w:val="-4"/>
          <w:sz w:val="24"/>
          <w:szCs w:val="24"/>
        </w:rPr>
        <w:t>术平台，为各业</w:t>
      </w:r>
      <w:r>
        <w:rPr>
          <w:rFonts w:ascii="FangSong" w:eastAsia="FangSong" w:hAnsi="FangSong" w:cs="FangSong"/>
          <w:spacing w:val="-8"/>
          <w:sz w:val="24"/>
          <w:szCs w:val="24"/>
        </w:rPr>
        <w:t>务系统提供运行监管、拓扑图、资源管理、调运检流程应用等功能，</w:t>
      </w:r>
      <w:r>
        <w:rPr>
          <w:rFonts w:ascii="FangSong" w:eastAsia="FangSong" w:hAnsi="FangSong" w:cs="FangSong"/>
          <w:spacing w:val="4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8"/>
          <w:sz w:val="24"/>
          <w:szCs w:val="24"/>
        </w:rPr>
        <w:t>实现集约化</w:t>
      </w:r>
      <w:r>
        <w:rPr>
          <w:rFonts w:ascii="FangSong" w:eastAsia="FangSong" w:hAnsi="FangSong" w:cs="FangSong"/>
          <w:spacing w:val="-3"/>
          <w:sz w:val="24"/>
          <w:szCs w:val="24"/>
        </w:rPr>
        <w:t>管理和资源图形数据最大程度的共享，为公司建立起稳定、灵活、</w:t>
      </w:r>
      <w:r>
        <w:rPr>
          <w:rFonts w:ascii="FangSong" w:eastAsia="FangSong" w:hAnsi="FangSong" w:cs="FangSong"/>
          <w:spacing w:val="-4"/>
          <w:sz w:val="24"/>
          <w:szCs w:val="24"/>
        </w:rPr>
        <w:t>高效的信息系</w:t>
      </w:r>
      <w:r>
        <w:rPr>
          <w:rFonts w:ascii="FangSong" w:eastAsia="FangSong" w:hAnsi="FangSong" w:cs="FangSong"/>
          <w:spacing w:val="-3"/>
          <w:sz w:val="24"/>
          <w:szCs w:val="24"/>
        </w:rPr>
        <w:t>统运行和维护管理体系，对公司业务系统正常运行提供了强有</w:t>
      </w:r>
      <w:r>
        <w:rPr>
          <w:rFonts w:ascii="FangSong" w:eastAsia="FangSong" w:hAnsi="FangSong" w:cs="FangSong"/>
          <w:spacing w:val="-4"/>
          <w:sz w:val="24"/>
          <w:szCs w:val="24"/>
        </w:rPr>
        <w:t>力的支撑，有效地</w:t>
      </w:r>
      <w:r>
        <w:rPr>
          <w:rFonts w:ascii="FangSong" w:eastAsia="FangSong" w:hAnsi="FangSong" w:cs="FangSong"/>
          <w:spacing w:val="-3"/>
          <w:sz w:val="24"/>
          <w:szCs w:val="24"/>
        </w:rPr>
        <w:t>保障了信息基础设施的安全、连续、可靠、有效运行，为实现公司</w:t>
      </w:r>
      <w:r>
        <w:rPr>
          <w:rFonts w:ascii="FangSong" w:eastAsia="FangSong" w:hAnsi="FangSong" w:cs="FangSong"/>
          <w:spacing w:val="-4"/>
          <w:sz w:val="24"/>
          <w:szCs w:val="24"/>
        </w:rPr>
        <w:t>的战略目标提</w:t>
      </w:r>
      <w:r>
        <w:rPr>
          <w:rFonts w:ascii="FangSong" w:eastAsia="FangSong" w:hAnsi="FangSong" w:cs="FangSong"/>
          <w:spacing w:val="-5"/>
          <w:sz w:val="24"/>
          <w:szCs w:val="24"/>
        </w:rPr>
        <w:t>供了坚实的基础支撑。</w:t>
      </w:r>
    </w:p>
    <w:p>
      <w:pPr>
        <w:spacing w:before="4" w:line="358" w:lineRule="auto"/>
        <w:ind w:left="30" w:right="78" w:firstLine="479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截止</w:t>
      </w:r>
      <w:r>
        <w:rPr>
          <w:rFonts w:ascii="FangSong" w:eastAsia="FangSong" w:hAnsi="FangSong" w:cs="FangSong"/>
          <w:spacing w:val="-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2023</w:t>
      </w:r>
      <w:r>
        <w:rPr>
          <w:rFonts w:ascii="Times New Roman" w:eastAsia="Times New Roman" w:hAnsi="Times New Roman" w:cs="Times New Roman"/>
          <w:spacing w:val="25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5"/>
          <w:sz w:val="24"/>
          <w:szCs w:val="24"/>
        </w:rPr>
        <w:t>年</w:t>
      </w:r>
      <w:r>
        <w:rPr>
          <w:rFonts w:ascii="FangSong" w:eastAsia="FangSong" w:hAnsi="FangSong" w:cs="FangSong"/>
          <w:spacing w:val="-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pacing w:val="32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5"/>
          <w:sz w:val="24"/>
          <w:szCs w:val="24"/>
        </w:rPr>
        <w:t>月</w:t>
      </w:r>
      <w:r>
        <w:rPr>
          <w:rFonts w:ascii="FangSong" w:eastAsia="FangSong" w:hAnsi="FangSong" w:cs="FangSong"/>
          <w:spacing w:val="-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9  </w:t>
      </w:r>
      <w:r>
        <w:rPr>
          <w:rFonts w:ascii="FangSong" w:eastAsia="FangSong" w:hAnsi="FangSong" w:cs="FangSong"/>
          <w:spacing w:val="-5"/>
          <w:sz w:val="24"/>
          <w:szCs w:val="24"/>
        </w:rPr>
        <w:t>日，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SG-I60002.0</w:t>
      </w:r>
      <w:r>
        <w:rPr>
          <w:rFonts w:ascii="Times New Roman" w:eastAsia="Times New Roman" w:hAnsi="Times New Roman" w:cs="Times New Roman"/>
          <w:spacing w:val="30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5"/>
          <w:sz w:val="24"/>
          <w:szCs w:val="24"/>
        </w:rPr>
        <w:t>系统注册用户数</w:t>
      </w:r>
      <w:r>
        <w:rPr>
          <w:rFonts w:ascii="FangSong" w:eastAsia="FangSong" w:hAnsi="FangSong" w:cs="FangSong"/>
          <w:spacing w:val="-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1638</w:t>
      </w:r>
      <w:r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人，累计登录用</w:t>
      </w:r>
      <w:r>
        <w:rPr>
          <w:rFonts w:ascii="FangSong" w:eastAsia="FangSong" w:hAnsi="FangSong" w:cs="FangSong"/>
          <w:spacing w:val="-5"/>
          <w:sz w:val="24"/>
          <w:szCs w:val="24"/>
        </w:rPr>
        <w:t>户</w:t>
      </w:r>
      <w:r>
        <w:rPr>
          <w:rFonts w:ascii="FangSong" w:eastAsia="FangSong" w:hAnsi="FangSong" w:cs="FangSong"/>
          <w:spacing w:val="-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62307</w:t>
      </w:r>
      <w:r>
        <w:rPr>
          <w:rFonts w:ascii="Times New Roman" w:eastAsia="Times New Roman" w:hAnsi="Times New Roman" w:cs="Times New Roman"/>
          <w:spacing w:val="19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5"/>
          <w:sz w:val="24"/>
          <w:szCs w:val="24"/>
        </w:rPr>
        <w:t>人次，各模块累计业务应用数已超过</w:t>
      </w:r>
      <w:r>
        <w:rPr>
          <w:rFonts w:ascii="FangSong" w:eastAsia="FangSong" w:hAnsi="FangSong" w:cs="FangSong"/>
          <w:spacing w:val="-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80161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5"/>
          <w:sz w:val="24"/>
          <w:szCs w:val="24"/>
        </w:rPr>
        <w:t>条（包括检修、两票、服务</w:t>
      </w:r>
      <w:r>
        <w:rPr>
          <w:rFonts w:ascii="FangSong" w:eastAsia="FangSong" w:hAnsi="FangSong" w:cs="FangSong"/>
          <w:spacing w:val="-6"/>
          <w:sz w:val="24"/>
          <w:szCs w:val="24"/>
        </w:rPr>
        <w:t>请求单等）。在系统更新维护方面，累计完成设备变更</w:t>
      </w:r>
      <w:r>
        <w:rPr>
          <w:rFonts w:ascii="FangSong" w:eastAsia="FangSong" w:hAnsi="FangSong" w:cs="FangSong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2297</w:t>
      </w:r>
      <w:r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余次、完成</w:t>
      </w:r>
      <w:r>
        <w:rPr>
          <w:rFonts w:ascii="FangSong" w:eastAsia="FangSong" w:hAnsi="FangSong" w:cs="FangSong"/>
          <w:spacing w:val="-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76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个机</w:t>
      </w:r>
      <w:r>
        <w:rPr>
          <w:rFonts w:ascii="FangSong" w:eastAsia="FangSong" w:hAnsi="FangSong" w:cs="FangSong"/>
          <w:spacing w:val="-2"/>
          <w:sz w:val="24"/>
          <w:szCs w:val="24"/>
        </w:rPr>
        <w:t>房视图的绘制。在设备采集方面，硬件设备</w:t>
      </w:r>
      <w:r>
        <w:rPr>
          <w:rFonts w:ascii="FangSong" w:eastAsia="FangSong" w:hAnsi="FangSong" w:cs="FangSong"/>
          <w:spacing w:val="-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7015</w:t>
      </w:r>
      <w:r>
        <w:rPr>
          <w:rFonts w:ascii="Times New Roman" w:eastAsia="Times New Roman" w:hAnsi="Times New Roman" w:cs="Times New Roman"/>
          <w:spacing w:val="16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个、</w:t>
      </w:r>
      <w:r>
        <w:rPr>
          <w:rFonts w:ascii="FangSong" w:eastAsia="FangSong" w:hAnsi="FangSong" w:cs="FangSong"/>
          <w:spacing w:val="-3"/>
          <w:sz w:val="24"/>
          <w:szCs w:val="24"/>
        </w:rPr>
        <w:t>软件设备</w:t>
      </w:r>
      <w:r>
        <w:rPr>
          <w:rFonts w:ascii="FangSong" w:eastAsia="FangSong" w:hAnsi="FangSong" w:cs="FangSong"/>
          <w:spacing w:val="-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600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套。</w:t>
      </w:r>
    </w:p>
    <w:p>
      <w:pPr>
        <w:pStyle w:val="BodyText"/>
        <w:spacing w:line="311" w:lineRule="auto"/>
      </w:pPr>
    </w:p>
    <w:p>
      <w:pPr>
        <w:spacing w:before="101" w:line="239" w:lineRule="auto"/>
        <w:ind w:left="27"/>
        <w:rPr>
          <w:rFonts w:ascii="SimHei" w:eastAsia="SimHei" w:hAnsi="SimHei" w:cs="SimHei"/>
          <w:sz w:val="31"/>
          <w:szCs w:val="31"/>
        </w:rPr>
      </w:pPr>
      <w:r>
        <w:rPr>
          <w:rFonts w:ascii="Times New Roman" w:eastAsia="Times New Roman" w:hAnsi="Times New Roman" w:cs="Times New Roman"/>
          <w:spacing w:val="1"/>
          <w:sz w:val="31"/>
          <w:szCs w:val="31"/>
        </w:rPr>
        <w:t xml:space="preserve">3    </w:t>
      </w:r>
      <w:r>
        <w:rPr>
          <w:rFonts w:ascii="SimHei" w:eastAsia="SimHei" w:hAnsi="SimHei" w:cs="SimHei"/>
          <w:spacing w:val="1"/>
          <w:sz w:val="31"/>
          <w:szCs w:val="31"/>
        </w:rPr>
        <w:t>目前工具的适用性</w:t>
      </w:r>
    </w:p>
    <w:p>
      <w:pPr>
        <w:pStyle w:val="BodyText"/>
        <w:spacing w:line="257" w:lineRule="auto"/>
      </w:pPr>
    </w:p>
    <w:p>
      <w:pPr>
        <w:spacing w:before="78" w:line="359" w:lineRule="auto"/>
        <w:ind w:left="30" w:firstLine="484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实现了运维体系流程优化、运维对象监控、调度业务管理、运检业务</w:t>
      </w:r>
      <w:r>
        <w:rPr>
          <w:rFonts w:ascii="FangSong" w:eastAsia="FangSong" w:hAnsi="FangSong" w:cs="FangSong"/>
          <w:spacing w:val="-2"/>
          <w:sz w:val="24"/>
          <w:szCs w:val="24"/>
        </w:rPr>
        <w:t>管理、</w:t>
      </w:r>
      <w:r>
        <w:rPr>
          <w:rFonts w:ascii="FangSong" w:eastAsia="FangSong" w:hAnsi="FangSong" w:cs="FangSong"/>
          <w:spacing w:val="-8"/>
          <w:sz w:val="24"/>
          <w:szCs w:val="24"/>
        </w:rPr>
        <w:t>运维专区管理等功能模块的部署与实施，为各业务系统提供运行监管、资源管理、</w:t>
      </w:r>
      <w:r>
        <w:rPr>
          <w:rFonts w:ascii="FangSong" w:eastAsia="FangSong" w:hAnsi="FangSong" w:cs="FangSong"/>
          <w:spacing w:val="-4"/>
          <w:sz w:val="24"/>
          <w:szCs w:val="24"/>
        </w:rPr>
        <w:t>调运检流程应用等功能。</w:t>
      </w:r>
    </w:p>
    <w:p>
      <w:pPr>
        <w:spacing w:before="3" w:line="359" w:lineRule="auto"/>
        <w:ind w:left="34" w:firstLine="484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7"/>
          <w:sz w:val="24"/>
          <w:szCs w:val="24"/>
        </w:rPr>
        <w:t>为公司建立起稳定、灵活、高效的信息系统运行和维护管理体系，</w:t>
      </w:r>
      <w:r>
        <w:rPr>
          <w:rFonts w:ascii="FangSong" w:eastAsia="FangSong" w:hAnsi="FangSong" w:cs="FangSong"/>
          <w:spacing w:val="-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7"/>
          <w:sz w:val="24"/>
          <w:szCs w:val="24"/>
        </w:rPr>
        <w:t>对公</w:t>
      </w:r>
      <w:r>
        <w:rPr>
          <w:rFonts w:ascii="FangSong" w:eastAsia="FangSong" w:hAnsi="FangSong" w:cs="FangSong"/>
          <w:spacing w:val="-8"/>
          <w:sz w:val="24"/>
          <w:szCs w:val="24"/>
        </w:rPr>
        <w:t>司业</w:t>
      </w:r>
      <w:r>
        <w:rPr>
          <w:rFonts w:ascii="FangSong" w:eastAsia="FangSong" w:hAnsi="FangSong" w:cs="FangSong"/>
          <w:spacing w:val="-8"/>
          <w:sz w:val="24"/>
          <w:szCs w:val="24"/>
        </w:rPr>
        <w:t>务系统正常运行提供了强有力的支撑，有效地保障了信息基础设施的安全、连续、</w:t>
      </w:r>
      <w:r>
        <w:rPr>
          <w:rFonts w:ascii="FangSong" w:eastAsia="FangSong" w:hAnsi="FangSong" w:cs="FangSong"/>
          <w:spacing w:val="-7"/>
          <w:sz w:val="24"/>
          <w:szCs w:val="24"/>
        </w:rPr>
        <w:t>可靠、有效运行，</w:t>
      </w:r>
      <w:r>
        <w:rPr>
          <w:rFonts w:ascii="FangSong" w:eastAsia="FangSong" w:hAnsi="FangSong" w:cs="FangSong"/>
          <w:spacing w:val="-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7"/>
          <w:sz w:val="24"/>
          <w:szCs w:val="24"/>
        </w:rPr>
        <w:t>为实现公司的战略目标提供了坚实的基础支撑。比较好的适应</w:t>
      </w:r>
    </w:p>
    <w:p>
      <w:pPr>
        <w:spacing w:line="359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54"/>
          <w:footerReference w:type="default" r:id="rId55"/>
          <w:pgSz w:w="11907" w:h="16839"/>
          <w:pgMar w:top="1571" w:right="1719" w:bottom="1303" w:left="1785" w:header="518" w:footer="487" w:gutter="0"/>
          <w:cols w:space="720"/>
        </w:sectPr>
      </w:pPr>
    </w:p>
    <w:p>
      <w:pPr>
        <w:spacing w:before="152" w:line="216" w:lineRule="auto"/>
        <w:ind w:left="6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了公司的调运检流程的相关工作。</w:t>
      </w:r>
    </w:p>
    <w:sectPr>
      <w:headerReference w:type="default" r:id="rId56"/>
      <w:footerReference w:type="default" r:id="rId57"/>
      <w:pgSz w:w="11907" w:h="16839"/>
      <w:pgMar w:top="1571" w:right="1785" w:bottom="1303" w:left="1785" w:header="518" w:footer="48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8" w:lineRule="exact"/>
      <w:ind w:firstLine="14"/>
    </w:pPr>
    <w:r>
      <w:rPr>
        <w:position w:val="-14"/>
      </w:rPr>
      <w:drawing>
        <wp:inline distT="0" distB="0" distL="0" distR="0">
          <wp:extent cx="1483867" cy="449580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495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71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58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38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46" name="IM 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 4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52" name="IM 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 5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58" name="IM 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 5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64" name="IM 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IM 6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12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7872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72" name="IM 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IM 7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13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80" name="IM 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" name="IM 8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14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86" name="IM 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" name="IM 8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15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8384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92" name="IM 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IM 9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16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8486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100" name="IM 1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IM 10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17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8691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9864839</wp:posOffset>
          </wp:positionV>
          <wp:extent cx="1483867" cy="456399"/>
          <wp:effectExtent l="0" t="0" r="0" b="0"/>
          <wp:wrapNone/>
          <wp:docPr id="102" name="IM 1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IM 10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18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1447800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20" w:lineRule="auto"/>
      <w:ind w:left="5210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1447800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20" w:lineRule="auto"/>
      <w:ind w:left="5678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1447800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20" w:lineRule="auto"/>
      <w:ind w:left="5330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1447800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20" w:lineRule="auto"/>
      <w:ind w:left="5557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1447800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20" w:lineRule="auto"/>
      <w:ind w:left="5330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1447800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1072490717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20" w:lineRule="auto"/>
      <w:ind w:left="5330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1447800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44" name="IM 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 4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20" w:lineRule="auto"/>
      <w:ind w:left="5330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1447800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585515556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20" w:lineRule="auto"/>
      <w:ind w:left="5330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9744" behindDoc="0" locked="0" layoutInCell="0" allowOverlap="1">
          <wp:simplePos x="0" y="0"/>
          <wp:positionH relativeFrom="page">
            <wp:posOffset>1447800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70" name="IM 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 7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20" w:lineRule="auto"/>
      <w:ind w:left="5330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81792" behindDoc="0" locked="0" layoutInCell="0" allowOverlap="1">
          <wp:simplePos x="0" y="0"/>
          <wp:positionH relativeFrom="page">
            <wp:posOffset>1447800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78" name="IM 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IM 7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20" w:lineRule="auto"/>
      <w:ind w:left="5330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85888" behindDoc="0" locked="0" layoutInCell="0" allowOverlap="1">
          <wp:simplePos x="0" y="0"/>
          <wp:positionH relativeFrom="page">
            <wp:posOffset>1447800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98" name="IM 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" name="IM 9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20" w:lineRule="auto"/>
      <w:ind w:left="5330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1447800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392710674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20" w:lineRule="auto"/>
      <w:ind w:left="5330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image" Target="media/image4.png" /><Relationship Id="rId13" Type="http://schemas.openxmlformats.org/officeDocument/2006/relationships/image" Target="media/image5.png" /><Relationship Id="rId14" Type="http://schemas.openxmlformats.org/officeDocument/2006/relationships/header" Target="header5.xml" /><Relationship Id="rId15" Type="http://schemas.openxmlformats.org/officeDocument/2006/relationships/footer" Target="footer5.xml" /><Relationship Id="rId16" Type="http://schemas.openxmlformats.org/officeDocument/2006/relationships/image" Target="media/image6.jpeg" /><Relationship Id="rId17" Type="http://schemas.openxmlformats.org/officeDocument/2006/relationships/image" Target="media/image7.jpeg" /><Relationship Id="rId18" Type="http://schemas.openxmlformats.org/officeDocument/2006/relationships/header" Target="header6.xml" /><Relationship Id="rId19" Type="http://schemas.openxmlformats.org/officeDocument/2006/relationships/footer" Target="footer6.xml" /><Relationship Id="rId2" Type="http://schemas.openxmlformats.org/officeDocument/2006/relationships/webSettings" Target="webSettings.xml" /><Relationship Id="rId20" Type="http://schemas.openxmlformats.org/officeDocument/2006/relationships/image" Target="media/image8.jpeg" /><Relationship Id="rId21" Type="http://schemas.openxmlformats.org/officeDocument/2006/relationships/image" Target="media/image9.jpeg" /><Relationship Id="rId22" Type="http://schemas.openxmlformats.org/officeDocument/2006/relationships/footer" Target="footer7.xml" /><Relationship Id="rId23" Type="http://schemas.openxmlformats.org/officeDocument/2006/relationships/image" Target="media/image10.jpeg" /><Relationship Id="rId24" Type="http://schemas.openxmlformats.org/officeDocument/2006/relationships/image" Target="media/image11.jpeg" /><Relationship Id="rId25" Type="http://schemas.openxmlformats.org/officeDocument/2006/relationships/footer" Target="footer8.xml" /><Relationship Id="rId26" Type="http://schemas.openxmlformats.org/officeDocument/2006/relationships/image" Target="media/image12.png" /><Relationship Id="rId27" Type="http://schemas.openxmlformats.org/officeDocument/2006/relationships/image" Target="media/image13.png" /><Relationship Id="rId28" Type="http://schemas.openxmlformats.org/officeDocument/2006/relationships/header" Target="header7.xml" /><Relationship Id="rId29" Type="http://schemas.openxmlformats.org/officeDocument/2006/relationships/footer" Target="footer9.xml" /><Relationship Id="rId3" Type="http://schemas.openxmlformats.org/officeDocument/2006/relationships/fontTable" Target="fontTable.xml" /><Relationship Id="rId30" Type="http://schemas.openxmlformats.org/officeDocument/2006/relationships/image" Target="media/image14.png" /><Relationship Id="rId31" Type="http://schemas.openxmlformats.org/officeDocument/2006/relationships/image" Target="media/image15.jpeg" /><Relationship Id="rId32" Type="http://schemas.openxmlformats.org/officeDocument/2006/relationships/header" Target="header8.xml" /><Relationship Id="rId33" Type="http://schemas.openxmlformats.org/officeDocument/2006/relationships/footer" Target="footer10.xml" /><Relationship Id="rId34" Type="http://schemas.openxmlformats.org/officeDocument/2006/relationships/image" Target="media/image16.png" /><Relationship Id="rId35" Type="http://schemas.openxmlformats.org/officeDocument/2006/relationships/image" Target="media/image17.png" /><Relationship Id="rId36" Type="http://schemas.openxmlformats.org/officeDocument/2006/relationships/footer" Target="footer11.xml" /><Relationship Id="rId37" Type="http://schemas.openxmlformats.org/officeDocument/2006/relationships/image" Target="media/image18.png" /><Relationship Id="rId38" Type="http://schemas.openxmlformats.org/officeDocument/2006/relationships/image" Target="media/image19.jpeg" /><Relationship Id="rId39" Type="http://schemas.openxmlformats.org/officeDocument/2006/relationships/footer" Target="footer12.xml" /><Relationship Id="rId4" Type="http://schemas.openxmlformats.org/officeDocument/2006/relationships/header" Target="header1.xml" /><Relationship Id="rId40" Type="http://schemas.openxmlformats.org/officeDocument/2006/relationships/image" Target="media/image20.png" /><Relationship Id="rId41" Type="http://schemas.openxmlformats.org/officeDocument/2006/relationships/image" Target="media/image21.jpeg" /><Relationship Id="rId42" Type="http://schemas.openxmlformats.org/officeDocument/2006/relationships/header" Target="header9.xml" /><Relationship Id="rId43" Type="http://schemas.openxmlformats.org/officeDocument/2006/relationships/footer" Target="footer13.xml" /><Relationship Id="rId44" Type="http://schemas.openxmlformats.org/officeDocument/2006/relationships/image" Target="media/image22.png" /><Relationship Id="rId45" Type="http://schemas.openxmlformats.org/officeDocument/2006/relationships/image" Target="media/image23.jpeg" /><Relationship Id="rId46" Type="http://schemas.openxmlformats.org/officeDocument/2006/relationships/header" Target="header10.xml" /><Relationship Id="rId47" Type="http://schemas.openxmlformats.org/officeDocument/2006/relationships/footer" Target="footer14.xml" /><Relationship Id="rId48" Type="http://schemas.openxmlformats.org/officeDocument/2006/relationships/image" Target="media/image24.png" /><Relationship Id="rId49" Type="http://schemas.openxmlformats.org/officeDocument/2006/relationships/image" Target="media/image25.jpeg" /><Relationship Id="rId5" Type="http://schemas.openxmlformats.org/officeDocument/2006/relationships/footer" Target="footer1.xml" /><Relationship Id="rId50" Type="http://schemas.openxmlformats.org/officeDocument/2006/relationships/footer" Target="footer15.xml" /><Relationship Id="rId51" Type="http://schemas.openxmlformats.org/officeDocument/2006/relationships/image" Target="media/image26.png" /><Relationship Id="rId52" Type="http://schemas.openxmlformats.org/officeDocument/2006/relationships/image" Target="media/image27.jpeg" /><Relationship Id="rId53" Type="http://schemas.openxmlformats.org/officeDocument/2006/relationships/footer" Target="footer16.xml" /><Relationship Id="rId54" Type="http://schemas.openxmlformats.org/officeDocument/2006/relationships/header" Target="header11.xml" /><Relationship Id="rId55" Type="http://schemas.openxmlformats.org/officeDocument/2006/relationships/footer" Target="footer17.xml" /><Relationship Id="rId56" Type="http://schemas.openxmlformats.org/officeDocument/2006/relationships/header" Target="header12.xml" /><Relationship Id="rId57" Type="http://schemas.openxmlformats.org/officeDocument/2006/relationships/footer" Target="footer18.xml" /><Relationship Id="rId58" Type="http://schemas.openxmlformats.org/officeDocument/2006/relationships/styles" Target="styles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foot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foot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foot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footer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footer1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footer1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footer1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footer1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footer1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footer1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revision>0</cp:revision>
  <dcterms:created xsi:type="dcterms:W3CDTF">2023-07-27T08:54:14Z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2025-12-03T15:21:13Z</vt:filetime>
  </property>
  <property fmtid="{D5CDD505-2E9C-101B-9397-08002B2CF9AE}" pid="3" name="CRO">
    <vt:lpwstr>wqlLaW5nc29mdCBQREYgdG8gV1BTIDExNQ</vt:lpwstr>
  </property>
</Properties>
</file>