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234" w:line="243" w:lineRule="auto"/>
        <w:ind w:left="1448" w:hanging="1449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0"/>
          <w:sz w:val="72"/>
          <w:szCs w:val="72"/>
        </w:rPr>
        <w:t>运维服务工具应用情况说明</w:t>
      </w: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及效果自评估报告</w:t>
      </w:r>
    </w:p>
    <w:p>
      <w:pPr>
        <w:spacing w:before="145" w:line="232" w:lineRule="auto"/>
        <w:ind w:left="28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-3"/>
          <w:sz w:val="28"/>
          <w:szCs w:val="28"/>
        </w:rPr>
        <w:t>（YNTD-ITSS-1001-07）</w:t>
      </w:r>
    </w:p>
    <w:p>
      <w:pPr>
        <w:spacing w:before="278" w:line="221" w:lineRule="auto"/>
        <w:ind w:left="370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-5"/>
          <w:sz w:val="28"/>
          <w:szCs w:val="28"/>
        </w:rPr>
        <w:t>专用工具</w:t>
      </w:r>
    </w:p>
    <w:p>
      <w:pPr>
        <w:pStyle w:val="BodyText"/>
        <w:spacing w:line="474" w:lineRule="auto"/>
      </w:pPr>
    </w:p>
    <w:p>
      <w:pPr>
        <w:spacing w:before="91" w:line="220" w:lineRule="auto"/>
        <w:ind w:left="322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-5"/>
          <w:sz w:val="28"/>
          <w:szCs w:val="28"/>
        </w:rPr>
        <w:t>（资产管理平台)</w:t>
      </w: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spacing w:before="101" w:line="223" w:lineRule="auto"/>
        <w:ind w:left="204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632" w:right="1599" w:bottom="1303" w:left="1695" w:header="518" w:footer="487" w:gutter="0"/>
          <w:cols w:space="720"/>
        </w:sectPr>
      </w:pPr>
    </w:p>
    <w:p>
      <w:pPr>
        <w:pStyle w:val="BodyText"/>
        <w:spacing w:line="468" w:lineRule="auto"/>
      </w:pPr>
    </w:p>
    <w:p>
      <w:pPr>
        <w:spacing w:before="98" w:line="220" w:lineRule="auto"/>
        <w:ind w:left="3475"/>
        <w:outlineLvl w:val="1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30"/>
      </w:pPr>
    </w:p>
    <w:p>
      <w:pPr>
        <w:spacing w:before="30"/>
      </w:pPr>
    </w:p>
    <w:p>
      <w:pPr>
        <w:spacing w:before="30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before="194" w:line="298" w:lineRule="auto"/>
              <w:ind w:left="294" w:right="9" w:firstLine="29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3"/>
                <w:sz w:val="24"/>
                <w:szCs w:val="24"/>
              </w:rPr>
              <w:t>版</w:t>
            </w:r>
            <w:r>
              <w:rPr>
                <w:rFonts w:ascii="SimSun" w:eastAsia="SimSun" w:hAnsi="SimSun" w:cs="SimSun"/>
                <w:b/>
                <w:bCs/>
                <w:spacing w:val="-3"/>
                <w:sz w:val="24"/>
                <w:szCs w:val="24"/>
              </w:rPr>
              <w:t>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4" w:line="226" w:lineRule="auto"/>
              <w:ind w:left="53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3" w:line="219" w:lineRule="auto"/>
              <w:ind w:left="92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4" w:line="220" w:lineRule="auto"/>
              <w:ind w:left="91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6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9" w:line="220" w:lineRule="auto"/>
              <w:ind w:left="19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9" w:line="220" w:lineRule="auto"/>
              <w:ind w:left="43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9" w:line="220" w:lineRule="auto"/>
              <w:ind w:left="24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9" w:line="220" w:lineRule="auto"/>
              <w:ind w:left="48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9" w:line="220" w:lineRule="auto"/>
              <w:ind w:left="26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79" w:line="220" w:lineRule="auto"/>
              <w:ind w:left="44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593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71" w:line="237" w:lineRule="auto"/>
              <w:ind w:left="25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spacing w:before="71" w:line="220" w:lineRule="auto"/>
              <w:ind w:left="10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周丽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71" w:line="237" w:lineRule="auto"/>
              <w:ind w:left="26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spacing w:before="71" w:line="218" w:lineRule="auto"/>
              <w:ind w:left="32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71" w:line="237" w:lineRule="auto"/>
              <w:ind w:left="32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spacing w:before="71" w:line="220" w:lineRule="auto"/>
              <w:ind w:left="25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71" w:line="237" w:lineRule="auto"/>
              <w:ind w:left="27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spacing w:before="71" w:line="219" w:lineRule="auto"/>
              <w:ind w:left="54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6"/>
                <w:sz w:val="21"/>
                <w:szCs w:val="21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632" w:right="1437" w:bottom="1303" w:left="1438" w:header="518" w:footer="487" w:gutter="0"/>
          <w:cols w:space="720"/>
        </w:sectPr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sdt>
      <w:sdtPr>
        <w:rPr>
          <w:rFonts w:ascii="SimSun" w:eastAsia="SimSun" w:hAnsi="SimSun" w:cs="SimSun"/>
          <w:sz w:val="43"/>
          <w:szCs w:val="43"/>
        </w:rPr>
        <w:id w:val="1812678994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140" w:line="226" w:lineRule="auto"/>
            <w:ind w:left="3970"/>
            <w:rPr>
              <w:rFonts w:ascii="SimSun" w:eastAsia="SimSun" w:hAnsi="SimSun" w:cs="SimSun"/>
              <w:sz w:val="43"/>
              <w:szCs w:val="43"/>
            </w:rPr>
          </w:pPr>
          <w:r>
            <w:rPr>
              <w:rFonts w:ascii="SimSun" w:eastAsia="SimSun" w:hAnsi="SimSun" w:cs="SimSun"/>
              <w:b/>
              <w:bCs/>
              <w:spacing w:val="-51"/>
              <w:sz w:val="43"/>
              <w:szCs w:val="43"/>
            </w:rPr>
            <w:t>目</w:t>
          </w:r>
          <w:r>
            <w:rPr>
              <w:rFonts w:ascii="SimSun" w:eastAsia="SimSun" w:hAnsi="SimSun" w:cs="SimSun"/>
              <w:spacing w:val="27"/>
              <w:sz w:val="43"/>
              <w:szCs w:val="43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51"/>
              <w:sz w:val="43"/>
              <w:szCs w:val="43"/>
            </w:rPr>
            <w:t>录</w:t>
          </w:r>
        </w:p>
        <w:p>
          <w:pPr>
            <w:pStyle w:val="BodyText"/>
            <w:spacing w:line="379" w:lineRule="auto"/>
          </w:pPr>
        </w:p>
        <w:p>
          <w:pPr>
            <w:tabs>
              <w:tab w:val="right" w:leader="dot" w:pos="8327"/>
            </w:tabs>
            <w:spacing w:before="91" w:line="185" w:lineRule="auto"/>
            <w:ind w:left="61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3"/>
              <w:sz w:val="28"/>
              <w:szCs w:val="28"/>
            </w:rPr>
            <w:t>1</w:t>
          </w:r>
          <w:r>
            <w:rPr>
              <w:rFonts w:ascii="FangSong" w:eastAsia="FangSong" w:hAnsi="FangSong" w:cs="FangSong"/>
              <w:spacing w:val="49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13"/>
              <w:sz w:val="28"/>
              <w:szCs w:val="28"/>
            </w:rPr>
            <w:t>工具概述</w:t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64" w:line="212" w:lineRule="auto"/>
            <w:ind w:left="52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2</w:t>
          </w:r>
          <w:r>
            <w:rPr>
              <w:rFonts w:ascii="FangSong" w:eastAsia="FangSong" w:hAnsi="FangSong" w:cs="FangSong"/>
              <w:spacing w:val="12"/>
              <w:sz w:val="28"/>
              <w:szCs w:val="28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工具效果自评估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33"/>
              <w:w w:val="110"/>
              <w:sz w:val="28"/>
              <w:szCs w:val="28"/>
            </w:rPr>
            <w:t>7</w:t>
          </w:r>
        </w:p>
        <w:p>
          <w:pPr>
            <w:tabs>
              <w:tab w:val="right" w:leader="dot" w:pos="8327"/>
            </w:tabs>
            <w:spacing w:before="223" w:line="216" w:lineRule="auto"/>
            <w:ind w:left="524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3</w:t>
          </w:r>
          <w:r>
            <w:rPr>
              <w:rFonts w:ascii="FangSong" w:eastAsia="FangSong" w:hAnsi="FangSong" w:cs="FangSong"/>
              <w:spacing w:val="12"/>
              <w:sz w:val="28"/>
              <w:szCs w:val="28"/>
            </w:rPr>
            <w:t xml:space="preserve">  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工具的适用性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7</w:t>
          </w:r>
          <w:r>
            <w:fldChar w:fldCharType="end"/>
          </w:r>
        </w:p>
      </w:sdtContent>
    </w:sdt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632" w:right="1769" w:bottom="1303" w:left="1771" w:header="518" w:footer="489" w:gutter="0"/>
          <w:cols w:space="720"/>
        </w:sectPr>
      </w:pPr>
    </w:p>
    <w:p>
      <w:pPr>
        <w:spacing w:before="1" w:line="237" w:lineRule="auto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4"/>
      <w:bookmarkEnd w:id="0"/>
      <w:r>
        <w:rPr>
          <w:rFonts w:ascii="Times New Roman" w:eastAsia="Times New Roman" w:hAnsi="Times New Roman" w:cs="Times New Roman"/>
          <w:spacing w:val="-2"/>
          <w:sz w:val="31"/>
          <w:szCs w:val="31"/>
        </w:rPr>
        <w:t>1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-2"/>
          <w:sz w:val="31"/>
          <w:szCs w:val="31"/>
        </w:rPr>
        <w:t>工具概述</w:t>
      </w:r>
    </w:p>
    <w:p>
      <w:pPr>
        <w:pStyle w:val="BodyText"/>
        <w:spacing w:line="394" w:lineRule="auto"/>
      </w:pPr>
    </w:p>
    <w:p>
      <w:pPr>
        <w:pStyle w:val="BodyText"/>
        <w:spacing w:before="91" w:line="230" w:lineRule="auto"/>
        <w:ind w:left="263"/>
        <w:rPr>
          <w:rFonts w:ascii="FangSong" w:eastAsia="FangSong" w:hAnsi="FangSong" w:cs="FangSong"/>
          <w:sz w:val="28"/>
          <w:szCs w:val="28"/>
        </w:rPr>
      </w:pPr>
      <w:bookmarkStart w:id="1" w:name="bookmark1"/>
      <w:bookmarkEnd w:id="1"/>
      <w:bookmarkStart w:id="2" w:name="bookmark2"/>
      <w:bookmarkEnd w:id="2"/>
      <w:r>
        <w:rPr>
          <w:b/>
          <w:bCs/>
          <w:spacing w:val="-6"/>
          <w:sz w:val="28"/>
          <w:szCs w:val="28"/>
        </w:rPr>
        <w:t>1.1.</w:t>
      </w:r>
      <w:r>
        <w:rPr>
          <w:b/>
          <w:bCs/>
          <w:spacing w:val="55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资产管理支撑平台</w:t>
      </w:r>
    </w:p>
    <w:p>
      <w:pPr>
        <w:pStyle w:val="BodyText"/>
        <w:spacing w:line="328" w:lineRule="auto"/>
      </w:pPr>
    </w:p>
    <w:p>
      <w:pPr>
        <w:spacing w:before="78" w:line="358" w:lineRule="auto"/>
        <w:ind w:left="258" w:right="461" w:firstLine="486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为适应国网公司整体信息通信发展趋势，充分基于现有建设成果，提升信息</w:t>
      </w:r>
      <w:r>
        <w:rPr>
          <w:rFonts w:ascii="FangSong" w:eastAsia="FangSong" w:hAnsi="FangSong" w:cs="FangSong"/>
          <w:spacing w:val="-8"/>
          <w:sz w:val="24"/>
          <w:szCs w:val="24"/>
        </w:rPr>
        <w:t>通信整体运行管控水平，建立在信息通讯一体化调度运行支撑平台（简称</w:t>
      </w:r>
      <w:r>
        <w:rPr>
          <w:rFonts w:ascii="FangSong" w:eastAsia="FangSong" w:hAnsi="FangSong" w:cs="FangSong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I6000</w:t>
      </w:r>
      <w:r>
        <w:rPr>
          <w:rFonts w:ascii="FangSong" w:eastAsia="FangSong" w:hAnsi="FangSong" w:cs="FangSong"/>
          <w:spacing w:val="-8"/>
          <w:sz w:val="24"/>
          <w:szCs w:val="24"/>
        </w:rPr>
        <w:t>）</w:t>
      </w:r>
      <w:r>
        <w:rPr>
          <w:rFonts w:ascii="FangSong" w:eastAsia="FangSong" w:hAnsi="FangSong" w:cs="FangSong"/>
          <w:spacing w:val="-8"/>
          <w:sz w:val="24"/>
          <w:szCs w:val="24"/>
        </w:rPr>
        <w:t>的建设要求，经过系列部署测试实施，开始了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I6000 </w:t>
      </w:r>
      <w:r>
        <w:rPr>
          <w:rFonts w:ascii="FangSong" w:eastAsia="FangSong" w:hAnsi="FangSong" w:cs="FangSong"/>
          <w:spacing w:val="-8"/>
          <w:sz w:val="24"/>
          <w:szCs w:val="24"/>
        </w:rPr>
        <w:t>系统深化应用工作，实现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I6000</w:t>
      </w:r>
      <w:r>
        <w:rPr>
          <w:rFonts w:ascii="FangSong" w:eastAsia="FangSong" w:hAnsi="FangSong" w:cs="FangSong"/>
          <w:spacing w:val="-3"/>
          <w:sz w:val="24"/>
          <w:szCs w:val="24"/>
        </w:rPr>
        <w:t>系统实用化支撑工具集等方面开展了科技创新工作。资产管理支撑</w:t>
      </w:r>
      <w:r>
        <w:rPr>
          <w:rFonts w:ascii="FangSong" w:eastAsia="FangSong" w:hAnsi="FangSong" w:cs="FangSong"/>
          <w:spacing w:val="-4"/>
          <w:sz w:val="24"/>
          <w:szCs w:val="24"/>
        </w:rPr>
        <w:t>平台具体成果</w:t>
      </w:r>
      <w:r>
        <w:rPr>
          <w:rFonts w:ascii="FangSong" w:eastAsia="FangSong" w:hAnsi="FangSong" w:cs="FangSong"/>
          <w:spacing w:val="-16"/>
          <w:sz w:val="24"/>
          <w:szCs w:val="24"/>
        </w:rPr>
        <w:t>如下：</w:t>
      </w:r>
    </w:p>
    <w:p>
      <w:pPr>
        <w:pStyle w:val="BodyText"/>
        <w:spacing w:line="329" w:lineRule="auto"/>
      </w:pPr>
    </w:p>
    <w:p>
      <w:pPr>
        <w:pStyle w:val="BodyText"/>
        <w:spacing w:before="91" w:line="232" w:lineRule="auto"/>
        <w:ind w:left="263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1.1.1.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系统界面</w:t>
      </w:r>
    </w:p>
    <w:p>
      <w:pPr>
        <w:pStyle w:val="BodyText"/>
        <w:spacing w:line="336" w:lineRule="auto"/>
      </w:pPr>
    </w:p>
    <w:p>
      <w:pPr>
        <w:spacing w:before="78" w:line="252" w:lineRule="auto"/>
        <w:ind w:left="257" w:right="705" w:firstLine="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功能模块包括工作台、基础管理、业务管理、决策分析、平台配置、运维自动</w:t>
      </w:r>
      <w:r>
        <w:rPr>
          <w:rFonts w:ascii="FangSong" w:eastAsia="FangSong" w:hAnsi="FangSong" w:cs="FangSong"/>
          <w:spacing w:val="-4"/>
          <w:sz w:val="24"/>
          <w:szCs w:val="24"/>
        </w:rPr>
        <w:t>化、营销台账。划分如下图所示。</w:t>
      </w:r>
    </w:p>
    <w:p>
      <w:pPr>
        <w:spacing w:before="108" w:line="4428" w:lineRule="exact"/>
        <w:ind w:firstLine="720"/>
      </w:pPr>
      <w:r>
        <w:rPr>
          <w:position w:val="-88"/>
        </w:rPr>
        <w:drawing>
          <wp:inline distT="0" distB="0" distL="0" distR="0">
            <wp:extent cx="5264150" cy="2811779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150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0" w:lineRule="auto"/>
      </w:pPr>
    </w:p>
    <w:p>
      <w:pPr>
        <w:spacing w:before="79" w:line="250" w:lineRule="auto"/>
        <w:ind w:left="256" w:right="705" w:firstLine="480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信息通信一体化调度运行支撑平台（以下简称“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I600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系统”）是遵循信</w:t>
      </w:r>
      <w:r>
        <w:rPr>
          <w:rFonts w:ascii="FangSong" w:eastAsia="FangSong" w:hAnsi="FangSong" w:cs="FangSong"/>
          <w:spacing w:val="-3"/>
          <w:sz w:val="24"/>
          <w:szCs w:val="24"/>
        </w:rPr>
        <w:t>息通信调度运行体系。完成了资源管理、资源监测、</w:t>
      </w:r>
      <w:r>
        <w:rPr>
          <w:rFonts w:ascii="FangSong" w:eastAsia="FangSong" w:hAnsi="FangSong" w:cs="FangSong"/>
          <w:spacing w:val="-4"/>
          <w:sz w:val="24"/>
          <w:szCs w:val="24"/>
        </w:rPr>
        <w:t>调度管理、运行管理、检</w:t>
      </w:r>
      <w:r>
        <w:rPr>
          <w:rFonts w:ascii="FangSong" w:eastAsia="FangSong" w:hAnsi="FangSong" w:cs="FangSong"/>
          <w:spacing w:val="-3"/>
          <w:sz w:val="24"/>
          <w:szCs w:val="24"/>
        </w:rPr>
        <w:t>修管理等功能部署，实现上线试运行目标。</w:t>
      </w:r>
    </w:p>
    <w:p>
      <w:pPr>
        <w:spacing w:line="250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1"/>
          <w:footerReference w:type="default" r:id="rId12"/>
          <w:pgSz w:w="11907" w:h="16839"/>
          <w:pgMar w:top="1629" w:right="1336" w:bottom="1303" w:left="1559" w:header="518" w:footer="487" w:gutter="0"/>
          <w:cols w:space="720"/>
        </w:sectPr>
      </w:pPr>
    </w:p>
    <w:p>
      <w:pPr>
        <w:spacing w:line="4289" w:lineRule="exact"/>
        <w:ind w:firstLine="508"/>
      </w:pPr>
      <w:r>
        <w:rPr>
          <w:position w:val="-85"/>
        </w:rPr>
        <w:drawing>
          <wp:inline distT="0" distB="0" distL="0" distR="0">
            <wp:extent cx="5266690" cy="272389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27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5" w:lineRule="auto"/>
      </w:pPr>
    </w:p>
    <w:p>
      <w:pPr>
        <w:spacing w:before="78" w:line="352" w:lineRule="auto"/>
        <w:ind w:left="44" w:right="401" w:firstLine="479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基于</w:t>
      </w:r>
      <w:r>
        <w:rPr>
          <w:rFonts w:ascii="FangSong" w:eastAsia="FangSong" w:hAnsi="FangSong" w:cs="FangSong"/>
          <w:spacing w:val="-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I6000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的设备管理资产申请系统设计方案进行了设备转资申</w:t>
      </w:r>
      <w:r>
        <w:rPr>
          <w:rFonts w:ascii="FangSong" w:eastAsia="FangSong" w:hAnsi="FangSong" w:cs="FangSong"/>
          <w:spacing w:val="-4"/>
          <w:sz w:val="24"/>
          <w:szCs w:val="24"/>
        </w:rPr>
        <w:t>请流程，在</w:t>
      </w:r>
      <w:r>
        <w:rPr>
          <w:rFonts w:ascii="FangSong" w:eastAsia="FangSong" w:hAnsi="FangSong" w:cs="FangSong"/>
          <w:spacing w:val="-1"/>
          <w:sz w:val="24"/>
          <w:szCs w:val="24"/>
        </w:rPr>
        <w:t>系统信息管理领域，包括用于生成设备台账、资产卡片、</w:t>
      </w:r>
      <w:r>
        <w:rPr>
          <w:rFonts w:ascii="FangSong" w:eastAsia="FangSong" w:hAnsi="FangSong" w:cs="FangSong"/>
          <w:spacing w:val="-2"/>
          <w:sz w:val="24"/>
          <w:szCs w:val="24"/>
        </w:rPr>
        <w:t>资产价值等模块信息，</w:t>
      </w:r>
      <w:r>
        <w:rPr>
          <w:rFonts w:ascii="FangSong" w:eastAsia="FangSong" w:hAnsi="FangSong" w:cs="FangSong"/>
          <w:spacing w:val="-3"/>
          <w:sz w:val="24"/>
          <w:szCs w:val="24"/>
        </w:rPr>
        <w:t>产生财务凭证，使各模块业务紧密结合、提高数据质量、减轻</w:t>
      </w:r>
      <w:r>
        <w:rPr>
          <w:rFonts w:ascii="FangSong" w:eastAsia="FangSong" w:hAnsi="FangSong" w:cs="FangSong"/>
          <w:spacing w:val="-4"/>
          <w:sz w:val="24"/>
          <w:szCs w:val="24"/>
        </w:rPr>
        <w:t>工作量、达到项目</w:t>
      </w:r>
      <w:r>
        <w:rPr>
          <w:rFonts w:ascii="FangSong" w:eastAsia="FangSong" w:hAnsi="FangSong" w:cs="FangSong"/>
          <w:spacing w:val="-3"/>
          <w:sz w:val="24"/>
          <w:szCs w:val="24"/>
        </w:rPr>
        <w:t>优化管理，资产的全寿命周期管理要求。</w:t>
      </w:r>
    </w:p>
    <w:p>
      <w:pPr>
        <w:spacing w:line="4290" w:lineRule="exact"/>
        <w:ind w:firstLine="28"/>
      </w:pPr>
      <w:r>
        <w:rPr>
          <w:position w:val="-85"/>
        </w:rPr>
        <w:drawing>
          <wp:inline distT="0" distB="0" distL="0" distR="0">
            <wp:extent cx="5266690" cy="27241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</w:pPr>
    </w:p>
    <w:p>
      <w:pPr>
        <w:spacing w:before="78" w:line="230" w:lineRule="auto"/>
        <w:ind w:left="514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I6000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设备台账准确性核查功能</w:t>
      </w:r>
    </w:p>
    <w:p>
      <w:pPr>
        <w:spacing w:before="164" w:line="364" w:lineRule="auto"/>
        <w:ind w:left="526" w:right="466" w:firstLine="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实现对</w:t>
      </w:r>
      <w:r>
        <w:rPr>
          <w:rFonts w:ascii="FangSong" w:eastAsia="FangSong" w:hAnsi="FangSong" w:cs="FangSong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I6000  </w:t>
      </w:r>
      <w:r>
        <w:rPr>
          <w:rFonts w:ascii="FangSong" w:eastAsia="FangSong" w:hAnsi="FangSong" w:cs="FangSong"/>
          <w:spacing w:val="-1"/>
          <w:sz w:val="24"/>
          <w:szCs w:val="24"/>
        </w:rPr>
        <w:t>设备台账准确性，根据智能查询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FangSong" w:eastAsia="FangSong" w:hAnsi="FangSong" w:cs="FangSong"/>
          <w:spacing w:val="-1"/>
          <w:sz w:val="24"/>
          <w:szCs w:val="24"/>
        </w:rPr>
        <w:t>多维度查询，结合时间顺序</w:t>
      </w:r>
      <w:r>
        <w:rPr>
          <w:rFonts w:ascii="FangSong" w:eastAsia="FangSong" w:hAnsi="FangSong" w:cs="FangSong"/>
          <w:spacing w:val="-2"/>
          <w:sz w:val="24"/>
          <w:szCs w:val="24"/>
        </w:rPr>
        <w:t>等逻辑关系实时监控不规范设备台账，发现</w:t>
      </w:r>
      <w:r>
        <w:rPr>
          <w:rFonts w:ascii="FangSong" w:eastAsia="FangSong" w:hAnsi="FangSong" w:cs="FangSong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ERP</w:t>
      </w:r>
      <w:r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设备资产编码、设备台账</w:t>
      </w:r>
      <w:r>
        <w:rPr>
          <w:rFonts w:ascii="FangSong" w:eastAsia="FangSong" w:hAnsi="FangSong" w:cs="FangSong"/>
          <w:spacing w:val="-7"/>
          <w:sz w:val="24"/>
          <w:szCs w:val="24"/>
        </w:rPr>
        <w:t>编码、投运日期不准确等问题，</w:t>
      </w:r>
      <w:r>
        <w:rPr>
          <w:rFonts w:ascii="FangSong" w:eastAsia="FangSong" w:hAnsi="FangSong" w:cs="FangSong"/>
          <w:spacing w:val="-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及时产生告警并通知设备管理员出力，以提</w:t>
      </w:r>
      <w:r>
        <w:rPr>
          <w:rFonts w:ascii="FangSong" w:eastAsia="FangSong" w:hAnsi="FangSong" w:cs="FangSong"/>
          <w:spacing w:val="-5"/>
          <w:sz w:val="24"/>
          <w:szCs w:val="24"/>
        </w:rPr>
        <w:t>升</w:t>
      </w:r>
      <w:r>
        <w:rPr>
          <w:rFonts w:ascii="FangSong" w:eastAsia="FangSong" w:hAnsi="FangSong" w:cs="FangSong"/>
          <w:spacing w:val="-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I6000</w:t>
      </w:r>
      <w:r>
        <w:rPr>
          <w:rFonts w:ascii="Times New Roman" w:eastAsia="Times New Roman" w:hAnsi="Times New Roman" w:cs="Times New Roman"/>
          <w:spacing w:val="25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系统基础数据规范性。</w:t>
      </w:r>
    </w:p>
    <w:p>
      <w:pPr>
        <w:spacing w:line="364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5"/>
          <w:footerReference w:type="default" r:id="rId16"/>
          <w:pgSz w:w="11907" w:h="16839"/>
          <w:pgMar w:top="1584" w:right="1332" w:bottom="1303" w:left="1771" w:header="518" w:footer="489" w:gutter="0"/>
          <w:cols w:space="720"/>
        </w:sectPr>
      </w:pPr>
    </w:p>
    <w:p>
      <w:pPr>
        <w:spacing w:line="4286" w:lineRule="exact"/>
        <w:ind w:firstLine="751"/>
      </w:pPr>
      <w:r>
        <w:rPr>
          <w:position w:val="-85"/>
        </w:rPr>
        <w:drawing>
          <wp:inline distT="0" distB="0" distL="0" distR="0">
            <wp:extent cx="5263514" cy="2721991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3514" cy="272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9" w:lineRule="auto"/>
      </w:pPr>
    </w:p>
    <w:p>
      <w:pPr>
        <w:spacing w:line="4293" w:lineRule="exact"/>
        <w:ind w:firstLine="751"/>
      </w:pPr>
      <w:r>
        <w:rPr>
          <w:position w:val="-85"/>
        </w:rPr>
        <w:drawing>
          <wp:inline distT="0" distB="0" distL="0" distR="0">
            <wp:extent cx="5266690" cy="272643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27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0" w:lineRule="auto"/>
      </w:pPr>
    </w:p>
    <w:p>
      <w:pPr>
        <w:spacing w:before="78" w:line="360" w:lineRule="auto"/>
        <w:ind w:left="286" w:right="467" w:firstLine="48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如上图所示，应用系统监测中的性能分析一般而言，可根据项目系统名称以</w:t>
      </w:r>
      <w:r>
        <w:rPr>
          <w:rFonts w:ascii="FangSong" w:eastAsia="FangSong" w:hAnsi="FangSong" w:cs="FangSong"/>
          <w:spacing w:val="-11"/>
          <w:sz w:val="24"/>
          <w:szCs w:val="24"/>
        </w:rPr>
        <w:t>及业务部门用户体验，分析各项性能指标数据：数据流量、数据计算、查询展现、</w:t>
      </w:r>
      <w:r>
        <w:rPr>
          <w:rFonts w:ascii="FangSong" w:eastAsia="FangSong" w:hAnsi="FangSong" w:cs="FangSong"/>
          <w:spacing w:val="-6"/>
          <w:sz w:val="24"/>
          <w:szCs w:val="24"/>
        </w:rPr>
        <w:t>页面响应、数据库性能等，</w:t>
      </w:r>
      <w:r>
        <w:rPr>
          <w:rFonts w:ascii="FangSong" w:eastAsia="FangSong" w:hAnsi="FangSong" w:cs="FangSong"/>
          <w:spacing w:val="-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一定程度上辅助开展</w:t>
      </w:r>
      <w:r>
        <w:rPr>
          <w:rFonts w:ascii="FangSong" w:eastAsia="FangSong" w:hAnsi="FangSong" w:cs="FangSong"/>
          <w:spacing w:val="-7"/>
          <w:sz w:val="24"/>
          <w:szCs w:val="24"/>
        </w:rPr>
        <w:t>了性能优化工作，并建立性能指</w:t>
      </w:r>
      <w:r>
        <w:rPr>
          <w:rFonts w:ascii="FangSong" w:eastAsia="FangSong" w:hAnsi="FangSong" w:cs="FangSong"/>
          <w:spacing w:val="-5"/>
          <w:sz w:val="24"/>
          <w:szCs w:val="24"/>
        </w:rPr>
        <w:t>标体系和评价办法。</w:t>
      </w:r>
    </w:p>
    <w:p>
      <w:pPr>
        <w:pStyle w:val="BodyText"/>
        <w:spacing w:line="327" w:lineRule="auto"/>
      </w:pPr>
    </w:p>
    <w:p>
      <w:pPr>
        <w:pStyle w:val="BodyText"/>
        <w:spacing w:line="328" w:lineRule="auto"/>
      </w:pPr>
    </w:p>
    <w:p>
      <w:pPr>
        <w:spacing w:before="100" w:line="238" w:lineRule="auto"/>
        <w:rPr>
          <w:rFonts w:ascii="SimHei" w:eastAsia="SimHei" w:hAnsi="SimHei" w:cs="SimHei"/>
          <w:sz w:val="31"/>
          <w:szCs w:val="31"/>
        </w:rPr>
      </w:pPr>
      <w:r>
        <w:rPr>
          <w:rFonts w:ascii="Times New Roman" w:eastAsia="Times New Roman" w:hAnsi="Times New Roman" w:cs="Times New Roman"/>
          <w:spacing w:val="6"/>
          <w:sz w:val="31"/>
          <w:szCs w:val="31"/>
        </w:rPr>
        <w:t>2</w:t>
      </w:r>
      <w:r>
        <w:rPr>
          <w:rFonts w:ascii="Times New Roman" w:eastAsia="Times New Roman" w:hAnsi="Times New Roman" w:cs="Times New Roman"/>
          <w:spacing w:val="15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6"/>
          <w:sz w:val="31"/>
          <w:szCs w:val="31"/>
        </w:rPr>
        <w:t>工具效果自评估</w:t>
      </w:r>
    </w:p>
    <w:p>
      <w:pPr>
        <w:pStyle w:val="BodyText"/>
        <w:spacing w:line="256" w:lineRule="auto"/>
      </w:pPr>
    </w:p>
    <w:p>
      <w:pPr>
        <w:spacing w:before="78" w:line="339" w:lineRule="auto"/>
        <w:ind w:left="288" w:right="392" w:firstLine="491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资源管理平台主要是管理各单位的信息化软硬件资源设备，通过</w:t>
      </w:r>
      <w:r>
        <w:rPr>
          <w:rFonts w:ascii="FangSong" w:eastAsia="FangSong" w:hAnsi="FangSong" w:cs="FangSong"/>
          <w:spacing w:val="-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I6000</w:t>
      </w:r>
      <w:r>
        <w:rPr>
          <w:rFonts w:ascii="Times New Roman" w:eastAsia="Times New Roman" w:hAnsi="Times New Roman" w:cs="Times New Roman"/>
          <w:spacing w:val="20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完成</w:t>
      </w:r>
      <w:r>
        <w:rPr>
          <w:rFonts w:ascii="FangSong" w:eastAsia="FangSong" w:hAnsi="FangSong" w:cs="FangSong"/>
          <w:spacing w:val="-1"/>
          <w:sz w:val="24"/>
          <w:szCs w:val="24"/>
        </w:rPr>
        <w:t>台账数据的录入、审核、归档，实现资源电子化管理。资源管理包括设备管</w:t>
      </w:r>
      <w:r>
        <w:rPr>
          <w:rFonts w:ascii="FangSong" w:eastAsia="FangSong" w:hAnsi="FangSong" w:cs="FangSong"/>
          <w:spacing w:val="-2"/>
          <w:sz w:val="24"/>
          <w:szCs w:val="24"/>
        </w:rPr>
        <w:t>理、</w:t>
      </w:r>
      <w:r>
        <w:rPr>
          <w:rFonts w:ascii="FangSong" w:eastAsia="FangSong" w:hAnsi="FangSong" w:cs="FangSong"/>
          <w:spacing w:val="-2"/>
          <w:sz w:val="24"/>
          <w:szCs w:val="24"/>
        </w:rPr>
        <w:t>软件管理、系统管理、基础支撑资源管理、虚拟资源管理、接口管理。</w:t>
      </w:r>
    </w:p>
    <w:p>
      <w:pPr>
        <w:spacing w:line="339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9"/>
          <w:footerReference w:type="default" r:id="rId20"/>
          <w:pgSz w:w="11907" w:h="16839"/>
          <w:pgMar w:top="1584" w:right="1332" w:bottom="1303" w:left="1528" w:header="518" w:footer="489" w:gutter="0"/>
          <w:cols w:space="720"/>
        </w:sectPr>
      </w:pPr>
    </w:p>
    <w:p>
      <w:pPr>
        <w:spacing w:before="1" w:line="359" w:lineRule="auto"/>
        <w:ind w:left="280" w:right="29" w:firstLine="479"/>
        <w:jc w:val="both"/>
        <w:rPr>
          <w:rFonts w:ascii="FangSong" w:eastAsia="FangSong" w:hAnsi="FangSong" w:cs="FangSong"/>
          <w:sz w:val="24"/>
          <w:szCs w:val="24"/>
        </w:rPr>
      </w:pPr>
      <w:bookmarkStart w:id="3" w:name="bookmark5"/>
      <w:bookmarkEnd w:id="3"/>
      <w:r>
        <w:rPr>
          <w:rFonts w:ascii="FangSong" w:eastAsia="FangSong" w:hAnsi="FangSong" w:cs="FangSong"/>
          <w:spacing w:val="-3"/>
          <w:sz w:val="24"/>
          <w:szCs w:val="24"/>
        </w:rPr>
        <w:t>设备管理实现了主机设备、存储设备、网络</w:t>
      </w:r>
      <w:r>
        <w:rPr>
          <w:rFonts w:ascii="FangSong" w:eastAsia="FangSong" w:hAnsi="FangSong" w:cs="FangSong"/>
          <w:spacing w:val="-4"/>
          <w:sz w:val="24"/>
          <w:szCs w:val="24"/>
        </w:rPr>
        <w:t>设备、安全设备、终端设备、辅</w:t>
      </w:r>
      <w:r>
        <w:rPr>
          <w:rFonts w:ascii="FangSong" w:eastAsia="FangSong" w:hAnsi="FangSong" w:cs="FangSong"/>
          <w:spacing w:val="-3"/>
          <w:sz w:val="24"/>
          <w:szCs w:val="24"/>
        </w:rPr>
        <w:t>助设备和外部设备的管理功能；系统提供了设备入库、设备申</w:t>
      </w:r>
      <w:r>
        <w:rPr>
          <w:rFonts w:ascii="FangSong" w:eastAsia="FangSong" w:hAnsi="FangSong" w:cs="FangSong"/>
          <w:spacing w:val="-4"/>
          <w:sz w:val="24"/>
          <w:szCs w:val="24"/>
        </w:rPr>
        <w:t>请、设备投运、设</w:t>
      </w:r>
      <w:r>
        <w:rPr>
          <w:rFonts w:ascii="FangSong" w:eastAsia="FangSong" w:hAnsi="FangSong" w:cs="FangSong"/>
          <w:spacing w:val="-11"/>
          <w:sz w:val="24"/>
          <w:szCs w:val="24"/>
        </w:rPr>
        <w:t>备退役、设备回收、设备报废、设备报废、设备转资等设备全过程周</w:t>
      </w:r>
      <w:r>
        <w:rPr>
          <w:rFonts w:ascii="FangSong" w:eastAsia="FangSong" w:hAnsi="FangSong" w:cs="FangSong"/>
          <w:spacing w:val="-12"/>
          <w:sz w:val="24"/>
          <w:szCs w:val="24"/>
        </w:rPr>
        <w:t>期管理功能，</w:t>
      </w:r>
      <w:r>
        <w:rPr>
          <w:rFonts w:ascii="FangSong" w:eastAsia="FangSong" w:hAnsi="FangSong" w:cs="FangSong"/>
          <w:spacing w:val="-1"/>
          <w:sz w:val="24"/>
          <w:szCs w:val="24"/>
        </w:rPr>
        <w:t>其中设备转资与</w:t>
      </w:r>
      <w:r>
        <w:rPr>
          <w:rFonts w:ascii="FangSong" w:eastAsia="FangSong" w:hAnsi="FangSong" w:cs="FangSong"/>
          <w:spacing w:val="-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ERP</w:t>
      </w:r>
      <w:r>
        <w:rPr>
          <w:rFonts w:ascii="Times New Roman" w:eastAsia="Times New Roman" w:hAnsi="Times New Roman" w:cs="Times New Roman"/>
          <w:spacing w:val="58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系统进行了数据集成；通过申</w:t>
      </w:r>
      <w:r>
        <w:rPr>
          <w:rFonts w:ascii="FangSong" w:eastAsia="FangSong" w:hAnsi="FangSong" w:cs="FangSong"/>
          <w:spacing w:val="-2"/>
          <w:sz w:val="24"/>
          <w:szCs w:val="24"/>
        </w:rPr>
        <w:t>请、审核、归档流程实现硬</w:t>
      </w:r>
      <w:r>
        <w:rPr>
          <w:rFonts w:ascii="FangSong" w:eastAsia="FangSong" w:hAnsi="FangSong" w:cs="FangSong"/>
          <w:spacing w:val="-4"/>
          <w:sz w:val="24"/>
          <w:szCs w:val="24"/>
        </w:rPr>
        <w:t>件设备管理的规范流程。</w:t>
      </w:r>
    </w:p>
    <w:p>
      <w:pPr>
        <w:spacing w:line="356" w:lineRule="auto"/>
        <w:ind w:left="280" w:right="29" w:firstLine="480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截止</w:t>
      </w:r>
      <w:r>
        <w:rPr>
          <w:rFonts w:ascii="FangSong" w:eastAsia="FangSong" w:hAnsi="FangSong" w:cs="FangSong"/>
          <w:spacing w:val="-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2023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年</w:t>
      </w:r>
      <w:r>
        <w:rPr>
          <w:rFonts w:ascii="FangSong" w:eastAsia="FangSong" w:hAnsi="FangSong" w:cs="FangSong"/>
          <w:spacing w:val="-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pacing w:val="32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月</w:t>
      </w:r>
      <w:r>
        <w:rPr>
          <w:rFonts w:ascii="FangSong" w:eastAsia="FangSong" w:hAnsi="FangSong" w:cs="FangSong"/>
          <w:spacing w:val="-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30  </w:t>
      </w:r>
      <w:r>
        <w:rPr>
          <w:rFonts w:ascii="FangSong" w:eastAsia="FangSong" w:hAnsi="FangSong" w:cs="FangSong"/>
          <w:spacing w:val="-5"/>
          <w:sz w:val="24"/>
          <w:szCs w:val="24"/>
        </w:rPr>
        <w:t>日，资源管理完成设备录</w:t>
      </w:r>
      <w:r>
        <w:rPr>
          <w:rFonts w:ascii="FangSong" w:eastAsia="FangSong" w:hAnsi="FangSong" w:cs="FangSong"/>
          <w:spacing w:val="-6"/>
          <w:sz w:val="24"/>
          <w:szCs w:val="24"/>
        </w:rPr>
        <w:t>入</w:t>
      </w:r>
      <w:r>
        <w:rPr>
          <w:rFonts w:ascii="FangSong" w:eastAsia="FangSong" w:hAnsi="FangSong" w:cs="FangSong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123686</w:t>
      </w:r>
      <w:r>
        <w:rPr>
          <w:rFonts w:ascii="Times New Roman" w:eastAsia="Times New Roman" w:hAnsi="Times New Roman" w:cs="Times New Roman"/>
          <w:spacing w:val="18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套，其中主机设备</w:t>
      </w:r>
      <w:r>
        <w:rPr>
          <w:rFonts w:ascii="FangSong" w:eastAsia="FangSong" w:hAnsi="FangSong" w:cs="FangSong"/>
          <w:spacing w:val="-6"/>
          <w:sz w:val="24"/>
          <w:szCs w:val="24"/>
        </w:rPr>
        <w:t>录入了</w:t>
      </w:r>
      <w:r>
        <w:rPr>
          <w:rFonts w:ascii="FangSong" w:eastAsia="FangSong" w:hAnsi="FangSong" w:cs="FangSong"/>
          <w:spacing w:val="-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2694</w:t>
      </w:r>
      <w:r>
        <w:rPr>
          <w:rFonts w:ascii="Times New Roman" w:eastAsia="Times New Roman" w:hAnsi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套、存储设备</w:t>
      </w:r>
      <w:r>
        <w:rPr>
          <w:rFonts w:ascii="FangSong" w:eastAsia="FangSong" w:hAnsi="FangSong" w:cs="FangSong"/>
          <w:spacing w:val="-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172</w:t>
      </w:r>
      <w:r>
        <w:rPr>
          <w:rFonts w:ascii="Times New Roman" w:eastAsia="Times New Roman" w:hAnsi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套、网络设备</w:t>
      </w:r>
      <w:r>
        <w:rPr>
          <w:rFonts w:ascii="FangSong" w:eastAsia="FangSong" w:hAnsi="FangSong" w:cs="FangSong"/>
          <w:spacing w:val="-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8108</w:t>
      </w:r>
      <w:r>
        <w:rPr>
          <w:rFonts w:ascii="Times New Roman" w:eastAsia="Times New Roman" w:hAnsi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套、安全设备</w:t>
      </w:r>
      <w:r>
        <w:rPr>
          <w:rFonts w:ascii="FangSong" w:eastAsia="FangSong" w:hAnsi="FangSong" w:cs="FangSong"/>
          <w:spacing w:val="-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395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套、终端设</w:t>
      </w:r>
      <w:r>
        <w:rPr>
          <w:rFonts w:ascii="FangSong" w:eastAsia="FangSong" w:hAnsi="FangSong" w:cs="FangSong"/>
          <w:spacing w:val="-2"/>
          <w:sz w:val="24"/>
          <w:szCs w:val="24"/>
        </w:rPr>
        <w:t>备</w:t>
      </w:r>
      <w:r>
        <w:rPr>
          <w:rFonts w:ascii="FangSong" w:eastAsia="FangSong" w:hAnsi="FangSong" w:cs="FangSong"/>
          <w:spacing w:val="-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78068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套、辅助设备</w:t>
      </w:r>
      <w:r>
        <w:rPr>
          <w:rFonts w:ascii="FangSong" w:eastAsia="FangSong" w:hAnsi="FangSong" w:cs="FangSong"/>
          <w:spacing w:val="-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8324</w:t>
      </w:r>
      <w:r>
        <w:rPr>
          <w:rFonts w:ascii="Times New Roman" w:eastAsia="Times New Roman" w:hAnsi="Times New Roman" w:cs="Times New Roman"/>
          <w:spacing w:val="20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套、外部设备</w:t>
      </w:r>
      <w:r>
        <w:rPr>
          <w:rFonts w:ascii="FangSong" w:eastAsia="FangSong" w:hAnsi="FangSong" w:cs="FangSong"/>
          <w:spacing w:val="-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25455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套，实现了对公司全省信息设</w:t>
      </w:r>
      <w:r>
        <w:rPr>
          <w:rFonts w:ascii="FangSong" w:eastAsia="FangSong" w:hAnsi="FangSong" w:cs="FangSong"/>
          <w:spacing w:val="-3"/>
          <w:sz w:val="24"/>
          <w:szCs w:val="24"/>
        </w:rPr>
        <w:t>备线上管理，进一步的提升了公司信息通信设备应用情况，实</w:t>
      </w:r>
      <w:r>
        <w:rPr>
          <w:rFonts w:ascii="FangSong" w:eastAsia="FangSong" w:hAnsi="FangSong" w:cs="FangSong"/>
          <w:spacing w:val="-4"/>
          <w:sz w:val="24"/>
          <w:szCs w:val="24"/>
        </w:rPr>
        <w:t>现了公司信息台账</w:t>
      </w:r>
      <w:r>
        <w:rPr>
          <w:rFonts w:ascii="FangSong" w:eastAsia="FangSong" w:hAnsi="FangSong" w:cs="FangSong"/>
          <w:spacing w:val="-5"/>
          <w:sz w:val="24"/>
          <w:szCs w:val="24"/>
        </w:rPr>
        <w:t>数据全过程管理工作。</w:t>
      </w:r>
    </w:p>
    <w:p>
      <w:pPr>
        <w:pStyle w:val="BodyText"/>
        <w:spacing w:line="266" w:lineRule="auto"/>
      </w:pPr>
    </w:p>
    <w:p>
      <w:pPr>
        <w:spacing w:before="101" w:line="239" w:lineRule="auto"/>
        <w:outlineLvl w:val="0"/>
        <w:rPr>
          <w:rFonts w:ascii="SimHei" w:eastAsia="SimHei" w:hAnsi="SimHei" w:cs="SimHei"/>
          <w:sz w:val="31"/>
          <w:szCs w:val="31"/>
        </w:rPr>
      </w:pPr>
      <w:bookmarkStart w:id="4" w:name="bookmark3"/>
      <w:bookmarkEnd w:id="4"/>
      <w:r>
        <w:rPr>
          <w:rFonts w:ascii="Times New Roman" w:eastAsia="Times New Roman" w:hAnsi="Times New Roman" w:cs="Times New Roman"/>
          <w:spacing w:val="1"/>
          <w:sz w:val="31"/>
          <w:szCs w:val="31"/>
        </w:rPr>
        <w:t xml:space="preserve">3    </w:t>
      </w:r>
      <w:r>
        <w:rPr>
          <w:rFonts w:ascii="SimHei" w:eastAsia="SimHei" w:hAnsi="SimHei" w:cs="SimHei"/>
          <w:spacing w:val="1"/>
          <w:sz w:val="31"/>
          <w:szCs w:val="31"/>
        </w:rPr>
        <w:t>目前工具的适用性</w:t>
      </w:r>
    </w:p>
    <w:p>
      <w:pPr>
        <w:pStyle w:val="BodyText"/>
        <w:spacing w:line="255" w:lineRule="auto"/>
      </w:pPr>
    </w:p>
    <w:p>
      <w:pPr>
        <w:spacing w:before="78" w:line="359" w:lineRule="auto"/>
        <w:ind w:left="281" w:right="29" w:firstLine="522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目前，资产管理平台工具，实用性较高，进一步提高了公司的资产管理的水</w:t>
      </w:r>
      <w:r>
        <w:rPr>
          <w:rFonts w:ascii="FangSong" w:eastAsia="FangSong" w:hAnsi="FangSong" w:cs="FangSong"/>
          <w:spacing w:val="-3"/>
          <w:sz w:val="24"/>
          <w:szCs w:val="24"/>
        </w:rPr>
        <w:t>平，实现了对公司全省信息设备线上管理，进一步的提升了公</w:t>
      </w:r>
      <w:r>
        <w:rPr>
          <w:rFonts w:ascii="FangSong" w:eastAsia="FangSong" w:hAnsi="FangSong" w:cs="FangSong"/>
          <w:spacing w:val="-4"/>
          <w:sz w:val="24"/>
          <w:szCs w:val="24"/>
        </w:rPr>
        <w:t>司信息通信设备应</w:t>
      </w:r>
      <w:r>
        <w:rPr>
          <w:rFonts w:ascii="FangSong" w:eastAsia="FangSong" w:hAnsi="FangSong" w:cs="FangSong"/>
          <w:spacing w:val="-2"/>
          <w:sz w:val="24"/>
          <w:szCs w:val="24"/>
        </w:rPr>
        <w:t>用情况，实现了公司信息台账数据全过程管理工作。</w:t>
      </w:r>
    </w:p>
    <w:sectPr>
      <w:headerReference w:type="default" r:id="rId21"/>
      <w:footerReference w:type="default" r:id="rId22"/>
      <w:pgSz w:w="11907" w:h="16839"/>
      <w:pgMar w:top="1620" w:right="1769" w:bottom="1303" w:left="1535" w:header="518" w:footer="48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55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80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46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676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46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71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70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7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49" style="height:0.75pt;margin-left:88.58pt;margin-top:78.5pt;mso-position-horizontal-relative:page;mso-position-vertical-relative:page;position:absolute;width:418.3pt;z-index:251660288" coordorigin="0,0" coordsize="8365,15" o:allowincell="f" path="m,14l8365,14l8365,l,l,14xe" fillcolor="black"/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64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0" style="height:0.75pt;margin-left:88.58pt;margin-top:78.5pt;mso-position-horizontal-relative:page;mso-position-vertical-relative:page;position:absolute;width:418.3pt;z-index:251663360" coordorigin="0,0" coordsize="8365,15" o:allowincell="f" path="m,14l8365,14l8365,l,l,14xe" fillcolor="black"/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90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1" style="height:0.75pt;margin-left:88.58pt;margin-top:78.5pt;mso-position-horizontal-relative:page;mso-position-vertical-relative:page;position:absolute;width:418.3pt;z-index:251666432" coordorigin="0,0" coordsize="8365,15" o:allowincell="f" path="m,14l8365,14l8365,l,l,14xe" fillcolor="black"/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56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2" style="height:0.75pt;margin-left:88.58pt;margin-top:78.5pt;mso-position-horizontal-relative:page;mso-position-vertical-relative:page;position:absolute;width:418.3pt;z-index:251669504" coordorigin="0,0" coordsize="8365,15" o:allowincell="f" path="m,14l8365,14l8365,l,l,14xe" fillcolor="black"/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77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3" style="height:0.75pt;margin-left:88.58pt;margin-top:78.5pt;mso-position-horizontal-relative:page;mso-position-vertical-relative:page;position:absolute;width:418.3pt;z-index:251672576" coordorigin="0,0" coordsize="8365,15" o:allowincell="f" path="m,14l8365,14l8365,l,l,14xe" fillcolor="black"/>
      </w:pict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56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4" style="height:0.75pt;margin-left:88.58pt;margin-top:78.5pt;mso-position-horizontal-relative:page;mso-position-vertical-relative:page;position:absolute;width:418.3pt;z-index:251675648" coordorigin="0,0" coordsize="8365,15" o:allowincell="f" path="m,14l8365,14l8365,l,l,14xe" fillcolor="black"/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810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5" style="height:0.75pt;margin-left:88.58pt;margin-top:78.5pt;mso-position-horizontal-relative:page;mso-position-vertical-relative:page;position:absolute;width:418.3pt;z-index:251678720" coordorigin="0,0" coordsize="8365,15" o:allowincell="f" path="m,14l8365,14l8365,l,l,14xe" fillcolor="black"/>
      </w:pict>
    </w: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4804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jpeg" /><Relationship Id="rId11" Type="http://schemas.openxmlformats.org/officeDocument/2006/relationships/header" Target="header4.xml" /><Relationship Id="rId12" Type="http://schemas.openxmlformats.org/officeDocument/2006/relationships/footer" Target="footer4.xml" /><Relationship Id="rId13" Type="http://schemas.openxmlformats.org/officeDocument/2006/relationships/image" Target="media/image4.jpeg" /><Relationship Id="rId14" Type="http://schemas.openxmlformats.org/officeDocument/2006/relationships/image" Target="media/image5.jpeg" /><Relationship Id="rId15" Type="http://schemas.openxmlformats.org/officeDocument/2006/relationships/header" Target="header5.xml" /><Relationship Id="rId16" Type="http://schemas.openxmlformats.org/officeDocument/2006/relationships/footer" Target="footer5.xml" /><Relationship Id="rId17" Type="http://schemas.openxmlformats.org/officeDocument/2006/relationships/image" Target="media/image6.jpeg" /><Relationship Id="rId18" Type="http://schemas.openxmlformats.org/officeDocument/2006/relationships/image" Target="media/image7.png" /><Relationship Id="rId19" Type="http://schemas.openxmlformats.org/officeDocument/2006/relationships/header" Target="header6.xml" /><Relationship Id="rId2" Type="http://schemas.openxmlformats.org/officeDocument/2006/relationships/webSettings" Target="webSettings.xml" /><Relationship Id="rId20" Type="http://schemas.openxmlformats.org/officeDocument/2006/relationships/footer" Target="footer6.xml" /><Relationship Id="rId21" Type="http://schemas.openxmlformats.org/officeDocument/2006/relationships/header" Target="header7.xml" /><Relationship Id="rId22" Type="http://schemas.openxmlformats.org/officeDocument/2006/relationships/footer" Target="footer7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revision>0</cp:revision>
  <dcterms:created xsi:type="dcterms:W3CDTF">2023-07-26T00:09:27Z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2025-12-03T15:21:11Z</vt:filetime>
  </property>
  <property fmtid="{D5CDD505-2E9C-101B-9397-08002B2CF9AE}" pid="3" name="CRO">
    <vt:lpwstr>wqlLaW5nc29mdCBQREYgdG8gV1BTIDExNQ</vt:lpwstr>
  </property>
</Properties>
</file>