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spacing w:before="234" w:line="217" w:lineRule="auto"/>
        <w:ind w:left="971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服务台应用情况说明</w:t>
      </w:r>
    </w:p>
    <w:p>
      <w:pPr>
        <w:pStyle w:val="BodyText"/>
        <w:spacing w:line="313" w:lineRule="auto"/>
      </w:pPr>
    </w:p>
    <w:p>
      <w:pPr>
        <w:spacing w:before="91" w:line="232" w:lineRule="auto"/>
        <w:ind w:left="29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（YNTD-ITSS-1102）</w:t>
      </w: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101" w:line="223" w:lineRule="auto"/>
        <w:ind w:left="1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35" w:right="1769" w:bottom="1716" w:left="1771" w:header="805" w:footer="991" w:gutter="0"/>
          <w:cols w:space="720"/>
        </w:sectPr>
      </w:pPr>
    </w:p>
    <w:p>
      <w:pPr>
        <w:spacing w:before="113" w:line="220" w:lineRule="auto"/>
        <w:ind w:left="3175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6" w:lineRule="auto"/>
              <w:ind w:left="5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3" w:line="219" w:lineRule="auto"/>
              <w:ind w:left="92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0" w:lineRule="auto"/>
              <w:ind w:left="91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9" w:line="220" w:lineRule="auto"/>
              <w:ind w:left="19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9" w:line="220" w:lineRule="auto"/>
              <w:ind w:left="43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9" w:line="220" w:lineRule="auto"/>
              <w:ind w:left="2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9" w:line="220" w:lineRule="auto"/>
              <w:ind w:left="48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9" w:line="220" w:lineRule="auto"/>
              <w:ind w:left="26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9" w:line="220" w:lineRule="auto"/>
              <w:ind w:left="44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92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64" w:line="237" w:lineRule="auto"/>
              <w:ind w:left="20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spacing w:before="64" w:line="220" w:lineRule="auto"/>
              <w:ind w:left="10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周丽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64" w:line="237" w:lineRule="auto"/>
              <w:ind w:left="20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spacing w:before="64" w:line="218" w:lineRule="auto"/>
              <w:ind w:left="21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64" w:line="237" w:lineRule="auto"/>
              <w:ind w:left="21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spacing w:before="64" w:line="220" w:lineRule="auto"/>
              <w:ind w:left="22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64" w:line="237" w:lineRule="auto"/>
              <w:ind w:left="21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64" w:line="219" w:lineRule="auto"/>
              <w:ind w:left="22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935" w:right="1437" w:bottom="1716" w:left="1438" w:header="805" w:footer="991" w:gutter="0"/>
          <w:cols w:space="720"/>
        </w:sectPr>
      </w:pPr>
    </w:p>
    <w:sdt>
      <w:sdtPr>
        <w:rPr>
          <w:rFonts w:ascii="SimSun" w:eastAsia="SimSun" w:hAnsi="SimSun" w:cs="SimSun"/>
          <w:sz w:val="31"/>
          <w:szCs w:val="31"/>
        </w:rPr>
        <w:id w:val="154537249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z w:val="28"/>
          <w:szCs w:val="28"/>
        </w:rPr>
      </w:sdtEndPr>
      <w:sdtContent>
        <w:p>
          <w:pPr>
            <w:spacing w:before="104" w:line="227" w:lineRule="auto"/>
            <w:ind w:left="3933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17"/>
              <w:sz w:val="31"/>
              <w:szCs w:val="31"/>
            </w:rPr>
            <w:t>目录</w:t>
          </w:r>
        </w:p>
        <w:p>
          <w:pPr>
            <w:pStyle w:val="BodyText"/>
            <w:tabs>
              <w:tab w:val="right" w:leader="dot" w:pos="8335"/>
            </w:tabs>
            <w:spacing w:before="263" w:line="198" w:lineRule="auto"/>
            <w:ind w:left="5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5"/>
              <w:sz w:val="28"/>
              <w:szCs w:val="28"/>
            </w:rPr>
            <w:t xml:space="preserve">1.  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服务台职责</w:t>
          </w:r>
          <w:r>
            <w:rPr>
              <w:rFonts w:ascii="FangSong" w:eastAsia="FangSong" w:hAnsi="FangSong" w:cs="FangSong"/>
              <w:spacing w:val="-4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35"/>
            </w:tabs>
            <w:spacing w:before="323" w:line="198" w:lineRule="auto"/>
            <w:ind w:left="47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4"/>
              <w:sz w:val="28"/>
              <w:szCs w:val="28"/>
            </w:rPr>
            <w:t xml:space="preserve">1.1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服务职责概述</w:t>
          </w:r>
          <w:r>
            <w:rPr>
              <w:rFonts w:ascii="FangSong" w:eastAsia="FangSong" w:hAnsi="FangSong" w:cs="FangSong"/>
              <w:spacing w:val="-3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35"/>
            </w:tabs>
            <w:spacing w:before="323" w:line="198" w:lineRule="auto"/>
            <w:ind w:left="47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4"/>
              <w:sz w:val="28"/>
              <w:szCs w:val="28"/>
            </w:rPr>
            <w:t xml:space="preserve">1.2 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服务模式概述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35"/>
            </w:tabs>
            <w:spacing w:before="324" w:line="198" w:lineRule="auto"/>
            <w:ind w:left="36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-3"/>
              <w:sz w:val="28"/>
              <w:szCs w:val="28"/>
            </w:rPr>
            <w:t xml:space="preserve">2. 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工具与记录</w:t>
          </w:r>
          <w:r>
            <w:rPr>
              <w:rFonts w:ascii="FangSong" w:eastAsia="FangSong" w:hAnsi="FangSong" w:cs="FangSong"/>
              <w:spacing w:val="-4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7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335"/>
            </w:tabs>
            <w:spacing w:before="324" w:line="198" w:lineRule="auto"/>
            <w:ind w:left="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3"/>
              <w:sz w:val="28"/>
              <w:szCs w:val="28"/>
            </w:rPr>
            <w:t xml:space="preserve">3. 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监督与管理</w:t>
          </w:r>
          <w:r>
            <w:rPr>
              <w:rFonts w:ascii="FangSong" w:eastAsia="FangSong" w:hAnsi="FangSong" w:cs="FangSong"/>
              <w:spacing w:val="-4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7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8335"/>
            </w:tabs>
            <w:spacing w:before="324" w:line="229" w:lineRule="auto"/>
            <w:ind w:left="32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1"/>
              <w:sz w:val="28"/>
              <w:szCs w:val="28"/>
            </w:rPr>
            <w:t xml:space="preserve">4. 2023 </w:t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年第二季度服务台工作情况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5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7</w:t>
          </w:r>
          <w:r>
            <w:fldChar w:fldCharType="end"/>
          </w:r>
        </w:p>
      </w:sdtContent>
    </w:sdt>
    <w:p>
      <w:pPr>
        <w:spacing w:line="229" w:lineRule="auto"/>
        <w:rPr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935" w:right="1769" w:bottom="1716" w:left="1771" w:header="805" w:footer="991" w:gutter="0"/>
          <w:cols w:space="720"/>
        </w:sectPr>
      </w:pPr>
    </w:p>
    <w:p>
      <w:pPr>
        <w:spacing w:before="61" w:line="238" w:lineRule="auto"/>
        <w:ind w:left="66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7"/>
      <w:bookmarkEnd w:id="0"/>
      <w:r>
        <w:rPr>
          <w:rFonts w:ascii="Times New Roman" w:eastAsia="Times New Roman" w:hAnsi="Times New Roman" w:cs="Times New Roman"/>
          <w:spacing w:val="1"/>
          <w:sz w:val="31"/>
          <w:szCs w:val="31"/>
        </w:rPr>
        <w:t>1.</w:t>
      </w:r>
      <w:r>
        <w:rPr>
          <w:rFonts w:ascii="Times New Roman" w:eastAsia="Times New Roman" w:hAnsi="Times New Roman" w:cs="Times New Roman"/>
          <w:spacing w:val="2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1"/>
          <w:sz w:val="31"/>
          <w:szCs w:val="31"/>
        </w:rPr>
        <w:t>服务台职责</w:t>
      </w:r>
    </w:p>
    <w:p>
      <w:pPr>
        <w:pStyle w:val="BodyText"/>
        <w:spacing w:line="383" w:lineRule="auto"/>
      </w:pPr>
    </w:p>
    <w:p>
      <w:pPr>
        <w:spacing w:before="91" w:line="232" w:lineRule="auto"/>
        <w:ind w:left="47"/>
        <w:outlineLvl w:val="1"/>
        <w:rPr>
          <w:rFonts w:ascii="FangSong" w:eastAsia="FangSong" w:hAnsi="FangSong" w:cs="FangSong"/>
          <w:sz w:val="28"/>
          <w:szCs w:val="28"/>
        </w:rPr>
      </w:pPr>
      <w:bookmarkStart w:id="1" w:name="bookmark1"/>
      <w:bookmarkEnd w:id="1"/>
      <w:bookmarkStart w:id="2" w:name="bookmark2"/>
      <w:bookmarkEnd w:id="2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1.1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服务职责概述</w:t>
      </w:r>
    </w:p>
    <w:p>
      <w:pPr>
        <w:pStyle w:val="BodyText"/>
        <w:spacing w:line="436" w:lineRule="auto"/>
      </w:pPr>
    </w:p>
    <w:p>
      <w:pPr>
        <w:spacing w:before="91" w:line="408" w:lineRule="auto"/>
        <w:ind w:left="47" w:right="54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客服组共设集中坐席</w:t>
      </w:r>
      <w:r>
        <w:rPr>
          <w:rFonts w:ascii="FangSong" w:eastAsia="FangSong" w:hAnsi="FangSong" w:cs="FangSong"/>
          <w:spacing w:val="-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人，其中业务应用坐席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人，受理公司包</w:t>
      </w:r>
      <w:r>
        <w:rPr>
          <w:rFonts w:ascii="FangSong" w:eastAsia="FangSong" w:hAnsi="FangSong" w:cs="FangSong"/>
          <w:spacing w:val="-5"/>
          <w:sz w:val="28"/>
          <w:szCs w:val="28"/>
        </w:rPr>
        <w:t>括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ERP</w:t>
      </w:r>
      <w:r>
        <w:rPr>
          <w:rFonts w:ascii="FangSong" w:eastAsia="FangSong" w:hAnsi="FangSong" w:cs="FangSong"/>
          <w:spacing w:val="-5"/>
          <w:sz w:val="28"/>
          <w:szCs w:val="28"/>
        </w:rPr>
        <w:t>、门户目录、协同办公、生产管理、营销类等各类信息系统的</w:t>
      </w:r>
      <w:r>
        <w:rPr>
          <w:rFonts w:ascii="FangSong" w:eastAsia="FangSong" w:hAnsi="FangSong" w:cs="FangSong"/>
          <w:spacing w:val="-3"/>
          <w:sz w:val="28"/>
          <w:szCs w:val="28"/>
        </w:rPr>
        <w:t>业务应用问题；桌面终端坐席</w:t>
      </w:r>
      <w:r>
        <w:rPr>
          <w:rFonts w:ascii="FangSong" w:eastAsia="FangSong" w:hAnsi="FangSong" w:cs="FangSong"/>
          <w:spacing w:val="-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人，负责省公司本部行政电话</w:t>
      </w:r>
      <w:r>
        <w:rPr>
          <w:rFonts w:ascii="FangSong" w:eastAsia="FangSong" w:hAnsi="FangSong" w:cs="FangSong"/>
          <w:spacing w:val="-4"/>
          <w:sz w:val="28"/>
          <w:szCs w:val="28"/>
        </w:rPr>
        <w:t>查号、</w:t>
      </w:r>
      <w:r>
        <w:rPr>
          <w:rFonts w:ascii="FangSong" w:eastAsia="FangSong" w:hAnsi="FangSong" w:cs="FangSong"/>
          <w:spacing w:val="-3"/>
          <w:sz w:val="28"/>
          <w:szCs w:val="28"/>
        </w:rPr>
        <w:t>报装、维修以及桌面终端和网络的使用问题。</w:t>
      </w:r>
    </w:p>
    <w:p>
      <w:pPr>
        <w:spacing w:before="176" w:line="400" w:lineRule="auto"/>
        <w:ind w:left="48" w:right="54" w:firstLine="56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监控组共设置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人，配合主业值长进行信息通信系统日常监视、</w:t>
      </w:r>
      <w:r>
        <w:rPr>
          <w:rFonts w:ascii="FangSong" w:eastAsia="FangSong" w:hAnsi="FangSong" w:cs="FangSong"/>
          <w:spacing w:val="-4"/>
          <w:sz w:val="28"/>
          <w:szCs w:val="28"/>
        </w:rPr>
        <w:t>巡视及数据统计工作。</w:t>
      </w:r>
    </w:p>
    <w:p>
      <w:pPr>
        <w:spacing w:before="298" w:line="232" w:lineRule="auto"/>
        <w:ind w:left="47"/>
        <w:outlineLvl w:val="1"/>
        <w:rPr>
          <w:rFonts w:ascii="FangSong" w:eastAsia="FangSong" w:hAnsi="FangSong" w:cs="FangSong"/>
          <w:sz w:val="28"/>
          <w:szCs w:val="28"/>
        </w:rPr>
      </w:pPr>
      <w:bookmarkStart w:id="3" w:name="bookmark3"/>
      <w:bookmarkEnd w:id="3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1.2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服务模式概述</w:t>
      </w:r>
    </w:p>
    <w:p>
      <w:pPr>
        <w:pStyle w:val="BodyText"/>
        <w:spacing w:line="441" w:lineRule="auto"/>
      </w:pPr>
    </w:p>
    <w:p>
      <w:pPr>
        <w:spacing w:before="91" w:line="411" w:lineRule="auto"/>
        <w:ind w:left="47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客服组实行</w:t>
      </w:r>
      <w:r>
        <w:rPr>
          <w:rFonts w:ascii="FangSong" w:eastAsia="FangSong" w:hAnsi="FangSong" w:cs="FangSong"/>
          <w:spacing w:val="-3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7</w:t>
      </w:r>
      <w:r>
        <w:rPr>
          <w:rFonts w:ascii="FangSong" w:eastAsia="FangSong" w:hAnsi="FangSong" w:cs="FangSong"/>
          <w:spacing w:val="-4"/>
          <w:sz w:val="28"/>
          <w:szCs w:val="28"/>
        </w:rPr>
        <w:t>×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24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小时服务响应和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5</w:t>
      </w:r>
      <w:r>
        <w:rPr>
          <w:rFonts w:ascii="FangSong" w:eastAsia="FangSong" w:hAnsi="FangSong" w:cs="FangSong"/>
          <w:spacing w:val="-4"/>
          <w:sz w:val="28"/>
          <w:szCs w:val="28"/>
        </w:rPr>
        <w:t>×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小时值班制度，通过电</w:t>
      </w:r>
      <w:r>
        <w:rPr>
          <w:rFonts w:ascii="FangSong" w:eastAsia="FangSong" w:hAnsi="FangSong" w:cs="FangSong"/>
          <w:spacing w:val="-4"/>
          <w:sz w:val="28"/>
          <w:szCs w:val="28"/>
        </w:rPr>
        <w:t>话、邮件、客服网站等多种渠受理信息通信用户的服务请求。非工作</w:t>
      </w:r>
      <w:r>
        <w:rPr>
          <w:rFonts w:ascii="FangSong" w:eastAsia="FangSong" w:hAnsi="FangSong" w:cs="FangSong"/>
          <w:spacing w:val="-9"/>
          <w:sz w:val="28"/>
          <w:szCs w:val="28"/>
        </w:rPr>
        <w:t>时日，由应急坐席（一般为监控组值班员）</w:t>
      </w:r>
      <w:r>
        <w:rPr>
          <w:rFonts w:ascii="FangSong" w:eastAsia="FangSong" w:hAnsi="FangSong" w:cs="FangSong"/>
          <w:spacing w:val="-10"/>
          <w:sz w:val="28"/>
          <w:szCs w:val="28"/>
        </w:rPr>
        <w:t>受理客户的紧急业务请求。</w:t>
      </w:r>
      <w:r>
        <w:rPr>
          <w:rFonts w:ascii="FangSong" w:eastAsia="FangSong" w:hAnsi="FangSong" w:cs="FangSong"/>
          <w:spacing w:val="-4"/>
          <w:sz w:val="28"/>
          <w:szCs w:val="28"/>
        </w:rPr>
        <w:t>对于客户来电，系统根据客户服务请求的业务类别，通过语音导航和</w:t>
      </w:r>
      <w:r>
        <w:rPr>
          <w:rFonts w:ascii="FangSong" w:eastAsia="FangSong" w:hAnsi="FangSong" w:cs="FangSong"/>
          <w:spacing w:val="-4"/>
          <w:sz w:val="28"/>
          <w:szCs w:val="28"/>
        </w:rPr>
        <w:t>自动识别系统，引导到相应的业务坐席，由坐席专业人员进行受理和</w:t>
      </w:r>
      <w:r>
        <w:rPr>
          <w:rFonts w:ascii="FangSong" w:eastAsia="FangSong" w:hAnsi="FangSong" w:cs="FangSong"/>
          <w:spacing w:val="-4"/>
          <w:sz w:val="28"/>
          <w:szCs w:val="28"/>
        </w:rPr>
        <w:t>解答；坐席不能直接解决的，通过派发工单的形式，转由二线运维人</w:t>
      </w:r>
      <w:r>
        <w:rPr>
          <w:rFonts w:ascii="FangSong" w:eastAsia="FangSong" w:hAnsi="FangSong" w:cs="FangSong"/>
          <w:spacing w:val="-4"/>
          <w:sz w:val="28"/>
          <w:szCs w:val="28"/>
        </w:rPr>
        <w:t>员处理，并将二线运维处理后的结果反馈客户完成闭环管理。客户桌</w:t>
      </w:r>
      <w:r>
        <w:rPr>
          <w:rFonts w:ascii="FangSong" w:eastAsia="FangSong" w:hAnsi="FangSong" w:cs="FangSong"/>
          <w:spacing w:val="-2"/>
          <w:sz w:val="28"/>
          <w:szCs w:val="28"/>
        </w:rPr>
        <w:t>面终端的服务请求，则由系统引导到各公司远程坐席进行受理。</w:t>
      </w:r>
    </w:p>
    <w:p>
      <w:pPr>
        <w:spacing w:before="158" w:line="383" w:lineRule="auto"/>
        <w:ind w:left="52" w:right="54" w:firstLine="56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监控组实行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7</w:t>
      </w:r>
      <w:r>
        <w:rPr>
          <w:rFonts w:ascii="FangSong" w:eastAsia="FangSong" w:hAnsi="FangSong" w:cs="FangSong"/>
          <w:spacing w:val="-3"/>
          <w:sz w:val="28"/>
          <w:szCs w:val="28"/>
        </w:rPr>
        <w:t>×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24 </w:t>
      </w:r>
      <w:r>
        <w:rPr>
          <w:rFonts w:ascii="FangSong" w:eastAsia="FangSong" w:hAnsi="FangSong" w:cs="FangSong"/>
          <w:spacing w:val="-3"/>
          <w:sz w:val="28"/>
          <w:szCs w:val="28"/>
        </w:rPr>
        <w:t>小时值班制度，四班二运转，每班设置信息、</w:t>
      </w:r>
      <w:r>
        <w:rPr>
          <w:rFonts w:ascii="FangSong" w:eastAsia="FangSong" w:hAnsi="FangSong" w:cs="FangSong"/>
          <w:spacing w:val="-6"/>
          <w:sz w:val="28"/>
          <w:szCs w:val="28"/>
        </w:rPr>
        <w:t>通信值班员各</w:t>
      </w:r>
      <w:r>
        <w:rPr>
          <w:rFonts w:ascii="FangSong" w:eastAsia="FangSong" w:hAnsi="FangSong" w:cs="FangSong"/>
          <w:spacing w:val="-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名。值班员通过开展实时监视和周期巡视，及时发现</w:t>
      </w:r>
    </w:p>
    <w:p>
      <w:pPr>
        <w:spacing w:line="383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0"/>
          <w:footerReference w:type="default" r:id="rId11"/>
          <w:pgSz w:w="11907" w:h="16839"/>
          <w:pgMar w:top="1935" w:right="1696" w:bottom="1716" w:left="1771" w:header="805" w:footer="991" w:gutter="0"/>
          <w:cols w:space="720"/>
        </w:sectPr>
      </w:pPr>
    </w:p>
    <w:p>
      <w:pPr>
        <w:spacing w:before="124" w:line="412" w:lineRule="auto"/>
        <w:ind w:left="136" w:right="837" w:hanging="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异常情况，并告知值长；在值长的监督下，开展</w:t>
      </w:r>
      <w:r>
        <w:rPr>
          <w:rFonts w:ascii="FangSong" w:eastAsia="FangSong" w:hAnsi="FangSong" w:cs="FangSong"/>
          <w:spacing w:val="-3"/>
          <w:sz w:val="28"/>
          <w:szCs w:val="28"/>
        </w:rPr>
        <w:t>业务影响情况核查、</w:t>
      </w:r>
      <w:r>
        <w:rPr>
          <w:rFonts w:ascii="FangSong" w:eastAsia="FangSong" w:hAnsi="FangSong" w:cs="FangSong"/>
          <w:spacing w:val="-2"/>
          <w:sz w:val="28"/>
          <w:szCs w:val="28"/>
        </w:rPr>
        <w:t>通知上传下达和数据统计分析等工作。</w:t>
      </w:r>
    </w:p>
    <w:p>
      <w:pPr>
        <w:spacing w:before="154" w:line="219" w:lineRule="auto"/>
        <w:ind w:left="6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客服坐席事件受理流程如下图所示：</w:t>
      </w:r>
    </w:p>
    <w:p>
      <w:pPr>
        <w:spacing w:before="32"/>
      </w:pPr>
    </w:p>
    <w:tbl>
      <w:tblPr>
        <w:tblStyle w:val="TableNormal"/>
        <w:tblW w:w="92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099"/>
        <w:gridCol w:w="3097"/>
        <w:gridCol w:w="3102"/>
      </w:tblGrid>
      <w:tr>
        <w:tblPrEx>
          <w:tblW w:w="929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3"/>
        </w:trPr>
        <w:tc>
          <w:tcPr>
            <w:tcW w:w="3099" w:type="dxa"/>
          </w:tcPr>
          <w:p>
            <w:pPr>
              <w:spacing w:before="179" w:line="219" w:lineRule="auto"/>
              <w:ind w:left="12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客户</w:t>
            </w:r>
          </w:p>
        </w:tc>
        <w:tc>
          <w:tcPr>
            <w:tcW w:w="3097" w:type="dxa"/>
          </w:tcPr>
          <w:p>
            <w:pPr>
              <w:spacing w:before="177" w:line="219" w:lineRule="auto"/>
              <w:ind w:left="4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客户坐席（一线）</w:t>
            </w:r>
          </w:p>
        </w:tc>
        <w:tc>
          <w:tcPr>
            <w:tcW w:w="3102" w:type="dxa"/>
          </w:tcPr>
          <w:p>
            <w:pPr>
              <w:spacing w:before="178" w:line="218" w:lineRule="auto"/>
              <w:ind w:left="4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运维人员（二线）</w:t>
            </w:r>
          </w:p>
        </w:tc>
      </w:tr>
      <w:tr>
        <w:tblPrEx>
          <w:tblW w:w="9298" w:type="dxa"/>
          <w:tblInd w:w="2" w:type="dxa"/>
          <w:tblLayout w:type="fixed"/>
        </w:tblPrEx>
        <w:trPr>
          <w:trHeight w:val="10074"/>
        </w:trPr>
        <w:tc>
          <w:tcPr>
            <w:tcW w:w="3099" w:type="dxa"/>
          </w:tcPr>
          <w:p>
            <w:pPr>
              <w:pStyle w:val="TableText"/>
              <w:spacing w:line="326" w:lineRule="auto"/>
            </w:pPr>
          </w:p>
          <w:p>
            <w:pPr>
              <w:spacing w:before="78" w:line="218" w:lineRule="auto"/>
              <w:ind w:left="7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电话报修</w:t>
            </w: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18" w:lineRule="auto"/>
              <w:ind w:left="68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问题描述</w:t>
            </w: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78" w:line="216" w:lineRule="auto"/>
              <w:ind w:left="49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确认并评价</w:t>
            </w:r>
          </w:p>
        </w:tc>
        <w:tc>
          <w:tcPr>
            <w:tcW w:w="3097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18" w:lineRule="auto"/>
              <w:ind w:left="1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记录问题</w:t>
            </w: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78" w:line="217" w:lineRule="auto"/>
              <w:ind w:left="10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发起工单</w:t>
            </w:r>
          </w:p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 w:line="221" w:lineRule="auto"/>
              <w:ind w:left="436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是否直接执行</w:t>
            </w:r>
            <w:r>
              <w:rPr>
                <w:rFonts w:ascii="FangSong" w:eastAsia="FangSong" w:hAnsi="FangSong" w:cs="FangSong"/>
                <w:spacing w:val="38"/>
                <w:sz w:val="24"/>
                <w:szCs w:val="24"/>
              </w:rPr>
              <w:t xml:space="preserve">   </w:t>
            </w:r>
            <w:r>
              <w:rPr>
                <w:rFonts w:ascii="SimSun" w:eastAsia="SimSun" w:hAnsi="SimSun" w:cs="SimSun"/>
                <w:b/>
                <w:bCs/>
                <w:spacing w:val="-3"/>
                <w:position w:val="-1"/>
                <w:sz w:val="18"/>
                <w:szCs w:val="18"/>
              </w:rPr>
              <w:t>否</w:t>
            </w:r>
          </w:p>
          <w:p>
            <w:pPr>
              <w:pStyle w:val="TableText"/>
              <w:spacing w:line="314" w:lineRule="auto"/>
            </w:pPr>
          </w:p>
          <w:p>
            <w:pPr>
              <w:pStyle w:val="TableText"/>
              <w:spacing w:line="314" w:lineRule="auto"/>
            </w:pPr>
          </w:p>
          <w:p>
            <w:pPr>
              <w:pStyle w:val="TableText"/>
              <w:spacing w:line="314" w:lineRule="auto"/>
            </w:pPr>
          </w:p>
          <w:p>
            <w:pPr>
              <w:spacing w:before="68" w:line="224" w:lineRule="auto"/>
              <w:ind w:left="1429"/>
              <w:rPr>
                <w:rFonts w:ascii="SimSun" w:eastAsia="SimSun" w:hAnsi="SimSun" w:cs="SimSun"/>
                <w:sz w:val="21"/>
                <w:szCs w:val="21"/>
              </w:rPr>
            </w:pPr>
            <w:r>
              <w:rPr>
                <w:rFonts w:ascii="SimSun" w:eastAsia="SimSun" w:hAnsi="SimSun" w:cs="SimSun"/>
                <w:b/>
                <w:bCs/>
                <w:spacing w:val="-3"/>
                <w:sz w:val="21"/>
                <w:szCs w:val="21"/>
              </w:rPr>
              <w:t>是</w:t>
            </w:r>
          </w:p>
          <w:p>
            <w:pPr>
              <w:pStyle w:val="TableText"/>
              <w:spacing w:line="329" w:lineRule="auto"/>
            </w:pPr>
          </w:p>
          <w:p>
            <w:pPr>
              <w:spacing w:before="79" w:line="217" w:lineRule="auto"/>
              <w:ind w:left="68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发起工单</w:t>
            </w: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78" w:line="218" w:lineRule="auto"/>
              <w:ind w:left="47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反馈处理结果</w:t>
            </w:r>
          </w:p>
        </w:tc>
        <w:tc>
          <w:tcPr>
            <w:tcW w:w="3102" w:type="dxa"/>
          </w:tcPr>
          <w:p>
            <w:pPr>
              <w:spacing w:before="220" w:line="242" w:lineRule="auto"/>
              <w:ind w:left="1460" w:right="601" w:hanging="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通过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I6000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接收工单</w:t>
            </w: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78" w:line="219" w:lineRule="auto"/>
              <w:ind w:left="13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接收任务</w:t>
            </w: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41" w:lineRule="auto"/>
              <w:ind w:left="1197" w:right="601" w:hanging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通过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I6000</w:t>
            </w:r>
            <w:r>
              <w:rPr>
                <w:rFonts w:ascii="FangSong" w:eastAsia="FangSong" w:hAnsi="FangSong" w:cs="FangSong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填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写处理结果</w:t>
            </w:r>
          </w:p>
        </w:tc>
      </w:tr>
    </w:tbl>
    <w:p>
      <w:pPr>
        <w:spacing w:before="69" w:line="241" w:lineRule="auto"/>
        <w:ind w:left="4068" w:right="4296" w:hanging="479"/>
        <w:rPr>
          <w:rFonts w:ascii="FangSong" w:eastAsia="FangSong" w:hAnsi="FangSong" w:cs="FangSong"/>
          <w:sz w:val="24"/>
          <w:szCs w:val="24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-6350999</wp:posOffset>
            </wp:positionV>
            <wp:extent cx="5714568" cy="7063104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568" cy="706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71323</wp:posOffset>
            </wp:positionH>
            <wp:positionV relativeFrom="paragraph">
              <wp:posOffset>207914</wp:posOffset>
            </wp:positionV>
            <wp:extent cx="1485900" cy="46037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668223</wp:posOffset>
            </wp:positionH>
            <wp:positionV relativeFrom="paragraph">
              <wp:posOffset>318049</wp:posOffset>
            </wp:positionV>
            <wp:extent cx="1221739" cy="7620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173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eastAsia="FangSong" w:hAnsi="FangSong" w:cs="FangSong"/>
          <w:spacing w:val="-4"/>
          <w:sz w:val="24"/>
          <w:szCs w:val="24"/>
        </w:rPr>
        <w:t>关闭服务请求</w:t>
      </w:r>
      <w:r>
        <w:rPr>
          <w:rFonts w:ascii="FangSong" w:eastAsia="FangSong" w:hAnsi="FangSong" w:cs="FangSong"/>
          <w:spacing w:val="-6"/>
          <w:sz w:val="24"/>
          <w:szCs w:val="24"/>
        </w:rPr>
        <w:t>工单</w:t>
      </w:r>
    </w:p>
    <w:p>
      <w:pPr>
        <w:pStyle w:val="BodyText"/>
        <w:spacing w:line="394" w:lineRule="auto"/>
      </w:pPr>
    </w:p>
    <w:p>
      <w:pPr>
        <w:spacing w:line="30" w:lineRule="exact"/>
        <w:ind w:firstLine="3342"/>
      </w:pPr>
      <w:r>
        <w:pict>
          <v:shape id="_x0000_i1025" style="height:1.5pt;mso-position-horizontal-relative:char;mso-position-vertical-relative:line;width:94.55pt" coordorigin="0,0" coordsize="1891,30" path="m15,15l1875,15e" strokecolor="black" strokeweight="1.5pt">
            <v:stroke joinstyle="miter" endcap="round"/>
            <w10:wrap type="none"/>
          </v:shape>
        </w:pict>
      </w:r>
    </w:p>
    <w:p>
      <w:pPr>
        <w:spacing w:line="30" w:lineRule="exact"/>
        <w:sectPr>
          <w:headerReference w:type="default" r:id="rId15"/>
          <w:footerReference w:type="default" r:id="rId16"/>
          <w:pgSz w:w="11907" w:h="16839"/>
          <w:pgMar w:top="1935" w:right="914" w:bottom="400" w:left="1687" w:header="805" w:footer="0" w:gutter="0"/>
          <w:cols w:space="720"/>
        </w:sectPr>
      </w:pPr>
    </w:p>
    <w:p>
      <w:pPr>
        <w:pStyle w:val="BodyText"/>
        <w:spacing w:line="253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spacing w:before="101" w:line="239" w:lineRule="auto"/>
        <w:ind w:left="35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4"/>
      <w:bookmarkEnd w:id="4"/>
      <w:r>
        <w:rPr>
          <w:rFonts w:ascii="Times New Roman" w:eastAsia="Times New Roman" w:hAnsi="Times New Roman" w:cs="Times New Roman"/>
          <w:spacing w:val="5"/>
          <w:sz w:val="31"/>
          <w:szCs w:val="31"/>
        </w:rPr>
        <w:t>2.</w:t>
      </w:r>
      <w:r>
        <w:rPr>
          <w:rFonts w:ascii="Times New Roman" w:eastAsia="Times New Roman" w:hAnsi="Times New Roman" w:cs="Times New Roman"/>
          <w:spacing w:val="22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5"/>
          <w:sz w:val="31"/>
          <w:szCs w:val="31"/>
        </w:rPr>
        <w:t>工具与记录</w:t>
      </w:r>
    </w:p>
    <w:p>
      <w:pPr>
        <w:pStyle w:val="BodyText"/>
        <w:spacing w:line="381" w:lineRule="auto"/>
      </w:pPr>
    </w:p>
    <w:p>
      <w:pPr>
        <w:spacing w:before="91" w:line="217" w:lineRule="auto"/>
        <w:ind w:left="52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服务台日常所用工具平台包括：</w:t>
      </w:r>
    </w:p>
    <w:p>
      <w:pPr>
        <w:spacing w:before="294" w:line="232" w:lineRule="auto"/>
        <w:ind w:left="515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43"/>
          <w:w w:val="125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43"/>
          <w:w w:val="125"/>
          <w:sz w:val="28"/>
          <w:szCs w:val="28"/>
        </w:rPr>
        <w:t>6000</w:t>
      </w:r>
      <w:r>
        <w:rPr>
          <w:rFonts w:ascii="FangSong" w:eastAsia="FangSong" w:hAnsi="FangSong" w:cs="FangSong"/>
          <w:spacing w:val="-3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信息通信客服系统</w:t>
      </w:r>
    </w:p>
    <w:p>
      <w:pPr>
        <w:spacing w:before="272" w:line="407" w:lineRule="auto"/>
        <w:ind w:left="47" w:right="28" w:firstLine="48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公司客服人员使用，用于记录通话数据、客户信息、申告内容、</w:t>
      </w:r>
      <w:r>
        <w:rPr>
          <w:rFonts w:ascii="FangSong" w:eastAsia="FangSong" w:hAnsi="FangSong" w:cs="FangSong"/>
          <w:spacing w:val="-4"/>
          <w:sz w:val="28"/>
          <w:szCs w:val="28"/>
        </w:rPr>
        <w:t>事件小结等。可导出相关统计数据报表，是监督热线服务质量的主要</w:t>
      </w:r>
      <w:r>
        <w:rPr>
          <w:rFonts w:ascii="FangSong" w:eastAsia="FangSong" w:hAnsi="FangSong" w:cs="FangSong"/>
          <w:spacing w:val="-12"/>
          <w:sz w:val="28"/>
          <w:szCs w:val="28"/>
        </w:rPr>
        <w:t>依据。</w:t>
      </w:r>
    </w:p>
    <w:p>
      <w:pPr>
        <w:spacing w:line="3753" w:lineRule="exact"/>
        <w:ind w:firstLine="28"/>
      </w:pPr>
      <w:r>
        <w:rPr>
          <w:position w:val="-75"/>
        </w:rPr>
        <w:drawing>
          <wp:inline distT="0" distB="0" distL="0" distR="0">
            <wp:extent cx="5264150" cy="238315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5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3" w:line="219" w:lineRule="auto"/>
        <w:ind w:left="457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9"/>
          <w:sz w:val="28"/>
          <w:szCs w:val="28"/>
        </w:rPr>
        <w:t>o</w:t>
      </w:r>
      <w:r>
        <w:rPr>
          <w:rFonts w:ascii="Wingdings" w:eastAsia="Wingdings" w:hAnsi="Wingdings" w:cs="Wingdings"/>
          <w:spacing w:val="-9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知识库</w:t>
      </w:r>
    </w:p>
    <w:p>
      <w:pPr>
        <w:spacing w:before="292" w:line="412" w:lineRule="auto"/>
        <w:ind w:left="921" w:right="31" w:hanging="4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根据一定的文档架构，建设运维知识库，提供个人首页、知识</w:t>
      </w:r>
      <w:r>
        <w:rPr>
          <w:rFonts w:ascii="FangSong" w:eastAsia="FangSong" w:hAnsi="FangSong" w:cs="FangSong"/>
          <w:spacing w:val="-3"/>
          <w:sz w:val="28"/>
          <w:szCs w:val="28"/>
        </w:rPr>
        <w:t>目录、知识导入、知识点检索、知识公告维护等功能。</w:t>
      </w:r>
    </w:p>
    <w:p>
      <w:pPr>
        <w:spacing w:before="273" w:line="238" w:lineRule="auto"/>
        <w:ind w:left="41"/>
        <w:outlineLvl w:val="0"/>
        <w:rPr>
          <w:rFonts w:ascii="SimHei" w:eastAsia="SimHei" w:hAnsi="SimHei" w:cs="SimHei"/>
          <w:sz w:val="31"/>
          <w:szCs w:val="31"/>
        </w:rPr>
      </w:pPr>
      <w:bookmarkStart w:id="5" w:name="bookmark5"/>
      <w:bookmarkEnd w:id="5"/>
      <w:r>
        <w:rPr>
          <w:rFonts w:ascii="Times New Roman" w:eastAsia="Times New Roman" w:hAnsi="Times New Roman" w:cs="Times New Roman"/>
          <w:spacing w:val="4"/>
          <w:sz w:val="31"/>
          <w:szCs w:val="31"/>
        </w:rPr>
        <w:t>3.</w:t>
      </w:r>
      <w:r>
        <w:rPr>
          <w:rFonts w:ascii="Times New Roman" w:eastAsia="Times New Roman" w:hAnsi="Times New Roman" w:cs="Times New Roman"/>
          <w:spacing w:val="22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4"/>
          <w:sz w:val="31"/>
          <w:szCs w:val="31"/>
        </w:rPr>
        <w:t>监督与管理</w:t>
      </w:r>
    </w:p>
    <w:p>
      <w:pPr>
        <w:pStyle w:val="BodyText"/>
        <w:spacing w:line="385" w:lineRule="auto"/>
      </w:pPr>
    </w:p>
    <w:p>
      <w:pPr>
        <w:spacing w:before="92" w:line="406" w:lineRule="auto"/>
        <w:ind w:left="879" w:right="31" w:hanging="422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5"/>
          <w:sz w:val="28"/>
          <w:szCs w:val="28"/>
        </w:rPr>
        <w:t>o</w:t>
      </w:r>
      <w:r>
        <w:rPr>
          <w:rFonts w:ascii="Wingdings" w:eastAsia="Wingdings" w:hAnsi="Wingdings" w:cs="Wingdings"/>
          <w:spacing w:val="-7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服务台不仅是运维服务提供的一环，还是湖南同飞电力运维服</w:t>
      </w:r>
      <w:r>
        <w:rPr>
          <w:rFonts w:ascii="FangSong" w:eastAsia="FangSong" w:hAnsi="FangSong" w:cs="FangSong"/>
          <w:spacing w:val="-4"/>
          <w:sz w:val="28"/>
          <w:szCs w:val="28"/>
        </w:rPr>
        <w:t>务能力与质量管理的重要环节。服务对运维服务能力与质量管</w:t>
      </w:r>
    </w:p>
    <w:p>
      <w:pPr>
        <w:spacing w:line="40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8"/>
          <w:footerReference w:type="default" r:id="rId19"/>
          <w:pgSz w:w="11907" w:h="16839"/>
          <w:pgMar w:top="1935" w:right="1769" w:bottom="1716" w:left="1771" w:header="805" w:footer="991" w:gutter="0"/>
          <w:cols w:space="720"/>
        </w:sectPr>
      </w:pPr>
    </w:p>
    <w:p>
      <w:pPr>
        <w:spacing w:before="125" w:line="216" w:lineRule="auto"/>
        <w:ind w:left="87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理主要体现在以下几方面：</w:t>
      </w:r>
    </w:p>
    <w:p>
      <w:pPr>
        <w:spacing w:before="296" w:line="218" w:lineRule="auto"/>
        <w:ind w:left="457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5"/>
          <w:sz w:val="28"/>
          <w:szCs w:val="28"/>
        </w:rPr>
        <w:t>o</w:t>
      </w:r>
      <w:r>
        <w:rPr>
          <w:rFonts w:ascii="Wingdings" w:eastAsia="Wingdings" w:hAnsi="Wingdings" w:cs="Wingdings"/>
          <w:spacing w:val="-7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监控事件处理进程，通过及时协调各方资源缩短事件解决进程</w:t>
      </w:r>
    </w:p>
    <w:p>
      <w:pPr>
        <w:spacing w:before="294" w:line="314" w:lineRule="auto"/>
        <w:ind w:left="871" w:right="85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5"/>
          <w:sz w:val="28"/>
          <w:szCs w:val="28"/>
        </w:rPr>
        <w:t>o</w:t>
      </w:r>
      <w:r>
        <w:rPr>
          <w:rFonts w:ascii="Wingdings" w:eastAsia="Wingdings" w:hAnsi="Wingdings" w:cs="Wingdings"/>
          <w:spacing w:val="-7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收集与统计运维服务能力指标数据，与客户就运维服务能力指</w:t>
      </w:r>
      <w:r>
        <w:rPr>
          <w:rFonts w:ascii="FangSong" w:eastAsia="FangSong" w:hAnsi="FangSong" w:cs="FangSong"/>
          <w:spacing w:val="-1"/>
          <w:sz w:val="28"/>
          <w:szCs w:val="28"/>
        </w:rPr>
        <w:t>标进行沟通，实施运维服务绩效考核</w:t>
      </w:r>
    </w:p>
    <w:p>
      <w:pPr>
        <w:spacing w:before="297" w:line="346" w:lineRule="auto"/>
        <w:ind w:left="874" w:right="65" w:hanging="417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5"/>
          <w:sz w:val="28"/>
          <w:szCs w:val="28"/>
        </w:rPr>
        <w:t>o</w:t>
      </w:r>
      <w:r>
        <w:rPr>
          <w:rFonts w:ascii="Wingdings" w:eastAsia="Wingdings" w:hAnsi="Wingdings" w:cs="Wingdings"/>
          <w:spacing w:val="-7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对运维服务绩效考核结果进行分析，组织客户、运维团队共同</w:t>
      </w:r>
      <w:r>
        <w:rPr>
          <w:rFonts w:ascii="FangSong" w:eastAsia="FangSong" w:hAnsi="FangSong" w:cs="FangSong"/>
          <w:spacing w:val="-3"/>
          <w:sz w:val="28"/>
          <w:szCs w:val="28"/>
        </w:rPr>
        <w:t>对运维服务能力数值不理想的指标进行分析，提出改进措施，</w:t>
      </w:r>
      <w:r>
        <w:rPr>
          <w:rFonts w:ascii="FangSong" w:eastAsia="FangSong" w:hAnsi="FangSong" w:cs="FangSong"/>
          <w:spacing w:val="-2"/>
          <w:sz w:val="28"/>
          <w:szCs w:val="28"/>
        </w:rPr>
        <w:t>或改进专题，并加以实施</w:t>
      </w:r>
    </w:p>
    <w:p>
      <w:pPr>
        <w:spacing w:before="295" w:line="317" w:lineRule="auto"/>
        <w:ind w:left="871" w:right="85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5"/>
          <w:sz w:val="28"/>
          <w:szCs w:val="28"/>
        </w:rPr>
        <w:t>o</w:t>
      </w:r>
      <w:r>
        <w:rPr>
          <w:rFonts w:ascii="Wingdings" w:eastAsia="Wingdings" w:hAnsi="Wingdings" w:cs="Wingdings"/>
          <w:spacing w:val="-7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跟踪改进结果，进行效果确认、经验总结，组织经验巩固与推</w:t>
      </w:r>
      <w:r>
        <w:rPr>
          <w:rFonts w:ascii="FangSong" w:eastAsia="FangSong" w:hAnsi="FangSong" w:cs="FangSong"/>
          <w:sz w:val="28"/>
          <w:szCs w:val="28"/>
        </w:rPr>
        <w:t>广</w:t>
      </w:r>
    </w:p>
    <w:p>
      <w:pPr>
        <w:pStyle w:val="BodyText"/>
        <w:spacing w:line="457" w:lineRule="auto"/>
      </w:pPr>
    </w:p>
    <w:p>
      <w:pPr>
        <w:spacing w:before="101" w:line="238" w:lineRule="auto"/>
        <w:ind w:left="33"/>
        <w:outlineLvl w:val="0"/>
        <w:rPr>
          <w:rFonts w:ascii="SimHei" w:eastAsia="SimHei" w:hAnsi="SimHei" w:cs="SimHei"/>
          <w:sz w:val="31"/>
          <w:szCs w:val="31"/>
        </w:rPr>
      </w:pPr>
      <w:bookmarkStart w:id="6" w:name="bookmark6"/>
      <w:bookmarkEnd w:id="6"/>
      <w:r>
        <w:rPr>
          <w:rFonts w:ascii="Times New Roman" w:eastAsia="Times New Roman" w:hAnsi="Times New Roman" w:cs="Times New Roman"/>
          <w:spacing w:val="7"/>
          <w:sz w:val="31"/>
          <w:szCs w:val="31"/>
        </w:rPr>
        <w:t>4.  2023</w:t>
      </w:r>
      <w:r>
        <w:rPr>
          <w:rFonts w:ascii="Times New Roman" w:eastAsia="Times New Roman" w:hAnsi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7"/>
          <w:sz w:val="31"/>
          <w:szCs w:val="31"/>
        </w:rPr>
        <w:t>年第二季度服务台工作情况</w:t>
      </w:r>
    </w:p>
    <w:p>
      <w:pPr>
        <w:pStyle w:val="BodyText"/>
        <w:spacing w:line="384" w:lineRule="auto"/>
      </w:pPr>
    </w:p>
    <w:p>
      <w:pPr>
        <w:spacing w:before="91" w:line="410" w:lineRule="auto"/>
        <w:ind w:left="46" w:right="84" w:firstLine="56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湖南同飞电力公司服务台共</w:t>
      </w:r>
      <w:r>
        <w:rPr>
          <w:rFonts w:ascii="FangSong" w:eastAsia="FangSong" w:hAnsi="FangSong" w:cs="FangSong"/>
          <w:spacing w:val="-4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人，分为客服组和监督组，其中客</w:t>
      </w:r>
      <w:r>
        <w:rPr>
          <w:rFonts w:ascii="FangSong" w:eastAsia="FangSong" w:hAnsi="FangSong" w:cs="FangSong"/>
          <w:spacing w:val="-3"/>
          <w:sz w:val="28"/>
          <w:szCs w:val="28"/>
        </w:rPr>
        <w:t>服组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人，监督组</w:t>
      </w:r>
      <w:r>
        <w:rPr>
          <w:rFonts w:ascii="FangSong" w:eastAsia="FangSong" w:hAnsi="FangSong" w:cs="FangSong"/>
          <w:spacing w:val="-6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人。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2023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年第二季度服务台的主要工</w:t>
      </w:r>
      <w:r>
        <w:rPr>
          <w:rFonts w:ascii="FangSong" w:eastAsia="FangSong" w:hAnsi="FangSong" w:cs="FangSong"/>
          <w:spacing w:val="-4"/>
          <w:sz w:val="28"/>
          <w:szCs w:val="28"/>
        </w:rPr>
        <w:t>作包括：</w:t>
      </w:r>
    </w:p>
    <w:p>
      <w:pPr>
        <w:spacing w:before="3" w:line="230" w:lineRule="auto"/>
        <w:ind w:left="33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4.1 </w:t>
      </w:r>
      <w:r>
        <w:rPr>
          <w:rFonts w:ascii="FangSong" w:eastAsia="FangSong" w:hAnsi="FangSong" w:cs="FangSong"/>
          <w:spacing w:val="-1"/>
          <w:sz w:val="28"/>
          <w:szCs w:val="28"/>
        </w:rPr>
        <w:t>服务热线工作情况</w:t>
      </w:r>
    </w:p>
    <w:p>
      <w:pPr>
        <w:spacing w:before="275" w:line="322" w:lineRule="auto"/>
        <w:ind w:left="1008" w:hanging="416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4"/>
          <w:sz w:val="28"/>
          <w:szCs w:val="28"/>
        </w:rPr>
        <w:t>o</w:t>
      </w:r>
      <w:r>
        <w:rPr>
          <w:rFonts w:ascii="FangSong" w:eastAsia="FangSong" w:hAnsi="FangSong" w:cs="FangSong"/>
          <w:spacing w:val="-4"/>
          <w:sz w:val="28"/>
          <w:szCs w:val="28"/>
        </w:rPr>
        <w:t>受理客户各类申告、咨询</w:t>
      </w:r>
      <w:r>
        <w:rPr>
          <w:rFonts w:ascii="FangSong" w:eastAsia="FangSong" w:hAnsi="FangSong" w:cs="FangSong"/>
          <w:spacing w:val="-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735</w:t>
      </w:r>
      <w:r>
        <w:rPr>
          <w:rFonts w:ascii="Times New Roman" w:eastAsia="Times New Roman" w:hAnsi="Times New Roman" w:cs="Times New Roman"/>
          <w:spacing w:val="17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件，首次解决率平均为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81.33%</w:t>
      </w:r>
      <w:r>
        <w:rPr>
          <w:rFonts w:ascii="FangSong" w:eastAsia="FangSong" w:hAnsi="FangSong" w:cs="FangSong"/>
          <w:spacing w:val="-4"/>
          <w:sz w:val="28"/>
          <w:szCs w:val="28"/>
        </w:rPr>
        <w:t>，</w:t>
      </w:r>
      <w:r>
        <w:rPr>
          <w:rFonts w:ascii="FangSong" w:eastAsia="FangSong" w:hAnsi="FangSong" w:cs="FangSong"/>
          <w:spacing w:val="-5"/>
          <w:sz w:val="28"/>
          <w:szCs w:val="28"/>
        </w:rPr>
        <w:t>处理完成率</w:t>
      </w:r>
      <w:r>
        <w:rPr>
          <w:rFonts w:ascii="FangSong" w:eastAsia="FangSong" w:hAnsi="FangSong" w:cs="FangSong"/>
          <w:spacing w:val="-3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100%</w:t>
      </w:r>
      <w:r>
        <w:rPr>
          <w:rFonts w:ascii="FangSong" w:eastAsia="FangSong" w:hAnsi="FangSong" w:cs="FangSong"/>
          <w:spacing w:val="-5"/>
          <w:sz w:val="28"/>
          <w:szCs w:val="28"/>
        </w:rPr>
        <w:t>；</w:t>
      </w:r>
    </w:p>
    <w:p>
      <w:pPr>
        <w:spacing w:before="272" w:line="231" w:lineRule="auto"/>
        <w:ind w:left="592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3"/>
          <w:sz w:val="28"/>
          <w:szCs w:val="28"/>
        </w:rPr>
        <w:t>o</w:t>
      </w:r>
      <w:r>
        <w:rPr>
          <w:rFonts w:ascii="FangSong" w:eastAsia="FangSong" w:hAnsi="FangSong" w:cs="FangSong"/>
          <w:spacing w:val="3"/>
          <w:sz w:val="28"/>
          <w:szCs w:val="28"/>
        </w:rPr>
        <w:t>话务台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pacing w:val="20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3"/>
          <w:sz w:val="28"/>
          <w:szCs w:val="28"/>
        </w:rPr>
        <w:t>秒接听率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>99.07%</w:t>
      </w:r>
      <w:r>
        <w:rPr>
          <w:rFonts w:ascii="FangSong" w:eastAsia="FangSong" w:hAnsi="FangSong" w:cs="FangSong"/>
          <w:spacing w:val="3"/>
          <w:sz w:val="28"/>
          <w:szCs w:val="28"/>
        </w:rPr>
        <w:t>，主要是由于</w:t>
      </w:r>
      <w:r>
        <w:rPr>
          <w:rFonts w:ascii="FangSong" w:eastAsia="FangSong" w:hAnsi="FangSong" w:cs="FangSong"/>
          <w:spacing w:val="2"/>
          <w:sz w:val="28"/>
          <w:szCs w:val="28"/>
        </w:rPr>
        <w:t>集团共享话务台热线</w:t>
      </w:r>
    </w:p>
    <w:p>
      <w:pPr>
        <w:spacing w:before="273" w:line="232" w:lineRule="auto"/>
        <w:ind w:left="1021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8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条，已开通排队功能；</w:t>
      </w:r>
    </w:p>
    <w:p>
      <w:pPr>
        <w:spacing w:before="273" w:line="232" w:lineRule="auto"/>
        <w:ind w:left="592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1"/>
          <w:sz w:val="28"/>
          <w:szCs w:val="28"/>
        </w:rPr>
        <w:t>o</w:t>
      </w:r>
      <w:r>
        <w:rPr>
          <w:rFonts w:ascii="FangSong" w:eastAsia="FangSong" w:hAnsi="FangSong" w:cs="FangSong"/>
          <w:spacing w:val="-1"/>
          <w:sz w:val="28"/>
          <w:szCs w:val="28"/>
        </w:rPr>
        <w:t>受理客户投诉</w:t>
      </w:r>
      <w:r>
        <w:rPr>
          <w:rFonts w:ascii="FangSong" w:eastAsia="FangSong" w:hAnsi="FangSong" w:cs="FangSong"/>
          <w:spacing w:val="-5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0 </w:t>
      </w:r>
      <w:r>
        <w:rPr>
          <w:rFonts w:ascii="FangSong" w:eastAsia="FangSong" w:hAnsi="FangSong" w:cs="FangSong"/>
          <w:spacing w:val="-1"/>
          <w:sz w:val="28"/>
          <w:szCs w:val="28"/>
        </w:rPr>
        <w:t>次，客户满意。</w:t>
      </w:r>
    </w:p>
    <w:p>
      <w:pPr>
        <w:spacing w:line="23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0"/>
          <w:footerReference w:type="default" r:id="rId21"/>
          <w:pgSz w:w="11907" w:h="16839"/>
          <w:pgMar w:top="1935" w:right="1714" w:bottom="1716" w:left="1771" w:header="805" w:footer="991" w:gutter="0"/>
          <w:cols w:space="720"/>
        </w:sectPr>
      </w:pPr>
    </w:p>
    <w:p>
      <w:pPr>
        <w:spacing w:line="4676" w:lineRule="exact"/>
        <w:ind w:firstLine="568"/>
      </w:pPr>
      <w:r>
        <w:rPr>
          <w:position w:val="-93"/>
        </w:rPr>
        <w:drawing>
          <wp:inline distT="0" distB="0" distL="0" distR="0">
            <wp:extent cx="5274309" cy="2969894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9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6" w:line="232" w:lineRule="auto"/>
        <w:ind w:left="35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>4.2</w:t>
      </w:r>
      <w:r>
        <w:rPr>
          <w:rFonts w:ascii="Times New Roman" w:eastAsia="Times New Roman" w:hAnsi="Times New Roman" w:cs="Times New Roman"/>
          <w:b/>
          <w:bCs/>
          <w:spacing w:val="3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即时通讯渠道</w:t>
      </w:r>
    </w:p>
    <w:p>
      <w:pPr>
        <w:spacing w:before="271" w:line="230" w:lineRule="auto"/>
        <w:ind w:left="592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16"/>
          <w:sz w:val="28"/>
          <w:szCs w:val="28"/>
        </w:rPr>
        <w:t>o</w:t>
      </w:r>
      <w:r>
        <w:rPr>
          <w:rFonts w:ascii="FangSong" w:eastAsia="FangSong" w:hAnsi="FangSong" w:cs="FangSong"/>
          <w:spacing w:val="16"/>
          <w:sz w:val="28"/>
          <w:szCs w:val="28"/>
        </w:rPr>
        <w:t>受理各类客户申告</w:t>
      </w:r>
      <w:r>
        <w:rPr>
          <w:rFonts w:ascii="FangSong" w:eastAsia="FangSong" w:hAnsi="FangSong" w:cs="FangSong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877   </w:t>
      </w:r>
      <w:r>
        <w:rPr>
          <w:rFonts w:ascii="FangSong" w:eastAsia="FangSong" w:hAnsi="FangSong" w:cs="FangSong"/>
          <w:spacing w:val="16"/>
          <w:sz w:val="28"/>
          <w:szCs w:val="28"/>
        </w:rPr>
        <w:t>单，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6"/>
          <w:sz w:val="28"/>
          <w:szCs w:val="28"/>
        </w:rPr>
        <w:t>其中属于操作咨询类问题占</w:t>
      </w:r>
    </w:p>
    <w:p>
      <w:pPr>
        <w:spacing w:before="322" w:line="215" w:lineRule="auto"/>
        <w:ind w:left="999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78.36%</w:t>
      </w:r>
      <w:r>
        <w:rPr>
          <w:rFonts w:ascii="FangSong" w:eastAsia="FangSong" w:hAnsi="FangSong" w:cs="FangSong"/>
          <w:spacing w:val="-2"/>
          <w:sz w:val="28"/>
          <w:szCs w:val="28"/>
        </w:rPr>
        <w:t>。</w:t>
      </w:r>
    </w:p>
    <w:p>
      <w:pPr>
        <w:spacing w:before="251" w:line="233" w:lineRule="auto"/>
        <w:ind w:left="35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4.3</w:t>
      </w:r>
      <w:r>
        <w:rPr>
          <w:rFonts w:ascii="Times New Roman" w:eastAsia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现场处理</w:t>
      </w:r>
    </w:p>
    <w:p>
      <w:pPr>
        <w:spacing w:before="271" w:line="232" w:lineRule="auto"/>
        <w:ind w:left="592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1"/>
          <w:sz w:val="28"/>
          <w:szCs w:val="28"/>
        </w:rPr>
        <w:t>o</w:t>
      </w:r>
      <w:r>
        <w:rPr>
          <w:rFonts w:ascii="FangSong" w:eastAsia="FangSong" w:hAnsi="FangSong" w:cs="FangSong"/>
          <w:spacing w:val="-1"/>
          <w:sz w:val="28"/>
          <w:szCs w:val="28"/>
        </w:rPr>
        <w:t>处理重要事件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58 </w:t>
      </w:r>
      <w:r>
        <w:rPr>
          <w:rFonts w:ascii="FangSong" w:eastAsia="FangSong" w:hAnsi="FangSong" w:cs="FangSong"/>
          <w:spacing w:val="-1"/>
          <w:sz w:val="28"/>
          <w:szCs w:val="28"/>
        </w:rPr>
        <w:t>件，重要事件平均处理时长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75.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分钟。</w:t>
      </w:r>
    </w:p>
    <w:p>
      <w:pPr>
        <w:spacing w:before="272" w:line="233" w:lineRule="auto"/>
        <w:ind w:left="35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4.4</w:t>
      </w:r>
      <w:r>
        <w:rPr>
          <w:rFonts w:ascii="Times New Roman" w:eastAsia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现场监督</w:t>
      </w:r>
    </w:p>
    <w:p>
      <w:pPr>
        <w:spacing w:before="270" w:line="411" w:lineRule="auto"/>
        <w:ind w:left="1006" w:right="539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1"/>
          <w:sz w:val="28"/>
          <w:szCs w:val="28"/>
        </w:rPr>
        <w:t>o</w:t>
      </w:r>
      <w:r>
        <w:rPr>
          <w:rFonts w:ascii="FangSong" w:eastAsia="FangSong" w:hAnsi="FangSong" w:cs="FangSong"/>
          <w:spacing w:val="-1"/>
          <w:sz w:val="28"/>
          <w:szCs w:val="28"/>
        </w:rPr>
        <w:t>完成了大厅网管巡视工作共</w:t>
      </w:r>
      <w:r>
        <w:rPr>
          <w:rFonts w:ascii="FangSong" w:eastAsia="FangSong" w:hAnsi="FangSong" w:cs="FangSong"/>
          <w:spacing w:val="-6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780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项，机房巡视</w:t>
      </w:r>
      <w:r>
        <w:rPr>
          <w:rFonts w:ascii="FangSong" w:eastAsia="FangSong" w:hAnsi="FangSong" w:cs="FangSong"/>
          <w:spacing w:val="-2"/>
          <w:sz w:val="28"/>
          <w:szCs w:val="28"/>
        </w:rPr>
        <w:t>工作总量工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736</w:t>
      </w:r>
      <w:r>
        <w:rPr>
          <w:rFonts w:ascii="FangSong" w:eastAsia="FangSong" w:hAnsi="FangSong" w:cs="FangSong"/>
          <w:spacing w:val="-3"/>
          <w:sz w:val="28"/>
          <w:szCs w:val="28"/>
        </w:rPr>
        <w:t>次，变电站试话总数共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821</w:t>
      </w:r>
      <w:r>
        <w:rPr>
          <w:rFonts w:ascii="Times New Roman" w:eastAsia="Times New Roman" w:hAnsi="Times New Roman" w:cs="Times New Roman"/>
          <w:spacing w:val="66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个，检修协助处理工作量共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946</w:t>
      </w:r>
      <w:r>
        <w:rPr>
          <w:rFonts w:ascii="FangSong" w:eastAsia="FangSong" w:hAnsi="FangSong" w:cs="FangSong"/>
          <w:spacing w:val="-3"/>
          <w:sz w:val="28"/>
          <w:szCs w:val="28"/>
        </w:rPr>
        <w:t>项，故障协助处理共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117</w:t>
      </w:r>
      <w:r>
        <w:rPr>
          <w:rFonts w:ascii="Times New Roman" w:eastAsia="Times New Roman" w:hAnsi="Times New Roman" w:cs="Times New Roman"/>
          <w:spacing w:val="60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项，协助值长处理调度联络工作共</w:t>
      </w:r>
    </w:p>
    <w:p>
      <w:pPr>
        <w:spacing w:before="2" w:line="234" w:lineRule="auto"/>
        <w:ind w:left="1002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>587</w:t>
      </w:r>
      <w:r>
        <w:rPr>
          <w:rFonts w:ascii="Times New Roman" w:eastAsia="Times New Roman" w:hAnsi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项。</w:t>
      </w:r>
    </w:p>
    <w:p>
      <w:pPr>
        <w:spacing w:before="268" w:line="412" w:lineRule="auto"/>
        <w:ind w:left="1006" w:right="540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3"/>
          <w:sz w:val="28"/>
          <w:szCs w:val="28"/>
        </w:rPr>
        <w:t>o</w:t>
      </w:r>
      <w:r>
        <w:rPr>
          <w:rFonts w:ascii="FangSong" w:eastAsia="FangSong" w:hAnsi="FangSong" w:cs="FangSong"/>
          <w:spacing w:val="-3"/>
          <w:sz w:val="28"/>
          <w:szCs w:val="28"/>
        </w:rPr>
        <w:t>第二季度信息通信系统运行稳定，故障或告警能在第一时间发</w:t>
      </w:r>
      <w:r>
        <w:rPr>
          <w:rFonts w:ascii="FangSong" w:eastAsia="FangSong" w:hAnsi="FangSong" w:cs="FangSong"/>
          <w:spacing w:val="1"/>
          <w:sz w:val="28"/>
          <w:szCs w:val="28"/>
        </w:rPr>
        <w:t>现并及时处理，未发生过严重事故，也未发生因监控人员工</w:t>
      </w:r>
      <w:r>
        <w:rPr>
          <w:rFonts w:ascii="FangSong" w:eastAsia="FangSong" w:hAnsi="FangSong" w:cs="FangSong"/>
          <w:spacing w:val="-3"/>
          <w:sz w:val="28"/>
          <w:szCs w:val="28"/>
        </w:rPr>
        <w:t>作不到位或工作疏忽而被国网考核事件。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3"/>
          <w:footerReference w:type="default" r:id="rId24"/>
          <w:pgSz w:w="11907" w:h="16839"/>
          <w:pgMar w:top="1889" w:right="1260" w:bottom="1716" w:left="1771" w:header="805" w:footer="991" w:gutter="0"/>
          <w:cols w:space="720"/>
        </w:sectPr>
      </w:pPr>
    </w:p>
    <w:p>
      <w:pPr>
        <w:spacing w:before="126" w:line="411" w:lineRule="auto"/>
        <w:ind w:left="592" w:right="57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3"/>
          <w:sz w:val="28"/>
          <w:szCs w:val="28"/>
        </w:rPr>
        <w:t>o</w:t>
      </w:r>
      <w:r>
        <w:rPr>
          <w:rFonts w:ascii="FangSong" w:eastAsia="FangSong" w:hAnsi="FangSong" w:cs="FangSong"/>
          <w:spacing w:val="-3"/>
          <w:sz w:val="28"/>
          <w:szCs w:val="28"/>
        </w:rPr>
        <w:t>监控组在监控数据治理、调度监控辅助工作开发、信息通信系</w:t>
      </w:r>
      <w:r>
        <w:rPr>
          <w:rFonts w:ascii="FangSong" w:eastAsia="FangSong" w:hAnsi="FangSong" w:cs="FangSong"/>
          <w:spacing w:val="-13"/>
          <w:sz w:val="28"/>
          <w:szCs w:val="28"/>
        </w:rPr>
        <w:t>统保障、</w:t>
      </w:r>
    </w:p>
    <w:p>
      <w:pPr>
        <w:spacing w:before="1" w:line="411" w:lineRule="auto"/>
        <w:ind w:left="893" w:right="59" w:hanging="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地市调度运行规范性督查、技能交流与提升</w:t>
      </w:r>
      <w:r>
        <w:rPr>
          <w:rFonts w:ascii="FangSong" w:eastAsia="FangSong" w:hAnsi="FangSong" w:cs="FangSong"/>
          <w:spacing w:val="-5"/>
          <w:sz w:val="28"/>
          <w:szCs w:val="28"/>
        </w:rPr>
        <w:t>等五大方面的专项</w:t>
      </w:r>
      <w:r>
        <w:rPr>
          <w:rFonts w:ascii="FangSong" w:eastAsia="FangSong" w:hAnsi="FangSong" w:cs="FangSong"/>
          <w:spacing w:val="-4"/>
          <w:sz w:val="28"/>
          <w:szCs w:val="28"/>
        </w:rPr>
        <w:t>工作中均获得主业的认可与肯定。</w:t>
      </w:r>
    </w:p>
    <w:p>
      <w:pPr>
        <w:spacing w:before="5" w:line="411" w:lineRule="auto"/>
        <w:ind w:left="43" w:firstLine="43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湖南同飞电力客服作为连接客户、用户与后端</w:t>
      </w:r>
      <w:r>
        <w:rPr>
          <w:rFonts w:ascii="FangSong" w:eastAsia="FangSong" w:hAnsi="FangSong" w:cs="FangSong"/>
          <w:sz w:val="28"/>
          <w:szCs w:val="28"/>
        </w:rPr>
        <w:t>服务团队的窗口与</w:t>
      </w:r>
      <w:r>
        <w:rPr>
          <w:rFonts w:ascii="FangSong" w:eastAsia="FangSong" w:hAnsi="FangSong" w:cs="FangSong"/>
          <w:spacing w:val="-4"/>
          <w:sz w:val="28"/>
          <w:szCs w:val="28"/>
        </w:rPr>
        <w:t>桥梁，将持续进行运维能力及质量指标的收集与监督工作，完善运维</w:t>
      </w:r>
      <w:r>
        <w:rPr>
          <w:rFonts w:ascii="FangSong" w:eastAsia="FangSong" w:hAnsi="FangSong" w:cs="FangSong"/>
          <w:spacing w:val="-3"/>
          <w:sz w:val="28"/>
          <w:szCs w:val="28"/>
        </w:rPr>
        <w:t>工具，研发客服移动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APP</w:t>
      </w:r>
      <w:r>
        <w:rPr>
          <w:rFonts w:ascii="FangSong" w:eastAsia="FangSong" w:hAnsi="FangSong" w:cs="FangSong"/>
          <w:spacing w:val="-3"/>
          <w:sz w:val="28"/>
          <w:szCs w:val="28"/>
        </w:rPr>
        <w:t>，加强与客户的沟通，以客户满意为宗旨，</w:t>
      </w:r>
      <w:r>
        <w:rPr>
          <w:rFonts w:ascii="FangSong" w:eastAsia="FangSong" w:hAnsi="FangSong" w:cs="FangSong"/>
          <w:spacing w:val="-3"/>
          <w:sz w:val="28"/>
          <w:szCs w:val="28"/>
        </w:rPr>
        <w:t>持续为客户提供优质的运维服务。</w:t>
      </w:r>
    </w:p>
    <w:sectPr>
      <w:headerReference w:type="default" r:id="rId25"/>
      <w:footerReference w:type="default" r:id="rId26"/>
      <w:pgSz w:w="11907" w:h="16839"/>
      <w:pgMar w:top="1935" w:right="1740" w:bottom="1716" w:left="1771" w:header="805" w:footer="9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5" w:lineRule="exact"/>
      <w:ind w:firstLine="28"/>
    </w:pPr>
    <w:r>
      <w:rPr>
        <w:position w:val="-14"/>
      </w:rPr>
      <w:drawing>
        <wp:inline distT="0" distB="0" distL="0" distR="0">
          <wp:extent cx="1485900" cy="45402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4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5" w:lineRule="exact"/>
      <w:ind w:firstLine="361"/>
    </w:pPr>
    <w:r>
      <w:rPr>
        <w:position w:val="-14"/>
      </w:rPr>
      <w:drawing>
        <wp:inline distT="0" distB="0" distL="0" distR="0">
          <wp:extent cx="1485900" cy="45402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4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5" w:lineRule="exact"/>
      <w:ind w:firstLine="28"/>
    </w:pPr>
    <w:r>
      <w:rPr>
        <w:position w:val="-14"/>
      </w:rPr>
      <w:drawing>
        <wp:inline distT="0" distB="0" distL="0" distR="0">
          <wp:extent cx="1485900" cy="454025"/>
          <wp:effectExtent l="0" t="0" r="0" b="0"/>
          <wp:docPr id="591791619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4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5" w:lineRule="exact"/>
      <w:ind w:firstLine="28"/>
    </w:pPr>
    <w:r>
      <w:rPr>
        <w:position w:val="-14"/>
      </w:rPr>
      <w:drawing>
        <wp:inline distT="0" distB="0" distL="0" distR="0">
          <wp:extent cx="1485900" cy="454025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4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5" w:lineRule="exact"/>
      <w:ind w:firstLine="28"/>
    </w:pPr>
    <w:r>
      <w:rPr>
        <w:position w:val="-14"/>
      </w:rPr>
      <w:drawing>
        <wp:inline distT="0" distB="0" distL="0" distR="0">
          <wp:extent cx="1485900" cy="454025"/>
          <wp:effectExtent l="0" t="0" r="0" b="0"/>
          <wp:docPr id="1519988199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4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5" w:lineRule="exact"/>
      <w:ind w:firstLine="28"/>
    </w:pPr>
    <w:r>
      <w:rPr>
        <w:position w:val="-14"/>
      </w:rPr>
      <w:drawing>
        <wp:inline distT="0" distB="0" distL="0" distR="0">
          <wp:extent cx="1485900" cy="454025"/>
          <wp:effectExtent l="0" t="0" r="0" b="0"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4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5" w:lineRule="exact"/>
      <w:ind w:firstLine="28"/>
    </w:pPr>
    <w:r>
      <w:rPr>
        <w:position w:val="-14"/>
      </w:rPr>
      <w:drawing>
        <wp:inline distT="0" distB="0" distL="0" distR="0">
          <wp:extent cx="1485900" cy="454025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4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5" w:lineRule="exact"/>
      <w:ind w:firstLine="28"/>
    </w:pPr>
    <w:r>
      <w:rPr>
        <w:position w:val="-14"/>
      </w:rPr>
      <w:drawing>
        <wp:inline distT="0" distB="0" distL="0" distR="0">
          <wp:extent cx="1485900" cy="454025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4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49" style="height:0.75pt;margin-left:88.58pt;margin-top:93.62pt;mso-position-horizontal-relative:page;mso-position-vertical-relative:page;position:absolute;width:418.3pt;z-index:251661312" coordorigin="0,0" coordsize="8365,15" o:allowincell="f" path="m,14l8365,14l8365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42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0" style="height:0.75pt;margin-left:88.58pt;margin-top:93.62pt;mso-position-horizontal-relative:page;mso-position-vertical-relative:page;position:absolute;width:418.3pt;z-index:251665408" coordorigin="0,0" coordsize="8365,15" o:allowincell="f" path="m,14l8365,14l8365,l,l,14xe" fillcolor="black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76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1" style="height:0.75pt;margin-left:88.58pt;margin-top:93.62pt;mso-position-horizontal-relative:page;mso-position-vertical-relative:page;position:absolute;width:418.3pt;z-index:251662336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1424437960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42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2" style="height:0.75pt;margin-left:88.58pt;margin-top:93.62pt;mso-position-horizontal-relative:page;mso-position-vertical-relative:page;position:absolute;width:418.3pt;z-index:251667456" coordorigin="0,0" coordsize="8365,15" o:allowincell="f" path="m,14l8365,14l8365,l,l,14xe" fillcolor="black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42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3" style="height:0.75pt;margin-left:88.58pt;margin-top:93.62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51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4" style="height:0.75pt;margin-left:88.58pt;margin-top:93.62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1342792993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42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5" style="height:0.75pt;margin-left:88.58pt;margin-top:93.62pt;mso-position-horizontal-relative:page;mso-position-vertical-relative:page;position:absolute;width:418.3pt;z-index:251671552" coordorigin="0,0" coordsize="8365,15" o:allowincell="f" path="m,14l8365,14l8365,l,l,14xe" fillcolor="black"/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42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6" style="height:0.75pt;margin-left:88.58pt;margin-top:93.62pt;mso-position-horizontal-relative:page;mso-position-vertical-relative:page;position:absolute;width:418.3pt;z-index:251673600" coordorigin="0,0" coordsize="8365,15" o:allowincell="f" path="m,14l8365,14l8365,l,l,14xe" fillcolor="black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42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7" style="height:0.75pt;margin-left:88.58pt;margin-top:93.62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1172210</wp:posOffset>
          </wp:positionH>
          <wp:positionV relativeFrom="page">
            <wp:posOffset>542290</wp:posOffset>
          </wp:positionV>
          <wp:extent cx="871219" cy="60198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1219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0" w:lineRule="auto"/>
    </w:pPr>
  </w:p>
  <w:p>
    <w:pPr>
      <w:pStyle w:val="BodyText"/>
      <w:spacing w:line="260" w:lineRule="auto"/>
    </w:pPr>
  </w:p>
  <w:p>
    <w:pPr>
      <w:spacing w:before="59" w:line="217" w:lineRule="auto"/>
      <w:ind w:left="542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image" Target="media/image3.png" /><Relationship Id="rId13" Type="http://schemas.openxmlformats.org/officeDocument/2006/relationships/image" Target="media/image2.png" /><Relationship Id="rId14" Type="http://schemas.openxmlformats.org/officeDocument/2006/relationships/image" Target="media/image4.png" /><Relationship Id="rId15" Type="http://schemas.openxmlformats.org/officeDocument/2006/relationships/header" Target="header5.xml" /><Relationship Id="rId16" Type="http://schemas.openxmlformats.org/officeDocument/2006/relationships/footer" Target="footer5.xml" /><Relationship Id="rId17" Type="http://schemas.openxmlformats.org/officeDocument/2006/relationships/image" Target="media/image5.jpeg" /><Relationship Id="rId18" Type="http://schemas.openxmlformats.org/officeDocument/2006/relationships/header" Target="header6.xml" /><Relationship Id="rId19" Type="http://schemas.openxmlformats.org/officeDocument/2006/relationships/footer" Target="footer6.xml" /><Relationship Id="rId2" Type="http://schemas.openxmlformats.org/officeDocument/2006/relationships/webSettings" Target="webSettings.xml" /><Relationship Id="rId20" Type="http://schemas.openxmlformats.org/officeDocument/2006/relationships/header" Target="header7.xml" /><Relationship Id="rId21" Type="http://schemas.openxmlformats.org/officeDocument/2006/relationships/footer" Target="footer7.xml" /><Relationship Id="rId22" Type="http://schemas.openxmlformats.org/officeDocument/2006/relationships/image" Target="media/image6.jpeg" /><Relationship Id="rId23" Type="http://schemas.openxmlformats.org/officeDocument/2006/relationships/header" Target="header8.xml" /><Relationship Id="rId24" Type="http://schemas.openxmlformats.org/officeDocument/2006/relationships/footer" Target="footer8.xml" /><Relationship Id="rId25" Type="http://schemas.openxmlformats.org/officeDocument/2006/relationships/header" Target="header9.xml" /><Relationship Id="rId26" Type="http://schemas.openxmlformats.org/officeDocument/2006/relationships/footer" Target="footer9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2023-07-25T23:23:25Z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2025-12-03T15:21:13Z</vt:filetime>
  </property>
  <property fmtid="{D5CDD505-2E9C-101B-9397-08002B2CF9AE}" pid="3" name="CRO">
    <vt:lpwstr>wqlLaW5nc29mdCBQREYgdG8gV1BTIDExNQ</vt:lpwstr>
  </property>
</Properties>
</file>