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line="245" w:lineRule="auto"/>
      </w:pPr>
    </w:p>
    <w:p>
      <w:pPr>
        <w:spacing w:before="234" w:line="217" w:lineRule="auto"/>
        <w:ind w:left="1701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供应商管理制度</w:t>
      </w:r>
    </w:p>
    <w:p>
      <w:pPr>
        <w:pStyle w:val="BodyText"/>
        <w:spacing w:line="444" w:lineRule="auto"/>
      </w:pPr>
    </w:p>
    <w:p>
      <w:pPr>
        <w:spacing w:before="91" w:line="232" w:lineRule="auto"/>
        <w:ind w:left="293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（YNTD-ITSS-1202）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101" w:line="223" w:lineRule="auto"/>
        <w:ind w:left="1651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6" w:right="1769" w:bottom="1711" w:left="1771" w:header="803" w:footer="993" w:gutter="0"/>
          <w:cols w:space="720"/>
        </w:sectPr>
      </w:pPr>
    </w:p>
    <w:p>
      <w:pPr>
        <w:pStyle w:val="BodyText"/>
        <w:spacing w:line="409" w:lineRule="auto"/>
      </w:pPr>
    </w:p>
    <w:p>
      <w:pPr>
        <w:spacing w:before="97" w:line="220" w:lineRule="auto"/>
        <w:ind w:left="287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文件编制和变更历史记录</w:t>
      </w:r>
    </w:p>
    <w:p>
      <w:pPr>
        <w:spacing w:before="19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4"/>
        <w:gridCol w:w="1381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2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25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4" w:lineRule="auto"/>
              <w:ind w:left="6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1"/>
                <w:szCs w:val="21"/>
              </w:rPr>
              <w:t>/</w:t>
            </w:r>
            <w:r>
              <w:rPr>
                <w:b/>
                <w:bCs/>
                <w:spacing w:val="-4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0" w:lineRule="auto"/>
              <w:ind w:left="95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91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7" w:line="221" w:lineRule="auto"/>
              <w:ind w:left="94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1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25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315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513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3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53" w:line="221" w:lineRule="auto"/>
              <w:ind w:left="467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1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65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23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237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238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37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38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37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238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7" w:line="219" w:lineRule="auto"/>
              <w:ind w:left="424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9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59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158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59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59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59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58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</w:tcPr>
          <w:p>
            <w:pPr>
              <w:spacing w:before="159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1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58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95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64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4" w:line="220" w:lineRule="auto"/>
              <w:ind w:left="252"/>
            </w:pPr>
            <w:r>
              <w:rPr>
                <w:spacing w:val="-3"/>
              </w:rPr>
              <w:t>杨洁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64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4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64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64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64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1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64" w:line="220" w:lineRule="auto"/>
              <w:ind w:left="601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07" w:h="16839"/>
          <w:pgMar w:top="2136" w:right="1437" w:bottom="1711" w:left="1438" w:header="803" w:footer="993" w:gutter="0"/>
          <w:cols w:space="720"/>
        </w:sectPr>
      </w:pPr>
    </w:p>
    <w:p>
      <w:pPr>
        <w:pStyle w:val="BodyText"/>
        <w:spacing w:line="471" w:lineRule="auto"/>
      </w:pPr>
    </w:p>
    <w:sdt>
      <w:sdtPr>
        <w:rPr>
          <w:rFonts w:ascii="SimSun" w:eastAsia="SimSun" w:hAnsi="SimSun" w:cs="SimSun"/>
          <w:sz w:val="28"/>
          <w:szCs w:val="28"/>
        </w:rPr>
        <w:id w:val="1402831802"/>
        <w:docPartObj>
          <w:docPartGallery w:val="Table of Contents"/>
          <w:docPartUnique/>
        </w:docPartObj>
      </w:sdtPr>
      <w:sdtEndPr>
        <w:rPr>
          <w:rFonts w:ascii="SimSun" w:eastAsia="SimSun" w:hAnsi="SimSun" w:cs="SimSun"/>
          <w:sz w:val="22"/>
          <w:szCs w:val="22"/>
        </w:rPr>
      </w:sdtEndPr>
      <w:sdtContent>
        <w:p>
          <w:pPr>
            <w:spacing w:before="91" w:line="222" w:lineRule="auto"/>
            <w:ind w:left="3881"/>
            <w:rPr>
              <w:rFonts w:ascii="SimSun" w:eastAsia="SimSun" w:hAnsi="SimSun" w:cs="SimSun"/>
              <w:sz w:val="28"/>
              <w:szCs w:val="28"/>
            </w:rPr>
          </w:pP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目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录</w:t>
          </w: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4" w:lineRule="auto"/>
          </w:pPr>
        </w:p>
        <w:p>
          <w:pPr>
            <w:pStyle w:val="BodyText"/>
            <w:spacing w:line="265" w:lineRule="auto"/>
          </w:pPr>
        </w:p>
        <w:p>
          <w:pPr>
            <w:pStyle w:val="BodyText"/>
            <w:spacing w:line="265" w:lineRule="auto"/>
          </w:pPr>
        </w:p>
        <w:p>
          <w:pPr>
            <w:pStyle w:val="BodyText"/>
            <w:tabs>
              <w:tab w:val="right" w:leader="dot" w:pos="8312"/>
            </w:tabs>
            <w:spacing w:before="78" w:line="197" w:lineRule="auto"/>
            <w:ind w:left="453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b/>
              <w:bCs/>
              <w:spacing w:val="-27"/>
              <w:sz w:val="24"/>
              <w:szCs w:val="24"/>
            </w:rPr>
            <w:t>1</w:t>
          </w:r>
          <w:r>
            <w:rPr>
              <w:b/>
              <w:bCs/>
              <w:spacing w:val="2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27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spacing w:val="-10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3" w:line="197" w:lineRule="auto"/>
            <w:ind w:left="443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b/>
              <w:bCs/>
              <w:spacing w:val="-6"/>
              <w:sz w:val="24"/>
              <w:szCs w:val="24"/>
            </w:rPr>
            <w:t>3</w:t>
          </w:r>
          <w:r>
            <w:rPr>
              <w:b/>
              <w:bCs/>
              <w:spacing w:val="6"/>
              <w:sz w:val="24"/>
              <w:szCs w:val="24"/>
            </w:rPr>
            <w:t xml:space="preserve">       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适用范围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4" w:line="197" w:lineRule="auto"/>
            <w:ind w:left="443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b/>
              <w:bCs/>
              <w:spacing w:val="-7"/>
              <w:sz w:val="24"/>
              <w:szCs w:val="24"/>
            </w:rPr>
            <w:t>3</w:t>
          </w:r>
          <w:r>
            <w:rPr>
              <w:b/>
              <w:bCs/>
              <w:spacing w:val="7"/>
              <w:sz w:val="24"/>
              <w:szCs w:val="24"/>
            </w:rPr>
            <w:t xml:space="preserve">   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角色与职责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1" w:line="197" w:lineRule="auto"/>
            <w:ind w:left="43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b/>
              <w:bCs/>
              <w:spacing w:val="-4"/>
              <w:sz w:val="24"/>
              <w:szCs w:val="24"/>
            </w:rPr>
            <w:t xml:space="preserve">4        </w:t>
          </w:r>
          <w:r>
            <w:rPr>
              <w:rFonts w:ascii="FangSong" w:eastAsia="FangSong" w:hAnsi="FangSong" w:cs="FangSong"/>
              <w:b/>
              <w:bCs/>
              <w:spacing w:val="-4"/>
              <w:sz w:val="24"/>
              <w:szCs w:val="24"/>
            </w:rPr>
            <w:t>管理流程</w:t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2" w:line="232" w:lineRule="auto"/>
            <w:ind w:left="64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4.1</w:t>
          </w:r>
          <w:r>
            <w:rPr>
              <w:spacing w:val="4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供应商的选定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189" w:line="231" w:lineRule="auto"/>
            <w:ind w:left="64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4.2</w:t>
          </w:r>
          <w:r>
            <w:rPr>
              <w:spacing w:val="3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供应商评价指标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61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190" w:line="197" w:lineRule="auto"/>
            <w:ind w:left="64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4.3</w:t>
          </w:r>
          <w:r>
            <w:rPr>
              <w:spacing w:val="3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供应商产品质量监控</w:t>
          </w:r>
          <w:r>
            <w:rPr>
              <w:rFonts w:ascii="FangSong" w:eastAsia="FangSong" w:hAnsi="FangSong" w:cs="FangSong"/>
              <w:spacing w:val="-3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1" w:line="197" w:lineRule="auto"/>
            <w:ind w:left="64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</w:t>
          </w:r>
          <w:r>
            <w:rPr>
              <w:spacing w:val="4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供应商定期评估与考核</w:t>
          </w:r>
          <w:r>
            <w:rPr>
              <w:rFonts w:ascii="FangSong" w:eastAsia="FangSong" w:hAnsi="FangSong" w:cs="FangSong"/>
              <w:spacing w:val="-58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7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3" w:line="197" w:lineRule="auto"/>
            <w:ind w:left="106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 xml:space="preserve">4.4.1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供应商评估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4" w:line="197" w:lineRule="auto"/>
            <w:ind w:left="106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 xml:space="preserve">4.4.2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供应商分级标准</w:t>
          </w:r>
          <w:r>
            <w:rPr>
              <w:rFonts w:ascii="FangSong" w:eastAsia="FangSong" w:hAnsi="FangSong" w:cs="FangSong"/>
              <w:spacing w:val="-39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SimSun" w:eastAsia="SimSun" w:hAnsi="SimSun" w:cs="SimSun"/>
              <w:sz w:val="22"/>
              <w:szCs w:val="22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8312"/>
            </w:tabs>
            <w:spacing w:before="234" w:line="197" w:lineRule="auto"/>
            <w:ind w:left="1068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 xml:space="preserve">4.4.3 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供应商考核结果的处理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SimSun" w:eastAsia="SimSun" w:hAnsi="SimSun" w:cs="SimSun"/>
              <w:spacing w:val="23"/>
              <w:w w:val="125"/>
              <w:sz w:val="22"/>
              <w:szCs w:val="22"/>
            </w:rPr>
            <w:t>6</w:t>
          </w:r>
        </w:p>
        <w:p>
          <w:pPr>
            <w:pStyle w:val="BodyText"/>
            <w:tabs>
              <w:tab w:val="right" w:leader="dot" w:pos="8312"/>
            </w:tabs>
            <w:spacing w:before="230" w:line="230" w:lineRule="auto"/>
            <w:ind w:left="444"/>
            <w:rPr>
              <w:rFonts w:ascii="SimSun" w:eastAsia="SimSun" w:hAnsi="SimSun" w:cs="SimSun"/>
              <w:sz w:val="22"/>
              <w:szCs w:val="22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b/>
              <w:bCs/>
              <w:spacing w:val="-7"/>
              <w:sz w:val="24"/>
              <w:szCs w:val="24"/>
            </w:rPr>
            <w:t>5</w:t>
          </w:r>
          <w:r>
            <w:rPr>
              <w:b/>
              <w:bCs/>
              <w:spacing w:val="7"/>
              <w:sz w:val="24"/>
              <w:szCs w:val="24"/>
            </w:rPr>
            <w:t xml:space="preserve">   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相关文件</w:t>
          </w:r>
          <w:r>
            <w:rPr>
              <w:rFonts w:ascii="FangSong" w:eastAsia="FangSong" w:hAnsi="FangSong" w:cs="FangSong"/>
              <w:spacing w:val="-5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SimSun" w:eastAsia="SimSun" w:hAnsi="SimSun" w:cs="SimSun"/>
              <w:spacing w:val="24"/>
              <w:w w:val="125"/>
              <w:sz w:val="22"/>
              <w:szCs w:val="22"/>
            </w:rPr>
            <w:t>6</w:t>
          </w:r>
        </w:p>
      </w:sdtContent>
    </w:sdt>
    <w:p>
      <w:pPr>
        <w:spacing w:line="230" w:lineRule="auto"/>
        <w:rPr>
          <w:rFonts w:ascii="SimSun" w:eastAsia="SimSun" w:hAnsi="SimSun" w:cs="SimSun"/>
          <w:sz w:val="22"/>
          <w:szCs w:val="22"/>
        </w:rPr>
        <w:sectPr>
          <w:headerReference w:type="default" r:id="rId8"/>
          <w:footerReference w:type="default" r:id="rId9"/>
          <w:pgSz w:w="11907" w:h="16839"/>
          <w:pgMar w:top="1584" w:right="1785" w:bottom="1555" w:left="1785" w:header="510" w:footer="741" w:gutter="0"/>
          <w:cols w:space="720"/>
        </w:sectPr>
      </w:pPr>
    </w:p>
    <w:p>
      <w:pPr>
        <w:pStyle w:val="BodyText"/>
        <w:spacing w:line="287" w:lineRule="auto"/>
      </w:pPr>
    </w:p>
    <w:p>
      <w:pPr>
        <w:pStyle w:val="BodyText"/>
        <w:spacing w:line="287" w:lineRule="auto"/>
      </w:pPr>
    </w:p>
    <w:p>
      <w:pPr>
        <w:spacing w:before="100"/>
        <w:ind w:left="37"/>
        <w:rPr>
          <w:rFonts w:ascii="SimHei" w:eastAsia="SimHei" w:hAnsi="SimHei" w:cs="SimHei"/>
          <w:sz w:val="31"/>
          <w:szCs w:val="31"/>
        </w:rPr>
      </w:pPr>
      <w:bookmarkStart w:id="0" w:name="bookmark13"/>
      <w:bookmarkEnd w:id="0"/>
      <w:r>
        <w:rPr>
          <w:rFonts w:ascii="Times New Roman" w:eastAsia="Times New Roman" w:hAnsi="Times New Roman" w:cs="Times New Roman"/>
          <w:spacing w:val="-12"/>
          <w:sz w:val="31"/>
          <w:szCs w:val="31"/>
        </w:rPr>
        <w:t>1.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 xml:space="preserve">   </w:t>
      </w:r>
      <w:r>
        <w:rPr>
          <w:rFonts w:ascii="SimHei" w:eastAsia="SimHei" w:hAnsi="SimHei" w:cs="SimHei"/>
          <w:spacing w:val="-12"/>
          <w:sz w:val="31"/>
          <w:szCs w:val="31"/>
        </w:rPr>
        <w:t>目的</w:t>
      </w:r>
    </w:p>
    <w:p>
      <w:pPr>
        <w:pStyle w:val="BodyText"/>
        <w:spacing w:line="345" w:lineRule="auto"/>
      </w:pPr>
    </w:p>
    <w:p>
      <w:pPr>
        <w:spacing w:before="78" w:line="378" w:lineRule="auto"/>
        <w:ind w:left="22" w:firstLine="41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对备件供应商进行评估和考核，并选择合格的备件供应商，确保备件供应商所提供的</w:t>
      </w:r>
      <w:r>
        <w:rPr>
          <w:rFonts w:ascii="FangSong" w:eastAsia="FangSong" w:hAnsi="FangSong" w:cs="FangSong"/>
          <w:spacing w:val="-2"/>
          <w:sz w:val="24"/>
          <w:szCs w:val="24"/>
        </w:rPr>
        <w:t>产品、</w:t>
      </w:r>
      <w:r>
        <w:rPr>
          <w:rFonts w:ascii="FangSong" w:eastAsia="FangSong" w:hAnsi="FangSong" w:cs="FangSong"/>
          <w:spacing w:val="-4"/>
          <w:sz w:val="24"/>
          <w:szCs w:val="24"/>
        </w:rPr>
        <w:t>交付和服务满足公司的要求。</w:t>
      </w:r>
    </w:p>
    <w:p>
      <w:pPr>
        <w:spacing w:before="317"/>
        <w:ind w:left="7"/>
        <w:rPr>
          <w:rFonts w:ascii="SimHei" w:eastAsia="SimHei" w:hAnsi="SimHei" w:cs="SimHei"/>
          <w:sz w:val="31"/>
          <w:szCs w:val="31"/>
        </w:rPr>
      </w:pP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2.</w:t>
      </w:r>
      <w:r>
        <w:rPr>
          <w:rFonts w:ascii="Times New Roman" w:eastAsia="Times New Roman" w:hAnsi="Times New Roman" w:cs="Times New Roman"/>
          <w:spacing w:val="22"/>
          <w:w w:val="101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4"/>
          <w:sz w:val="31"/>
          <w:szCs w:val="31"/>
        </w:rPr>
        <w:t>适用范围</w:t>
      </w:r>
    </w:p>
    <w:p>
      <w:pPr>
        <w:pStyle w:val="BodyText"/>
        <w:spacing w:line="265" w:lineRule="auto"/>
      </w:pPr>
    </w:p>
    <w:p>
      <w:pPr>
        <w:spacing w:before="78" w:line="217" w:lineRule="auto"/>
        <w:ind w:left="37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本制度适用于所有为本公司提供产品或服务的供应商的管理。</w:t>
      </w:r>
    </w:p>
    <w:p>
      <w:pPr>
        <w:pStyle w:val="BodyText"/>
        <w:spacing w:line="343" w:lineRule="auto"/>
      </w:pPr>
    </w:p>
    <w:p>
      <w:pPr>
        <w:spacing w:before="101" w:line="238" w:lineRule="auto"/>
        <w:ind w:left="13"/>
        <w:outlineLvl w:val="0"/>
        <w:rPr>
          <w:rFonts w:ascii="SimHei" w:eastAsia="SimHei" w:hAnsi="SimHei" w:cs="SimHei"/>
          <w:sz w:val="31"/>
          <w:szCs w:val="31"/>
        </w:rPr>
      </w:pPr>
      <w:bookmarkStart w:id="1" w:name="bookmark14"/>
      <w:bookmarkEnd w:id="1"/>
      <w:r>
        <w:rPr>
          <w:rFonts w:ascii="Times New Roman" w:eastAsia="Times New Roman" w:hAnsi="Times New Roman" w:cs="Times New Roman"/>
          <w:spacing w:val="3"/>
          <w:sz w:val="31"/>
          <w:szCs w:val="31"/>
        </w:rPr>
        <w:t>3.</w:t>
      </w:r>
      <w:r>
        <w:rPr>
          <w:rFonts w:ascii="Times New Roman" w:eastAsia="Times New Roman" w:hAnsi="Times New Roman" w:cs="Times New Roman"/>
          <w:spacing w:val="26"/>
          <w:sz w:val="31"/>
          <w:szCs w:val="31"/>
        </w:rPr>
        <w:t xml:space="preserve">  </w:t>
      </w:r>
      <w:r>
        <w:rPr>
          <w:rFonts w:ascii="SimHei" w:eastAsia="SimHei" w:hAnsi="SimHei" w:cs="SimHei"/>
          <w:spacing w:val="3"/>
          <w:sz w:val="31"/>
          <w:szCs w:val="31"/>
        </w:rPr>
        <w:t>角色与职责</w:t>
      </w:r>
    </w:p>
    <w:p>
      <w:pPr>
        <w:pStyle w:val="BodyText"/>
        <w:spacing w:line="349" w:lineRule="auto"/>
      </w:pPr>
    </w:p>
    <w:p>
      <w:pPr>
        <w:spacing w:before="78" w:line="216" w:lineRule="auto"/>
        <w:ind w:left="3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总经理：负责供应商评估及考核结果的批准及本制度的批准执行</w:t>
      </w:r>
    </w:p>
    <w:p>
      <w:pPr>
        <w:spacing w:before="207" w:line="217" w:lineRule="auto"/>
        <w:ind w:left="38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通信部：负责提出通信类项目的备品备件采</w:t>
      </w:r>
      <w:r>
        <w:rPr>
          <w:rFonts w:ascii="FangSong" w:eastAsia="FangSong" w:hAnsi="FangSong" w:cs="FangSong"/>
          <w:spacing w:val="-3"/>
          <w:sz w:val="24"/>
          <w:szCs w:val="24"/>
        </w:rPr>
        <w:t>购需求。</w:t>
      </w:r>
    </w:p>
    <w:p>
      <w:pPr>
        <w:spacing w:before="208" w:line="217" w:lineRule="auto"/>
        <w:ind w:left="37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信息部: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负责提出信息类项目的备品备件采购需求。</w:t>
      </w:r>
    </w:p>
    <w:p>
      <w:pPr>
        <w:spacing w:before="207" w:line="216" w:lineRule="auto"/>
        <w:ind w:left="3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综合管理部（库房</w:t>
      </w:r>
      <w:r>
        <w:rPr>
          <w:rFonts w:ascii="FangSong" w:eastAsia="FangSong" w:hAnsi="FangSong" w:cs="FangSong"/>
          <w:sz w:val="24"/>
          <w:szCs w:val="24"/>
        </w:rPr>
        <w:t>）：</w:t>
      </w:r>
      <w:r>
        <w:rPr>
          <w:rFonts w:ascii="FangSong" w:eastAsia="FangSong" w:hAnsi="FangSong" w:cs="FangSong"/>
          <w:spacing w:val="-3"/>
          <w:sz w:val="24"/>
          <w:szCs w:val="24"/>
        </w:rPr>
        <w:t>负责评估、选择</w:t>
      </w:r>
      <w:r>
        <w:rPr>
          <w:rFonts w:ascii="FangSong" w:eastAsia="FangSong" w:hAnsi="FangSong" w:cs="FangSong"/>
          <w:spacing w:val="-7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、考核供应商，完成供应商合同的签署。</w:t>
      </w:r>
    </w:p>
    <w:p>
      <w:pPr>
        <w:spacing w:before="209" w:line="375" w:lineRule="auto"/>
        <w:ind w:left="20" w:right="72" w:firstLine="36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库房管理员：负责制定公司备品备件配置方案并汇总</w:t>
      </w:r>
      <w:r>
        <w:rPr>
          <w:rFonts w:ascii="FangSong" w:eastAsia="FangSong" w:hAnsi="FangSong" w:cs="FangSong"/>
          <w:spacing w:val="-2"/>
          <w:sz w:val="24"/>
          <w:szCs w:val="24"/>
        </w:rPr>
        <w:t>需求，进行验收、出入库的日常账务操</w:t>
      </w:r>
      <w:r>
        <w:rPr>
          <w:rFonts w:ascii="FangSong" w:eastAsia="FangSong" w:hAnsi="FangSong" w:cs="FangSong"/>
          <w:spacing w:val="-3"/>
          <w:sz w:val="24"/>
          <w:szCs w:val="24"/>
        </w:rPr>
        <w:t>作和管理，组织对备品备件的实物盘点。</w:t>
      </w:r>
    </w:p>
    <w:p>
      <w:pPr>
        <w:spacing w:before="1" w:line="217" w:lineRule="auto"/>
        <w:ind w:left="37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备品备件供应商：提供备品备件或服务的供应方（以下简称供应商）。</w:t>
      </w:r>
    </w:p>
    <w:p>
      <w:pPr>
        <w:spacing w:before="248" w:line="412" w:lineRule="exact"/>
        <w:ind w:left="6"/>
        <w:outlineLvl w:val="0"/>
        <w:rPr>
          <w:rFonts w:ascii="SimSun" w:eastAsia="SimSun" w:hAnsi="SimSun" w:cs="SimSun"/>
          <w:sz w:val="31"/>
          <w:szCs w:val="31"/>
        </w:rPr>
      </w:pPr>
      <w:bookmarkStart w:id="2" w:name="bookmark1"/>
      <w:bookmarkEnd w:id="2"/>
      <w:bookmarkStart w:id="3" w:name="bookmark2"/>
      <w:bookmarkEnd w:id="3"/>
      <w:bookmarkStart w:id="4" w:name="bookmark3"/>
      <w:bookmarkEnd w:id="4"/>
      <w:bookmarkStart w:id="5" w:name="bookmark4"/>
      <w:bookmarkEnd w:id="5"/>
      <w:bookmarkStart w:id="6" w:name="bookmark5"/>
      <w:bookmarkEnd w:id="6"/>
      <w:bookmarkStart w:id="7" w:name="bookmark12"/>
      <w:bookmarkEnd w:id="7"/>
      <w:r>
        <w:rPr>
          <w:rFonts w:ascii="Calibri" w:eastAsia="Calibri" w:hAnsi="Calibri" w:cs="Calibri"/>
          <w:b/>
          <w:bCs/>
          <w:spacing w:val="3"/>
          <w:position w:val="1"/>
          <w:sz w:val="31"/>
          <w:szCs w:val="31"/>
        </w:rPr>
        <w:t xml:space="preserve">4.   </w:t>
      </w:r>
      <w:r>
        <w:rPr>
          <w:rFonts w:ascii="SimSun" w:eastAsia="SimSun" w:hAnsi="SimSun" w:cs="SimSun"/>
          <w:b/>
          <w:bCs/>
          <w:spacing w:val="3"/>
          <w:position w:val="1"/>
          <w:sz w:val="31"/>
          <w:szCs w:val="31"/>
        </w:rPr>
        <w:t>管理流程</w:t>
      </w:r>
    </w:p>
    <w:p>
      <w:pPr>
        <w:pStyle w:val="BodyText"/>
        <w:spacing w:before="262" w:line="232" w:lineRule="auto"/>
        <w:ind w:left="568"/>
        <w:outlineLvl w:val="1"/>
        <w:rPr>
          <w:rFonts w:ascii="FangSong" w:eastAsia="FangSong" w:hAnsi="FangSong" w:cs="FangSong"/>
          <w:sz w:val="28"/>
          <w:szCs w:val="28"/>
        </w:rPr>
      </w:pPr>
      <w:bookmarkStart w:id="8" w:name="bookmark15"/>
      <w:bookmarkEnd w:id="8"/>
      <w:r>
        <w:rPr>
          <w:b/>
          <w:bCs/>
          <w:spacing w:val="-2"/>
          <w:sz w:val="28"/>
          <w:szCs w:val="28"/>
        </w:rPr>
        <w:t xml:space="preserve">4.1  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供应商的选定</w:t>
      </w:r>
    </w:p>
    <w:p>
      <w:pPr>
        <w:spacing w:before="238" w:line="215" w:lineRule="auto"/>
        <w:ind w:left="37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备件供应商评估方式分三类为资料评估、样品评估、</w:t>
      </w:r>
      <w:r>
        <w:rPr>
          <w:rFonts w:ascii="FangSong" w:eastAsia="FangSong" w:hAnsi="FangSong" w:cs="FangSong"/>
          <w:spacing w:val="-6"/>
          <w:sz w:val="24"/>
          <w:szCs w:val="24"/>
        </w:rPr>
        <w:t>供应商现场勘查,评估方式的选择如下：</w:t>
      </w:r>
    </w:p>
    <w:p>
      <w:pPr>
        <w:spacing w:before="211" w:line="322" w:lineRule="auto"/>
        <w:ind w:left="15" w:right="71" w:firstLine="46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A．资料评估：采购员要求备件供应商提供营业执照、资质证书、一般纳税证明、产品代理</w:t>
      </w:r>
      <w:r>
        <w:rPr>
          <w:rFonts w:ascii="FangSong" w:eastAsia="FangSong" w:hAnsi="FangSong" w:cs="FangSong"/>
          <w:spacing w:val="-4"/>
          <w:sz w:val="24"/>
          <w:szCs w:val="24"/>
        </w:rPr>
        <w:t>证书（或者生产证书）、上年度财务审计报告等，并向其索取所需的资料，在采购申请</w:t>
      </w:r>
      <w:r>
        <w:rPr>
          <w:rFonts w:ascii="FangSong" w:eastAsia="FangSong" w:hAnsi="FangSong" w:cs="FangSong"/>
          <w:spacing w:val="-5"/>
          <w:sz w:val="24"/>
          <w:szCs w:val="24"/>
        </w:rPr>
        <w:t>中同时提</w:t>
      </w:r>
      <w:r>
        <w:rPr>
          <w:rFonts w:ascii="FangSong" w:eastAsia="FangSong" w:hAnsi="FangSong" w:cs="FangSong"/>
          <w:spacing w:val="-2"/>
          <w:sz w:val="24"/>
          <w:szCs w:val="24"/>
        </w:rPr>
        <w:t>交主管领导进行备件供应商资质审批，批准后可进行询价，并留存档案。</w:t>
      </w:r>
    </w:p>
    <w:p>
      <w:pPr>
        <w:spacing w:before="210" w:line="323" w:lineRule="auto"/>
        <w:ind w:left="25" w:right="77" w:firstLine="45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B.样品评估：备件供应商送样试用，对样品进行检验，对于设备类样品需出具经检验员签字</w:t>
      </w:r>
      <w:r>
        <w:rPr>
          <w:rFonts w:ascii="FangSong" w:eastAsia="FangSong" w:hAnsi="FangSong" w:cs="FangSong"/>
          <w:spacing w:val="1"/>
          <w:sz w:val="24"/>
          <w:szCs w:val="24"/>
        </w:rPr>
        <w:t>的检测报告。样品试用部门主管对样品试用效果进行评定并审核。送样首次不合格的备件供应</w:t>
      </w:r>
      <w:r>
        <w:rPr>
          <w:rFonts w:ascii="FangSong" w:eastAsia="FangSong" w:hAnsi="FangSong" w:cs="FangSong"/>
          <w:spacing w:val="-2"/>
          <w:sz w:val="24"/>
          <w:szCs w:val="24"/>
        </w:rPr>
        <w:t>商责令整改，三次不合格的备件供应商剔除出本次备件供应商选择。</w:t>
      </w:r>
    </w:p>
    <w:p>
      <w:pPr>
        <w:spacing w:before="206" w:line="217" w:lineRule="auto"/>
        <w:ind w:left="4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C.备件供应商现场勘察：综合管理部、通信部、信息部组成采购管理委员会，制定详细的勘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0"/>
          <w:footerReference w:type="default" r:id="rId11"/>
          <w:pgSz w:w="11907" w:h="16841"/>
          <w:pgMar w:top="1584" w:right="915" w:bottom="1555" w:left="992" w:header="510" w:footer="739" w:gutter="0"/>
          <w:cols w:space="720"/>
        </w:sectPr>
      </w:pPr>
    </w:p>
    <w:p>
      <w:pPr>
        <w:pStyle w:val="BodyText"/>
        <w:spacing w:line="277" w:lineRule="auto"/>
      </w:pPr>
    </w:p>
    <w:p>
      <w:pPr>
        <w:spacing w:before="78" w:line="376" w:lineRule="auto"/>
        <w:ind w:left="21" w:right="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2"/>
          <w:sz w:val="24"/>
          <w:szCs w:val="24"/>
        </w:rPr>
        <w:t>察计划与勘察清单，酌情赴备件供应商所在地根</w:t>
      </w:r>
      <w:r>
        <w:rPr>
          <w:rFonts w:ascii="FangSong" w:eastAsia="FangSong" w:hAnsi="FangSong" w:cs="FangSong"/>
          <w:spacing w:val="1"/>
          <w:sz w:val="24"/>
          <w:szCs w:val="24"/>
        </w:rPr>
        <w:t>据勘察计划考察备件供应商，编制勘察报告提</w:t>
      </w:r>
      <w:r>
        <w:rPr>
          <w:rFonts w:ascii="FangSong" w:eastAsia="FangSong" w:hAnsi="FangSong" w:cs="FangSong"/>
          <w:spacing w:val="-6"/>
          <w:sz w:val="24"/>
          <w:szCs w:val="24"/>
        </w:rPr>
        <w:t>交相关领导审批。</w:t>
      </w:r>
    </w:p>
    <w:p>
      <w:pPr>
        <w:spacing w:before="1" w:line="377" w:lineRule="auto"/>
        <w:ind w:left="17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1"/>
          <w:sz w:val="24"/>
          <w:szCs w:val="24"/>
        </w:rPr>
        <w:t>根据以上质量、现场调查等的综合评价，</w:t>
      </w:r>
      <w:r>
        <w:rPr>
          <w:rFonts w:ascii="FangSong" w:eastAsia="FangSong" w:hAnsi="FangSong" w:cs="FangSong"/>
          <w:spacing w:val="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1"/>
          <w:sz w:val="24"/>
          <w:szCs w:val="24"/>
        </w:rPr>
        <w:t>综合管理部（库房）填写《供应商评</w:t>
      </w:r>
      <w:r>
        <w:rPr>
          <w:rFonts w:ascii="FangSong" w:eastAsia="FangSong" w:hAnsi="FangSong" w:cs="FangSong"/>
          <w:spacing w:val="-12"/>
          <w:sz w:val="24"/>
          <w:szCs w:val="24"/>
        </w:rPr>
        <w:t>价表》，</w:t>
      </w:r>
      <w:r>
        <w:rPr>
          <w:rFonts w:ascii="FangSong" w:eastAsia="FangSong" w:hAnsi="FangSong" w:cs="FangSong"/>
          <w:spacing w:val="-12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2"/>
          <w:sz w:val="24"/>
          <w:szCs w:val="24"/>
        </w:rPr>
        <w:t>做出</w:t>
      </w:r>
      <w:r>
        <w:rPr>
          <w:rFonts w:ascii="FangSong" w:eastAsia="FangSong" w:hAnsi="FangSong" w:cs="FangSong"/>
          <w:spacing w:val="-2"/>
          <w:sz w:val="24"/>
          <w:szCs w:val="24"/>
        </w:rPr>
        <w:t>评价结论，相关领导批准同意纳入《合格供应商名录》。</w:t>
      </w:r>
    </w:p>
    <w:p>
      <w:pPr>
        <w:pStyle w:val="BodyText"/>
        <w:spacing w:before="58" w:line="231" w:lineRule="auto"/>
        <w:ind w:left="568"/>
        <w:rPr>
          <w:rFonts w:ascii="FangSong" w:eastAsia="FangSong" w:hAnsi="FangSong" w:cs="FangSong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 xml:space="preserve">4.2  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供应商评价指标</w:t>
      </w:r>
    </w:p>
    <w:p>
      <w:pPr>
        <w:spacing w:before="241" w:line="216" w:lineRule="auto"/>
        <w:ind w:left="49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供应商选择评价以《供应商评价表》为依据进行综合评价。</w:t>
      </w:r>
    </w:p>
    <w:p>
      <w:pPr>
        <w:pStyle w:val="BodyText"/>
        <w:spacing w:before="267" w:line="232" w:lineRule="auto"/>
        <w:ind w:left="568"/>
        <w:outlineLvl w:val="1"/>
        <w:rPr>
          <w:rFonts w:ascii="FangSong" w:eastAsia="FangSong" w:hAnsi="FangSong" w:cs="FangSong"/>
          <w:sz w:val="28"/>
          <w:szCs w:val="28"/>
        </w:rPr>
      </w:pPr>
      <w:bookmarkStart w:id="9" w:name="bookmark7"/>
      <w:bookmarkEnd w:id="9"/>
      <w:r>
        <w:rPr>
          <w:b/>
          <w:bCs/>
          <w:spacing w:val="-2"/>
          <w:sz w:val="28"/>
          <w:szCs w:val="28"/>
        </w:rPr>
        <w:t xml:space="preserve">4.3  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供应商产品质量监控</w:t>
      </w:r>
    </w:p>
    <w:p>
      <w:pPr>
        <w:spacing w:before="240" w:line="377" w:lineRule="auto"/>
        <w:ind w:left="22" w:right="2" w:firstLine="50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当采购产品不良，由综合管理部（库房）要求备件供应商进行整改，并在备件供应商限期改</w:t>
      </w:r>
      <w:r>
        <w:rPr>
          <w:rFonts w:ascii="FangSong" w:eastAsia="FangSong" w:hAnsi="FangSong" w:cs="FangSong"/>
          <w:spacing w:val="-3"/>
          <w:sz w:val="24"/>
          <w:szCs w:val="24"/>
        </w:rPr>
        <w:t>善的时间内对其执行的纠正与预防措施作效果确认。</w:t>
      </w:r>
    </w:p>
    <w:p>
      <w:pPr>
        <w:spacing w:before="117" w:line="296" w:lineRule="auto"/>
        <w:ind w:left="13" w:right="5" w:firstLine="47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A.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供应商提供的产品如因其质量问题对我方造成干扰和影响，则追究相应责任</w:t>
      </w:r>
      <w:r>
        <w:rPr>
          <w:rFonts w:ascii="FangSong" w:eastAsia="FangSong" w:hAnsi="FangSong" w:cs="FangSong"/>
          <w:spacing w:val="-2"/>
          <w:sz w:val="24"/>
          <w:szCs w:val="24"/>
        </w:rPr>
        <w:t>，并作相关</w:t>
      </w:r>
      <w:r>
        <w:rPr>
          <w:rFonts w:ascii="FangSong" w:eastAsia="FangSong" w:hAnsi="FangSong" w:cs="FangSong"/>
          <w:spacing w:val="-3"/>
          <w:sz w:val="24"/>
          <w:szCs w:val="24"/>
        </w:rPr>
        <w:t>记录，作为备件供应商年度评估的依据。</w:t>
      </w:r>
    </w:p>
    <w:p>
      <w:pPr>
        <w:pStyle w:val="BodyText"/>
        <w:spacing w:line="250" w:lineRule="auto"/>
      </w:pPr>
    </w:p>
    <w:p>
      <w:pPr>
        <w:spacing w:before="79" w:line="296" w:lineRule="auto"/>
        <w:ind w:left="17" w:right="19" w:firstLine="4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5"/>
          <w:sz w:val="24"/>
          <w:szCs w:val="24"/>
        </w:rPr>
        <w:t>B.</w:t>
      </w:r>
      <w:r>
        <w:rPr>
          <w:rFonts w:ascii="FangSong" w:eastAsia="FangSong" w:hAnsi="FangSong" w:cs="FangSong"/>
          <w:spacing w:val="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5"/>
          <w:sz w:val="24"/>
          <w:szCs w:val="24"/>
        </w:rPr>
        <w:t>如客户指定的备件供应商提供的产品</w:t>
      </w:r>
      <w:r>
        <w:rPr>
          <w:rFonts w:ascii="FangSong" w:eastAsia="FangSong" w:hAnsi="FangSong" w:cs="FangSong"/>
          <w:spacing w:val="4"/>
          <w:sz w:val="24"/>
          <w:szCs w:val="24"/>
        </w:rPr>
        <w:t>质量等有关的特殊状况而影响客户的产品使用状</w:t>
      </w:r>
      <w:r>
        <w:rPr>
          <w:rFonts w:ascii="FangSong" w:eastAsia="FangSong" w:hAnsi="FangSong" w:cs="FangSong"/>
          <w:spacing w:val="-2"/>
          <w:sz w:val="24"/>
          <w:szCs w:val="24"/>
        </w:rPr>
        <w:t>况，则公司通过项目组将其通知客户，并按顾客的处理方式进行处理。</w:t>
      </w:r>
    </w:p>
    <w:p>
      <w:pPr>
        <w:pStyle w:val="BodyText"/>
        <w:spacing w:line="294" w:lineRule="auto"/>
      </w:pPr>
    </w:p>
    <w:p>
      <w:pPr>
        <w:pStyle w:val="BodyText"/>
        <w:spacing w:before="92" w:line="229" w:lineRule="auto"/>
        <w:ind w:left="568"/>
        <w:outlineLvl w:val="1"/>
        <w:rPr>
          <w:rFonts w:ascii="FangSong" w:eastAsia="FangSong" w:hAnsi="FangSong" w:cs="FangSong"/>
          <w:sz w:val="28"/>
          <w:szCs w:val="28"/>
        </w:rPr>
      </w:pPr>
      <w:bookmarkStart w:id="10" w:name="bookmark8"/>
      <w:bookmarkEnd w:id="10"/>
      <w:bookmarkStart w:id="11" w:name="bookmark9"/>
      <w:bookmarkEnd w:id="11"/>
      <w:bookmarkStart w:id="12" w:name="bookmark10"/>
      <w:bookmarkEnd w:id="12"/>
      <w:bookmarkStart w:id="13" w:name="bookmark11"/>
      <w:bookmarkEnd w:id="13"/>
      <w:r>
        <w:rPr>
          <w:b/>
          <w:bCs/>
          <w:spacing w:val="-2"/>
          <w:sz w:val="28"/>
          <w:szCs w:val="28"/>
        </w:rPr>
        <w:t xml:space="preserve">4.4  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供应商定期评估与考核</w:t>
      </w:r>
    </w:p>
    <w:p>
      <w:pPr>
        <w:spacing w:before="305" w:line="219" w:lineRule="auto"/>
        <w:ind w:left="432"/>
        <w:outlineLvl w:val="2"/>
        <w:rPr>
          <w:rFonts w:ascii="FangSong" w:eastAsia="FangSong" w:hAnsi="FangSong" w:cs="FangSong"/>
          <w:sz w:val="28"/>
          <w:szCs w:val="28"/>
        </w:rPr>
      </w:pPr>
      <w:bookmarkStart w:id="14" w:name="bookmark16"/>
      <w:bookmarkEnd w:id="14"/>
      <w:r>
        <w:rPr>
          <w:rFonts w:ascii="Verdana" w:eastAsia="Verdana" w:hAnsi="Verdana" w:cs="Verdana"/>
          <w:b/>
          <w:bCs/>
          <w:spacing w:val="-2"/>
          <w:sz w:val="21"/>
          <w:szCs w:val="21"/>
        </w:rPr>
        <w:t xml:space="preserve">4.4.1  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供应商的评估</w:t>
      </w:r>
    </w:p>
    <w:p>
      <w:pPr>
        <w:spacing w:before="259" w:line="216" w:lineRule="auto"/>
        <w:ind w:left="42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A.</w:t>
      </w:r>
      <w:r>
        <w:rPr>
          <w:rFonts w:ascii="FangSong" w:eastAsia="FangSong" w:hAnsi="FangSong" w:cs="FangSong"/>
          <w:spacing w:val="70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对采购产品的质量、价格、交货情况及对问题的处理及</w:t>
      </w:r>
      <w:r>
        <w:rPr>
          <w:rFonts w:ascii="FangSong" w:eastAsia="FangSong" w:hAnsi="FangSong" w:cs="FangSong"/>
          <w:spacing w:val="-3"/>
          <w:sz w:val="24"/>
          <w:szCs w:val="24"/>
        </w:rPr>
        <w:t>时性等方面；</w:t>
      </w:r>
    </w:p>
    <w:p>
      <w:pPr>
        <w:pStyle w:val="BodyText"/>
        <w:spacing w:line="248" w:lineRule="auto"/>
      </w:pPr>
    </w:p>
    <w:p>
      <w:pPr>
        <w:spacing w:before="78" w:line="217" w:lineRule="auto"/>
        <w:ind w:left="43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B.</w:t>
      </w:r>
      <w:r>
        <w:rPr>
          <w:rFonts w:ascii="FangSong" w:eastAsia="FangSong" w:hAnsi="FangSong" w:cs="FangSong"/>
          <w:spacing w:val="7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备件供应商的交付能力、服务质量、安装和支持能力以及满足要求的历史业绩；</w:t>
      </w:r>
    </w:p>
    <w:p>
      <w:pPr>
        <w:pStyle w:val="BodyText"/>
        <w:spacing w:line="247" w:lineRule="auto"/>
      </w:pPr>
    </w:p>
    <w:p>
      <w:pPr>
        <w:spacing w:before="79" w:line="218" w:lineRule="auto"/>
        <w:ind w:left="43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C.</w:t>
      </w:r>
      <w:r>
        <w:rPr>
          <w:rFonts w:ascii="FangSong" w:eastAsia="FangSong" w:hAnsi="FangSong" w:cs="FangSong"/>
          <w:spacing w:val="8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备件供应商付款帐期、营业状况、税务发票等；</w:t>
      </w:r>
    </w:p>
    <w:p>
      <w:pPr>
        <w:pStyle w:val="BodyText"/>
        <w:spacing w:line="246" w:lineRule="auto"/>
      </w:pPr>
    </w:p>
    <w:p>
      <w:pPr>
        <w:spacing w:before="78" w:line="217" w:lineRule="auto"/>
        <w:ind w:left="43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D.</w:t>
      </w:r>
      <w:r>
        <w:rPr>
          <w:rFonts w:ascii="FangSong" w:eastAsia="FangSong" w:hAnsi="FangSong" w:cs="FangSong"/>
          <w:spacing w:val="7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信息安全管控、隐私保护、职业道德遵守等方面；</w:t>
      </w:r>
    </w:p>
    <w:p>
      <w:pPr>
        <w:pStyle w:val="BodyText"/>
        <w:spacing w:line="248" w:lineRule="auto"/>
      </w:pPr>
    </w:p>
    <w:p>
      <w:pPr>
        <w:spacing w:before="78" w:line="342" w:lineRule="auto"/>
        <w:ind w:left="887" w:right="17" w:hanging="45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E.</w:t>
      </w:r>
      <w:r>
        <w:rPr>
          <w:rFonts w:ascii="FangSong" w:eastAsia="FangSong" w:hAnsi="FangSong" w:cs="FangSong"/>
          <w:spacing w:val="7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每年一次或需要新增供应商时，综合管理部对供应商进行考评，将考评情况记录在《供</w:t>
      </w:r>
      <w:r>
        <w:rPr>
          <w:rFonts w:ascii="FangSong" w:eastAsia="FangSong" w:hAnsi="FangSong" w:cs="FangSong"/>
          <w:spacing w:val="-4"/>
          <w:sz w:val="24"/>
          <w:szCs w:val="24"/>
        </w:rPr>
        <w:t>应商评价表》，执行分级管理。</w:t>
      </w:r>
    </w:p>
    <w:p>
      <w:pPr>
        <w:pStyle w:val="BodyText"/>
        <w:spacing w:line="297" w:lineRule="auto"/>
      </w:pPr>
    </w:p>
    <w:p>
      <w:pPr>
        <w:pStyle w:val="BodyText"/>
        <w:spacing w:before="91" w:line="231" w:lineRule="auto"/>
        <w:ind w:left="428"/>
        <w:outlineLvl w:val="2"/>
        <w:rPr>
          <w:rFonts w:ascii="FangSong" w:eastAsia="FangSong" w:hAnsi="FangSong" w:cs="FangSong"/>
          <w:sz w:val="28"/>
          <w:szCs w:val="28"/>
        </w:rPr>
      </w:pPr>
      <w:bookmarkStart w:id="15" w:name="bookmark17"/>
      <w:bookmarkEnd w:id="15"/>
      <w:r>
        <w:rPr>
          <w:b/>
          <w:bCs/>
          <w:spacing w:val="-3"/>
          <w:sz w:val="28"/>
          <w:szCs w:val="28"/>
        </w:rPr>
        <w:t xml:space="preserve">4.4.2 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供应商分级标准</w:t>
      </w:r>
    </w:p>
    <w:p>
      <w:pPr>
        <w:spacing w:before="241" w:line="218" w:lineRule="auto"/>
        <w:ind w:left="60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4.4.2.1、考核对象：列入《合格供应商名录》的所</w:t>
      </w:r>
      <w:r>
        <w:rPr>
          <w:rFonts w:ascii="FangSong" w:eastAsia="FangSong" w:hAnsi="FangSong" w:cs="FangSong"/>
          <w:spacing w:val="-2"/>
          <w:sz w:val="24"/>
          <w:szCs w:val="24"/>
        </w:rPr>
        <w:t>有供应商。</w:t>
      </w:r>
    </w:p>
    <w:p>
      <w:pPr>
        <w:spacing w:line="218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2"/>
          <w:footerReference w:type="default" r:id="rId13"/>
          <w:pgSz w:w="11907" w:h="16841"/>
          <w:pgMar w:top="1584" w:right="985" w:bottom="1555" w:left="992" w:header="510" w:footer="741" w:gutter="0"/>
          <w:cols w:space="720"/>
        </w:sectPr>
      </w:pPr>
    </w:p>
    <w:p>
      <w:pPr>
        <w:pStyle w:val="BodyText"/>
        <w:spacing w:line="277" w:lineRule="auto"/>
      </w:pPr>
    </w:p>
    <w:p>
      <w:pPr>
        <w:spacing w:before="78" w:line="217" w:lineRule="auto"/>
        <w:ind w:left="608"/>
        <w:rPr>
          <w:rFonts w:ascii="FangSong" w:eastAsia="FangSong" w:hAnsi="FangSong" w:cs="FangSong"/>
          <w:sz w:val="24"/>
          <w:szCs w:val="24"/>
        </w:rPr>
      </w:pPr>
      <w:bookmarkStart w:id="16" w:name="bookmark18"/>
      <w:bookmarkEnd w:id="16"/>
      <w:r>
        <w:rPr>
          <w:rFonts w:ascii="FangSong" w:eastAsia="FangSong" w:hAnsi="FangSong" w:cs="FangSong"/>
          <w:spacing w:val="-1"/>
          <w:sz w:val="24"/>
          <w:szCs w:val="24"/>
        </w:rPr>
        <w:t>4.4.2.2、考核方法：对供应商实行评分分级制度，满分为100分。</w:t>
      </w:r>
    </w:p>
    <w:p>
      <w:pPr>
        <w:spacing w:before="207" w:line="219" w:lineRule="auto"/>
        <w:ind w:left="170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1)100-90分为一级供应商</w:t>
      </w:r>
    </w:p>
    <w:p>
      <w:pPr>
        <w:spacing w:before="202" w:line="219" w:lineRule="auto"/>
        <w:ind w:left="169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2)89～80分为二级供应商</w:t>
      </w:r>
    </w:p>
    <w:p>
      <w:pPr>
        <w:spacing w:before="204" w:line="219" w:lineRule="auto"/>
        <w:ind w:left="169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3)79—70分为三级供应商</w:t>
      </w:r>
    </w:p>
    <w:p>
      <w:pPr>
        <w:spacing w:before="205" w:line="218" w:lineRule="auto"/>
        <w:ind w:left="168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4)69分以下为不合格供应商</w:t>
      </w:r>
    </w:p>
    <w:p>
      <w:pPr>
        <w:spacing w:before="207" w:line="218" w:lineRule="auto"/>
        <w:ind w:left="60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4.4.2.3、计分项目和评分</w:t>
      </w:r>
    </w:p>
    <w:p>
      <w:pPr>
        <w:spacing w:before="204" w:line="218" w:lineRule="auto"/>
        <w:ind w:left="15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1)质量状况：60分X(不合格批数／总交货</w:t>
      </w:r>
      <w:r>
        <w:rPr>
          <w:rFonts w:ascii="FangSong" w:eastAsia="FangSong" w:hAnsi="FangSong" w:cs="FangSong"/>
          <w:spacing w:val="-2"/>
          <w:sz w:val="24"/>
          <w:szCs w:val="24"/>
        </w:rPr>
        <w:t>批数)</w:t>
      </w:r>
    </w:p>
    <w:p>
      <w:pPr>
        <w:spacing w:before="206" w:line="218" w:lineRule="auto"/>
        <w:ind w:left="157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2)交付情况：20分X(迟交批数／总交货批数)</w:t>
      </w:r>
    </w:p>
    <w:p>
      <w:pPr>
        <w:spacing w:before="206" w:line="215" w:lineRule="auto"/>
        <w:ind w:left="157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3)服务质量：10分(配合度、送样速度</w:t>
      </w:r>
      <w:r>
        <w:rPr>
          <w:rFonts w:ascii="FangSong" w:eastAsia="FangSong" w:hAnsi="FangSong" w:cs="FangSong"/>
          <w:spacing w:val="-1"/>
          <w:sz w:val="24"/>
          <w:szCs w:val="24"/>
        </w:rPr>
        <w:t>、纠正措施回复、超额运费)</w:t>
      </w:r>
    </w:p>
    <w:p>
      <w:pPr>
        <w:spacing w:before="210" w:line="218" w:lineRule="auto"/>
        <w:ind w:left="156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4)价格水平：10分(偏高3分、居中6分、居下9分)</w:t>
      </w:r>
    </w:p>
    <w:p>
      <w:pPr>
        <w:pStyle w:val="BodyText"/>
        <w:spacing w:before="266" w:line="231" w:lineRule="auto"/>
        <w:ind w:left="428"/>
        <w:outlineLvl w:val="2"/>
        <w:rPr>
          <w:rFonts w:ascii="FangSong" w:eastAsia="FangSong" w:hAnsi="FangSong" w:cs="FangSong"/>
          <w:sz w:val="28"/>
          <w:szCs w:val="28"/>
        </w:rPr>
      </w:pPr>
      <w:bookmarkStart w:id="17" w:name="bookmark19"/>
      <w:bookmarkEnd w:id="17"/>
      <w:r>
        <w:rPr>
          <w:b/>
          <w:bCs/>
          <w:spacing w:val="-3"/>
          <w:sz w:val="28"/>
          <w:szCs w:val="28"/>
        </w:rPr>
        <w:t>4.4.3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、考核结果的处理</w:t>
      </w:r>
    </w:p>
    <w:p>
      <w:pPr>
        <w:spacing w:before="241" w:line="215" w:lineRule="auto"/>
        <w:ind w:left="158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1)考核结果在90分以上的供应商，优先采购。</w:t>
      </w:r>
    </w:p>
    <w:p>
      <w:pPr>
        <w:spacing w:before="209" w:line="296" w:lineRule="auto"/>
        <w:ind w:left="448" w:firstLine="106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2)考核结果在80～89分的供应商，要求其对不足部分</w:t>
      </w:r>
      <w:r>
        <w:rPr>
          <w:rFonts w:ascii="FangSong" w:eastAsia="FangSong" w:hAnsi="FangSong" w:cs="FangSong"/>
          <w:spacing w:val="-1"/>
          <w:sz w:val="24"/>
          <w:szCs w:val="24"/>
        </w:rPr>
        <w:t>进行整改，并将整改结果以</w:t>
      </w:r>
      <w:r>
        <w:rPr>
          <w:rFonts w:ascii="FangSong" w:eastAsia="FangSong" w:hAnsi="FangSong" w:cs="FangSong"/>
          <w:spacing w:val="-2"/>
          <w:sz w:val="24"/>
          <w:szCs w:val="24"/>
        </w:rPr>
        <w:t>书面形式提交，供应商评价小组对其提交的纠正措施和结果进行确认。</w:t>
      </w:r>
    </w:p>
    <w:p>
      <w:pPr>
        <w:spacing w:before="207" w:line="324" w:lineRule="auto"/>
        <w:ind w:left="331" w:right="105" w:firstLine="1077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3)考核结果在70～79分的供应商，要求其对不足</w:t>
      </w:r>
      <w:r>
        <w:rPr>
          <w:rFonts w:ascii="FangSong" w:eastAsia="FangSong" w:hAnsi="FangSong" w:cs="FangSong"/>
          <w:spacing w:val="-1"/>
          <w:sz w:val="24"/>
          <w:szCs w:val="24"/>
        </w:rPr>
        <w:t>部分进行整改，并将整改结果以</w:t>
      </w:r>
      <w:r>
        <w:rPr>
          <w:rFonts w:ascii="FangSong" w:eastAsia="FangSong" w:hAnsi="FangSong" w:cs="FangSong"/>
          <w:sz w:val="24"/>
          <w:szCs w:val="24"/>
        </w:rPr>
        <w:t>书面形式提交，供应商评价小组对其提交的纠正措</w:t>
      </w:r>
      <w:r>
        <w:rPr>
          <w:rFonts w:ascii="FangSong" w:eastAsia="FangSong" w:hAnsi="FangSong" w:cs="FangSong"/>
          <w:spacing w:val="-1"/>
          <w:sz w:val="24"/>
          <w:szCs w:val="24"/>
        </w:rPr>
        <w:t>施和结果进行确认，并决定是否对其采</w:t>
      </w:r>
      <w:r>
        <w:rPr>
          <w:rFonts w:ascii="FangSong" w:eastAsia="FangSong" w:hAnsi="FangSong" w:cs="FangSong"/>
          <w:spacing w:val="-7"/>
          <w:sz w:val="24"/>
          <w:szCs w:val="24"/>
        </w:rPr>
        <w:t>购，还是减少采购量；</w:t>
      </w:r>
    </w:p>
    <w:p>
      <w:pPr>
        <w:spacing w:before="203" w:line="298" w:lineRule="auto"/>
        <w:ind w:left="333" w:right="121" w:firstLine="106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4)对考核结果在69分以下的供应商，需从《合格供应商名录》中删除，并终止对</w:t>
      </w:r>
      <w:r>
        <w:rPr>
          <w:rFonts w:ascii="FangSong" w:eastAsia="FangSong" w:hAnsi="FangSong" w:cs="FangSong"/>
          <w:spacing w:val="-10"/>
          <w:sz w:val="24"/>
          <w:szCs w:val="24"/>
        </w:rPr>
        <w:t>其采购。</w:t>
      </w:r>
    </w:p>
    <w:p>
      <w:pPr>
        <w:pStyle w:val="BodyText"/>
        <w:spacing w:line="315" w:lineRule="auto"/>
      </w:pPr>
    </w:p>
    <w:p>
      <w:pPr>
        <w:pStyle w:val="BodyText"/>
        <w:spacing w:line="316" w:lineRule="auto"/>
      </w:pPr>
    </w:p>
    <w:p>
      <w:pPr>
        <w:spacing w:before="101" w:line="412" w:lineRule="exact"/>
        <w:ind w:left="15"/>
        <w:outlineLvl w:val="0"/>
        <w:rPr>
          <w:rFonts w:ascii="SimSun" w:eastAsia="SimSun" w:hAnsi="SimSun" w:cs="SimSun"/>
          <w:sz w:val="31"/>
          <w:szCs w:val="31"/>
        </w:rPr>
      </w:pPr>
      <w:bookmarkStart w:id="18" w:name="bookmark20"/>
      <w:bookmarkEnd w:id="18"/>
      <w:r>
        <w:rPr>
          <w:rFonts w:ascii="Calibri" w:eastAsia="Calibri" w:hAnsi="Calibri" w:cs="Calibri"/>
          <w:b/>
          <w:bCs/>
          <w:spacing w:val="2"/>
          <w:position w:val="1"/>
          <w:sz w:val="31"/>
          <w:szCs w:val="31"/>
        </w:rPr>
        <w:t xml:space="preserve">5.   </w:t>
      </w:r>
      <w:r>
        <w:rPr>
          <w:rFonts w:ascii="SimSun" w:eastAsia="SimSun" w:hAnsi="SimSun" w:cs="SimSun"/>
          <w:b/>
          <w:bCs/>
          <w:spacing w:val="2"/>
          <w:position w:val="1"/>
          <w:sz w:val="31"/>
          <w:szCs w:val="31"/>
        </w:rPr>
        <w:t>相关文件</w:t>
      </w:r>
    </w:p>
    <w:p>
      <w:pPr>
        <w:spacing w:before="198" w:line="218" w:lineRule="auto"/>
        <w:ind w:left="49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《XX</w:t>
      </w:r>
      <w:r>
        <w:rPr>
          <w:rFonts w:ascii="FangSong" w:eastAsia="FangSong" w:hAnsi="FangSong" w:cs="FangSong"/>
          <w:spacing w:val="-3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年度合格供应商名录》</w:t>
      </w:r>
    </w:p>
    <w:p>
      <w:pPr>
        <w:pStyle w:val="BodyText"/>
        <w:spacing w:line="246" w:lineRule="auto"/>
      </w:pPr>
    </w:p>
    <w:p>
      <w:pPr>
        <w:spacing w:before="79" w:line="218" w:lineRule="auto"/>
        <w:ind w:left="49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《供应商评价表》</w:t>
      </w:r>
    </w:p>
    <w:sectPr>
      <w:headerReference w:type="default" r:id="rId14"/>
      <w:footerReference w:type="default" r:id="rId15"/>
      <w:pgSz w:w="11907" w:h="16841"/>
      <w:pgMar w:top="1584" w:right="1011" w:bottom="1555" w:left="992" w:header="510" w:footer="74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Verdana">
    <w:panose1 w:val="020B0804030504040204"/>
    <w:charset w:val="00"/>
    <w:family w:val="auto"/>
    <w:pitch w:val="variable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28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707" w:lineRule="exact"/>
      <w:ind w:firstLine="361"/>
    </w:pPr>
    <w:r>
      <w:rPr>
        <w:position w:val="-14"/>
      </w:rPr>
      <w:drawing>
        <wp:inline distT="0" distB="0" distL="0" distR="0">
          <wp:extent cx="1483867" cy="449452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494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9704832</wp:posOffset>
          </wp:positionV>
          <wp:extent cx="1483867" cy="456399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7" cy="4563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64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9706343</wp:posOffset>
          </wp:positionV>
          <wp:extent cx="1483868" cy="45614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8" cy="456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5" w:lineRule="auto"/>
    </w:pPr>
  </w:p>
  <w:p>
    <w:pPr>
      <w:spacing w:before="55" w:line="238" w:lineRule="auto"/>
      <w:ind w:left="2345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9706343</wp:posOffset>
          </wp:positionV>
          <wp:extent cx="1483868" cy="45614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8" cy="456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49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64" w:lineRule="auto"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9706343</wp:posOffset>
          </wp:positionV>
          <wp:extent cx="1483868" cy="456145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83868" cy="4561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64" w:lineRule="auto"/>
    </w:pPr>
  </w:p>
  <w:p>
    <w:pPr>
      <w:spacing w:before="55" w:line="237" w:lineRule="auto"/>
      <w:ind w:left="2350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4" w:lineRule="auto"/>
    </w:pPr>
    <w:r>
      <w:pict>
        <v:shape id="_x0000_s2049" style="height:0.75pt;margin-left:88.58pt;margin-top:92.66pt;mso-position-horizontal-relative:page;mso-position-vertical-relative:page;position:absolute;width:418.3pt;z-index:251659264" coordorigin="0,0" coordsize="8365,15" o:allowincell="f" path="m,14l8365,14l8365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4" w:lineRule="auto"/>
    </w:pPr>
  </w:p>
  <w:p>
    <w:pPr>
      <w:pStyle w:val="BodyText"/>
      <w:spacing w:line="254" w:lineRule="auto"/>
    </w:pPr>
  </w:p>
  <w:p>
    <w:pPr>
      <w:spacing w:before="59" w:line="217" w:lineRule="auto"/>
      <w:ind w:left="544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88.58pt;margin-top:103.7pt;mso-position-horizontal-relative:page;mso-position-vertical-relative:page;position:absolute;width:418.3pt;z-index:251661312" coordorigin="0,0" coordsize="8365,15" o:allowincell="f" path="m,14l8365,14l8365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541019</wp:posOffset>
          </wp:positionV>
          <wp:extent cx="851306" cy="58928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0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4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360045</wp:posOffset>
          </wp:positionV>
          <wp:extent cx="851306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4" w:lineRule="auto"/>
    </w:pPr>
  </w:p>
  <w:p>
    <w:pPr>
      <w:pStyle w:val="BodyText"/>
      <w:spacing w:line="245" w:lineRule="auto"/>
    </w:pPr>
  </w:p>
  <w:p>
    <w:pPr>
      <w:spacing w:before="68" w:line="218" w:lineRule="auto"/>
      <w:ind w:left="4954"/>
      <w:rPr>
        <w:rFonts w:ascii="FangSong" w:eastAsia="FangSong" w:hAnsi="FangSong" w:cs="FangSong"/>
        <w:sz w:val="21"/>
        <w:szCs w:val="21"/>
      </w:rPr>
    </w:pPr>
    <w:r>
      <w:rPr>
        <w:rFonts w:ascii="FangSong" w:eastAsia="FangSong" w:hAnsi="FangSong" w:cs="FangSong"/>
        <w:spacing w:val="-2"/>
        <w:sz w:val="21"/>
        <w:szCs w:val="21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4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360044</wp:posOffset>
          </wp:positionV>
          <wp:extent cx="851306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5" w:lineRule="auto"/>
    </w:pPr>
  </w:p>
  <w:p>
    <w:pPr>
      <w:pStyle w:val="BodyText"/>
      <w:spacing w:line="245" w:lineRule="auto"/>
    </w:pPr>
  </w:p>
  <w:p>
    <w:pPr>
      <w:spacing w:before="68" w:line="218" w:lineRule="auto"/>
      <w:ind w:left="5886"/>
      <w:rPr>
        <w:rFonts w:ascii="FangSong" w:eastAsia="FangSong" w:hAnsi="FangSong" w:cs="FangSong"/>
        <w:sz w:val="21"/>
        <w:szCs w:val="21"/>
      </w:rPr>
    </w:pPr>
    <w:r>
      <w:rPr>
        <w:rFonts w:ascii="FangSong" w:eastAsia="FangSong" w:hAnsi="FangSong" w:cs="FangSong"/>
        <w:spacing w:val="-1"/>
        <w:sz w:val="21"/>
        <w:szCs w:val="21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4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360044</wp:posOffset>
          </wp:positionV>
          <wp:extent cx="851306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5" w:lineRule="auto"/>
    </w:pPr>
  </w:p>
  <w:p>
    <w:pPr>
      <w:pStyle w:val="BodyText"/>
      <w:spacing w:line="245" w:lineRule="auto"/>
    </w:pPr>
  </w:p>
  <w:p>
    <w:pPr>
      <w:spacing w:before="68" w:line="218" w:lineRule="auto"/>
      <w:ind w:left="5886"/>
      <w:rPr>
        <w:rFonts w:ascii="FangSong" w:eastAsia="FangSong" w:hAnsi="FangSong" w:cs="FangSong"/>
        <w:sz w:val="21"/>
        <w:szCs w:val="21"/>
      </w:rPr>
    </w:pPr>
    <w:r>
      <w:rPr>
        <w:rFonts w:ascii="FangSong" w:eastAsia="FangSong" w:hAnsi="FangSong" w:cs="FangSong"/>
        <w:spacing w:val="-1"/>
        <w:sz w:val="21"/>
        <w:szCs w:val="21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44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630554</wp:posOffset>
          </wp:positionH>
          <wp:positionV relativeFrom="page">
            <wp:posOffset>360044</wp:posOffset>
          </wp:positionV>
          <wp:extent cx="851306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1306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45" w:lineRule="auto"/>
    </w:pPr>
  </w:p>
  <w:p>
    <w:pPr>
      <w:pStyle w:val="BodyText"/>
      <w:spacing w:line="245" w:lineRule="auto"/>
    </w:pPr>
  </w:p>
  <w:p>
    <w:pPr>
      <w:spacing w:before="68" w:line="218" w:lineRule="auto"/>
      <w:ind w:left="5886"/>
      <w:rPr>
        <w:rFonts w:ascii="FangSong" w:eastAsia="FangSong" w:hAnsi="FangSong" w:cs="FangSong"/>
        <w:sz w:val="21"/>
        <w:szCs w:val="21"/>
      </w:rPr>
    </w:pPr>
    <w:r>
      <w:rPr>
        <w:rFonts w:ascii="FangSong" w:eastAsia="FangSong" w:hAnsi="FangSong" w:cs="FangSong"/>
        <w:spacing w:val="-1"/>
        <w:sz w:val="21"/>
        <w:szCs w:val="21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0</cp:revision>
  <dcterms:created xsi:type="dcterms:W3CDTF">2023-07-25T23:24:30Z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2025-12-03T15:21:13Z</vt:filetime>
  </property>
  <property fmtid="{D5CDD505-2E9C-101B-9397-08002B2CF9AE}" pid="3" name="CRO">
    <vt:lpwstr>wqlLaW5nc29mdCBQREYgdG8gV1BTIDExNQ</vt:lpwstr>
  </property>
</Properties>
</file>