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234" w:line="218" w:lineRule="auto"/>
        <w:ind w:left="2638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spacing w:val="-9"/>
          <w:sz w:val="72"/>
          <w:szCs w:val="72"/>
        </w:rPr>
        <w:t>备品备件管理</w:t>
      </w: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60" w:lineRule="auto"/>
      </w:pPr>
    </w:p>
    <w:p>
      <w:pPr>
        <w:spacing w:before="234" w:line="218" w:lineRule="auto"/>
        <w:ind w:left="2632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spacing w:val="-8"/>
          <w:sz w:val="72"/>
          <w:szCs w:val="72"/>
        </w:rPr>
        <w:t>应用情况说明</w:t>
      </w:r>
    </w:p>
    <w:p>
      <w:pPr>
        <w:pStyle w:val="BodyText"/>
        <w:spacing w:line="310" w:lineRule="auto"/>
      </w:pPr>
    </w:p>
    <w:p>
      <w:pPr>
        <w:pStyle w:val="BodyText"/>
        <w:spacing w:line="310" w:lineRule="auto"/>
      </w:pPr>
    </w:p>
    <w:p>
      <w:pPr>
        <w:pStyle w:val="BodyText"/>
        <w:spacing w:line="310" w:lineRule="auto"/>
      </w:pPr>
    </w:p>
    <w:p>
      <w:pPr>
        <w:spacing w:before="91" w:line="232" w:lineRule="auto"/>
        <w:ind w:left="33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（YNTD-ITSS-1203）</w:t>
      </w: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101" w:line="223" w:lineRule="auto"/>
        <w:ind w:left="203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41"/>
          <w:pgMar w:top="2194" w:right="1385" w:bottom="1741" w:left="1390" w:header="1084" w:footer="1021" w:gutter="0"/>
          <w:cols w:space="720"/>
        </w:sectPr>
      </w:pPr>
    </w:p>
    <w:p>
      <w:pPr>
        <w:pStyle w:val="BodyText"/>
        <w:spacing w:line="275" w:lineRule="auto"/>
      </w:pPr>
    </w:p>
    <w:p>
      <w:pPr>
        <w:pStyle w:val="BodyText"/>
        <w:spacing w:line="275" w:lineRule="auto"/>
      </w:pPr>
    </w:p>
    <w:p>
      <w:pPr>
        <w:pStyle w:val="BodyText"/>
        <w:spacing w:line="275" w:lineRule="auto"/>
      </w:pPr>
    </w:p>
    <w:p>
      <w:pPr>
        <w:pStyle w:val="BodyText"/>
        <w:spacing w:line="275" w:lineRule="auto"/>
      </w:pPr>
    </w:p>
    <w:p>
      <w:pPr>
        <w:pStyle w:val="BodyText"/>
        <w:spacing w:line="275" w:lineRule="auto"/>
      </w:pPr>
    </w:p>
    <w:p>
      <w:pPr>
        <w:pStyle w:val="BodyText"/>
        <w:spacing w:line="276" w:lineRule="auto"/>
      </w:pPr>
    </w:p>
    <w:p>
      <w:pPr>
        <w:spacing w:before="98" w:line="220" w:lineRule="auto"/>
        <w:ind w:left="3223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63"/>
      </w:pPr>
    </w:p>
    <w:tbl>
      <w:tblPr>
        <w:tblStyle w:val="TableNormal"/>
        <w:tblW w:w="9005" w:type="dxa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6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64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0" w:lineRule="auto"/>
              <w:ind w:left="200"/>
            </w:pPr>
            <w:r>
              <w:rPr>
                <w:b/>
                <w:bCs/>
                <w:spacing w:val="-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27" w:line="234" w:lineRule="auto"/>
              <w:ind w:left="618"/>
            </w:pPr>
            <w:r>
              <w:rPr>
                <w:b/>
                <w:bCs/>
                <w:spacing w:val="-3"/>
              </w:rPr>
              <w:t>编制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/</w:t>
            </w:r>
            <w:r>
              <w:rPr>
                <w:b/>
                <w:bCs/>
                <w:spacing w:val="-3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27" w:line="220" w:lineRule="auto"/>
              <w:ind w:left="954"/>
            </w:pPr>
            <w:r>
              <w:rPr>
                <w:b/>
                <w:bCs/>
                <w:spacing w:val="-5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27" w:line="221" w:lineRule="auto"/>
              <w:ind w:left="941"/>
            </w:pPr>
            <w:r>
              <w:rPr>
                <w:b/>
                <w:bCs/>
                <w:spacing w:val="-5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9" w:line="221" w:lineRule="auto"/>
              <w:ind w:left="275"/>
            </w:pPr>
            <w:r>
              <w:rPr>
                <w:b/>
                <w:bCs/>
                <w:spacing w:val="-4"/>
              </w:rPr>
              <w:t>更改记录</w:t>
            </w:r>
          </w:p>
        </w:tc>
      </w:tr>
      <w:tr>
        <w:tblPrEx>
          <w:tblW w:w="9005" w:type="dxa"/>
          <w:tblInd w:w="62" w:type="dxa"/>
          <w:tblLayout w:type="fixed"/>
        </w:tblPrEx>
        <w:trPr>
          <w:trHeight w:val="386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90" w:line="221" w:lineRule="auto"/>
              <w:ind w:left="219"/>
            </w:pPr>
            <w:r>
              <w:rPr>
                <w:b/>
                <w:bCs/>
                <w:spacing w:val="-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90" w:line="221" w:lineRule="auto"/>
              <w:ind w:left="453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90" w:line="221" w:lineRule="auto"/>
              <w:ind w:left="273"/>
            </w:pPr>
            <w:r>
              <w:rPr>
                <w:b/>
                <w:bCs/>
                <w:spacing w:val="-7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90" w:line="221" w:lineRule="auto"/>
              <w:ind w:left="510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89" w:line="222" w:lineRule="auto"/>
              <w:ind w:left="296"/>
            </w:pPr>
            <w:r>
              <w:rPr>
                <w:b/>
                <w:bCs/>
                <w:spacing w:val="-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90" w:line="221" w:lineRule="auto"/>
              <w:ind w:left="46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62" w:type="dxa"/>
          <w:tblLayout w:type="fixed"/>
        </w:tblPrEx>
        <w:trPr>
          <w:trHeight w:val="66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246" w:line="236" w:lineRule="auto"/>
              <w:ind w:left="22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45" w:line="220" w:lineRule="auto"/>
              <w:ind w:left="24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246" w:line="236" w:lineRule="auto"/>
              <w:ind w:left="26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45" w:line="220" w:lineRule="auto"/>
              <w:ind w:left="29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246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45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246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2023.7.6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246" w:line="220" w:lineRule="auto"/>
              <w:ind w:left="601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pgSz w:w="11907" w:h="16841"/>
          <w:pgMar w:top="2194" w:right="1385" w:bottom="1741" w:left="1390" w:header="1084" w:footer="1021" w:gutter="0"/>
          <w:cols w:space="720"/>
        </w:sectPr>
      </w:pPr>
    </w:p>
    <w:p>
      <w:pPr>
        <w:pStyle w:val="BodyText"/>
        <w:spacing w:line="297" w:lineRule="auto"/>
      </w:pPr>
    </w:p>
    <w:p>
      <w:pPr>
        <w:spacing w:before="101" w:line="224" w:lineRule="auto"/>
        <w:ind w:left="46"/>
        <w:outlineLvl w:val="1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2"/>
          <w:sz w:val="31"/>
          <w:szCs w:val="31"/>
        </w:rPr>
        <w:t>一、综述</w:t>
      </w:r>
    </w:p>
    <w:p>
      <w:pPr>
        <w:pStyle w:val="BodyText"/>
        <w:spacing w:line="405" w:lineRule="auto"/>
      </w:pPr>
    </w:p>
    <w:p>
      <w:pPr>
        <w:spacing w:before="91" w:line="412" w:lineRule="auto"/>
        <w:ind w:left="50" w:right="223" w:firstLine="5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截止到</w:t>
      </w:r>
      <w:r>
        <w:rPr>
          <w:rFonts w:ascii="FangSong" w:eastAsia="FangSong" w:hAnsi="FangSong" w:cs="FangSong"/>
          <w:spacing w:val="-2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2023</w:t>
      </w:r>
      <w:r>
        <w:rPr>
          <w:rFonts w:ascii="FangSong" w:eastAsia="FangSong" w:hAnsi="FangSong" w:cs="FangSong"/>
          <w:spacing w:val="-3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年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6</w:t>
      </w:r>
      <w:r>
        <w:rPr>
          <w:rFonts w:ascii="FangSong" w:eastAsia="FangSong" w:hAnsi="FangSong" w:cs="FangSong"/>
          <w:spacing w:val="-2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月，根据公司备品备件管理制度和供应商管理</w:t>
      </w:r>
      <w:r>
        <w:rPr>
          <w:rFonts w:ascii="FangSong" w:eastAsia="FangSong" w:hAnsi="FangSong" w:cs="FangSong"/>
          <w:spacing w:val="-4"/>
          <w:sz w:val="28"/>
          <w:szCs w:val="28"/>
        </w:rPr>
        <w:t>制度的管理要求，由综合管理部物资采购专责负责备品备件的采购工</w:t>
      </w:r>
      <w:r>
        <w:rPr>
          <w:rFonts w:ascii="FangSong" w:eastAsia="FangSong" w:hAnsi="FangSong" w:cs="FangSong"/>
          <w:spacing w:val="-2"/>
          <w:sz w:val="28"/>
          <w:szCs w:val="28"/>
        </w:rPr>
        <w:t>作，由信息部和通信部根据运维业务需求提出备品备件的需求计划。</w:t>
      </w:r>
    </w:p>
    <w:p>
      <w:pPr>
        <w:spacing w:before="3" w:line="411" w:lineRule="auto"/>
        <w:ind w:left="50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物资采购专责及备品备件管理员明确岗位职责，熟悉了解采购和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供应商管理的业务流程。公司的备件管理秉持“比质比价、以消定购”</w:t>
      </w:r>
      <w:r>
        <w:rPr>
          <w:rFonts w:ascii="FangSong" w:eastAsia="FangSong" w:hAnsi="FangSong" w:cs="FangSong"/>
          <w:spacing w:val="-4"/>
          <w:sz w:val="28"/>
          <w:szCs w:val="28"/>
        </w:rPr>
        <w:t>的管理理念，确保备件库的规范管理，及时有效地提供优质备件，缩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短设备故障的更换时间，提升客户满意度，并在保证备件供应的前提</w:t>
      </w:r>
      <w:r>
        <w:rPr>
          <w:rFonts w:ascii="FangSong" w:eastAsia="FangSong" w:hAnsi="FangSong" w:cs="FangSong"/>
          <w:spacing w:val="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下，尽可能减少备件运作成本。现将备件管理情况做如下总结：</w:t>
      </w:r>
    </w:p>
    <w:p>
      <w:pPr>
        <w:spacing w:before="273" w:line="224" w:lineRule="auto"/>
        <w:ind w:left="48"/>
        <w:outlineLvl w:val="1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8"/>
          <w:sz w:val="31"/>
          <w:szCs w:val="31"/>
        </w:rPr>
        <w:t>一、各部门备件管理职责</w:t>
      </w:r>
    </w:p>
    <w:p>
      <w:pPr>
        <w:pStyle w:val="BodyText"/>
        <w:spacing w:line="407" w:lineRule="auto"/>
      </w:pPr>
    </w:p>
    <w:p>
      <w:pPr>
        <w:spacing w:before="91" w:line="221" w:lineRule="auto"/>
        <w:ind w:left="623"/>
        <w:outlineLvl w:val="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9"/>
          <w:sz w:val="28"/>
          <w:szCs w:val="28"/>
        </w:rPr>
        <w:t>1、总经理</w:t>
      </w:r>
    </w:p>
    <w:p>
      <w:pPr>
        <w:spacing w:before="287" w:line="412" w:lineRule="auto"/>
        <w:ind w:left="49" w:right="305" w:firstLine="57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总经理负责对物资采购及备品备件管理采购计划的审批，负责审</w:t>
      </w:r>
      <w:r>
        <w:rPr>
          <w:rFonts w:ascii="FangSong" w:eastAsia="FangSong" w:hAnsi="FangSong" w:cs="FangSong"/>
          <w:spacing w:val="-1"/>
          <w:sz w:val="28"/>
          <w:szCs w:val="28"/>
        </w:rPr>
        <w:t>批管理办法、制度和规定，决定管理工作中的重大事项。</w:t>
      </w:r>
    </w:p>
    <w:p>
      <w:pPr>
        <w:spacing w:line="217" w:lineRule="auto"/>
        <w:ind w:left="605"/>
        <w:outlineLvl w:val="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2、物资采购专责</w:t>
      </w:r>
    </w:p>
    <w:p>
      <w:pPr>
        <w:spacing w:before="293" w:line="347" w:lineRule="auto"/>
        <w:ind w:left="49" w:right="276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（1）负责依据备件采购计划严格执行采购控制流程，采购计划</w:t>
      </w:r>
      <w:r>
        <w:rPr>
          <w:rFonts w:ascii="FangSong" w:eastAsia="FangSong" w:hAnsi="FangSong" w:cs="FangSong"/>
          <w:spacing w:val="-4"/>
          <w:sz w:val="28"/>
          <w:szCs w:val="28"/>
        </w:rPr>
        <w:t>批准后，方可采购，负责与供应商签订采购合同。在采购过程中，随</w:t>
      </w:r>
      <w:r>
        <w:rPr>
          <w:rFonts w:ascii="FangSong" w:eastAsia="FangSong" w:hAnsi="FangSong" w:cs="FangSong"/>
          <w:spacing w:val="-2"/>
          <w:sz w:val="28"/>
          <w:szCs w:val="28"/>
        </w:rPr>
        <w:t>时掌握供货速度，督促供应商按期保质保量交货。</w:t>
      </w:r>
    </w:p>
    <w:p>
      <w:pPr>
        <w:spacing w:before="295" w:line="314" w:lineRule="auto"/>
        <w:ind w:left="59" w:right="281" w:firstLine="54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（2）对供应商进行评价、选择优质供应商，并建立和完</w:t>
      </w:r>
      <w:r>
        <w:rPr>
          <w:rFonts w:ascii="FangSong" w:eastAsia="FangSong" w:hAnsi="FangSong" w:cs="FangSong"/>
          <w:sz w:val="28"/>
          <w:szCs w:val="28"/>
        </w:rPr>
        <w:t>善供应</w:t>
      </w:r>
      <w:r>
        <w:rPr>
          <w:rFonts w:ascii="FangSong" w:eastAsia="FangSong" w:hAnsi="FangSong" w:cs="FangSong"/>
          <w:spacing w:val="-4"/>
          <w:sz w:val="28"/>
          <w:szCs w:val="28"/>
        </w:rPr>
        <w:t>商档案。对合作的供货商从供应商的技术力量、加工制造</w:t>
      </w:r>
      <w:r>
        <w:rPr>
          <w:rFonts w:ascii="FangSong" w:eastAsia="FangSong" w:hAnsi="FangSong" w:cs="FangSong"/>
          <w:spacing w:val="-5"/>
          <w:sz w:val="28"/>
          <w:szCs w:val="28"/>
        </w:rPr>
        <w:t>能力、货物</w:t>
      </w:r>
    </w:p>
    <w:p>
      <w:pPr>
        <w:spacing w:line="314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6"/>
          <w:footerReference w:type="default" r:id="rId7"/>
          <w:pgSz w:w="11907" w:h="16839"/>
          <w:pgMar w:top="2122" w:right="1518" w:bottom="1792" w:left="1769" w:header="803" w:footer="971" w:gutter="0"/>
          <w:cols w:space="720"/>
        </w:sectPr>
      </w:pPr>
    </w:p>
    <w:p>
      <w:pPr>
        <w:spacing w:before="127" w:line="411" w:lineRule="auto"/>
        <w:ind w:left="51" w:right="100" w:firstLine="12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的价格、质量、供货质量及周期等几个方面</w:t>
      </w:r>
      <w:r>
        <w:rPr>
          <w:rFonts w:ascii="FangSong" w:eastAsia="FangSong" w:hAnsi="FangSong" w:cs="FangSong"/>
          <w:spacing w:val="-5"/>
          <w:sz w:val="28"/>
          <w:szCs w:val="28"/>
        </w:rPr>
        <w:t>进行业绩评定，对符合要</w:t>
      </w:r>
      <w:r>
        <w:rPr>
          <w:rFonts w:ascii="FangSong" w:eastAsia="FangSong" w:hAnsi="FangSong" w:cs="FangSong"/>
          <w:spacing w:val="-4"/>
          <w:sz w:val="28"/>
          <w:szCs w:val="28"/>
        </w:rPr>
        <w:t>求的供货商列入合格供应商名录，对不符合要求的供货商及时进行淘</w:t>
      </w:r>
      <w:r>
        <w:rPr>
          <w:rFonts w:ascii="FangSong" w:eastAsia="FangSong" w:hAnsi="FangSong" w:cs="FangSong"/>
          <w:spacing w:val="-4"/>
          <w:sz w:val="28"/>
          <w:szCs w:val="28"/>
        </w:rPr>
        <w:t>汰和更换。</w:t>
      </w:r>
    </w:p>
    <w:p>
      <w:pPr>
        <w:spacing w:line="218" w:lineRule="auto"/>
        <w:ind w:left="603"/>
        <w:outlineLvl w:val="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3、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备件管理员</w:t>
      </w:r>
    </w:p>
    <w:p>
      <w:pPr>
        <w:spacing w:before="293" w:line="315" w:lineRule="auto"/>
        <w:ind w:left="47" w:right="41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（1）备件管理员负责备品备件管理工作，负责管理办法的组织</w:t>
      </w:r>
      <w:r>
        <w:rPr>
          <w:rFonts w:ascii="FangSong" w:eastAsia="FangSong" w:hAnsi="FangSong" w:cs="FangSong"/>
          <w:spacing w:val="-2"/>
          <w:sz w:val="28"/>
          <w:szCs w:val="28"/>
        </w:rPr>
        <w:t>和实施，负责备品备件的入库及出库管理，负责公司仓库的管理等。</w:t>
      </w:r>
    </w:p>
    <w:p>
      <w:pPr>
        <w:spacing w:before="297" w:line="387" w:lineRule="auto"/>
        <w:ind w:left="46" w:right="51" w:firstLine="56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（2）每批次备品备件到货后，备件管理员按要求对所进货物进</w:t>
      </w:r>
      <w:r>
        <w:rPr>
          <w:rFonts w:ascii="FangSong" w:eastAsia="FangSong" w:hAnsi="FangSong" w:cs="FangSong"/>
          <w:spacing w:val="-4"/>
          <w:sz w:val="28"/>
          <w:szCs w:val="28"/>
        </w:rPr>
        <w:t>行入库检测，从货物的包装、产品生产地、合格证、型号、规格、数</w:t>
      </w:r>
      <w:r>
        <w:rPr>
          <w:rFonts w:ascii="FangSong" w:eastAsia="FangSong" w:hAnsi="FangSong" w:cs="FangSong"/>
          <w:spacing w:val="-4"/>
          <w:sz w:val="28"/>
          <w:szCs w:val="28"/>
        </w:rPr>
        <w:t>量和外观质量等多方面逐一进行验证核对。如果全部验收合格，方可</w:t>
      </w:r>
      <w:r>
        <w:rPr>
          <w:rFonts w:ascii="FangSong" w:eastAsia="FangSong" w:hAnsi="FangSong" w:cs="FangSong"/>
          <w:spacing w:val="-4"/>
          <w:sz w:val="28"/>
          <w:szCs w:val="28"/>
        </w:rPr>
        <w:t>办理入库。如出现问题备件管理专责与物资采购专责、项目需求部门</w:t>
      </w:r>
      <w:r>
        <w:rPr>
          <w:rFonts w:ascii="FangSong" w:eastAsia="FangSong" w:hAnsi="FangSong" w:cs="FangSong"/>
          <w:spacing w:val="-4"/>
          <w:sz w:val="28"/>
          <w:szCs w:val="28"/>
        </w:rPr>
        <w:t>进行沟通，确认问题后再与供货商协商退换货事宜。验收合格后的备</w:t>
      </w:r>
      <w:r>
        <w:rPr>
          <w:rFonts w:ascii="FangSong" w:eastAsia="FangSong" w:hAnsi="FangSong" w:cs="FangSong"/>
          <w:spacing w:val="-2"/>
          <w:sz w:val="28"/>
          <w:szCs w:val="28"/>
        </w:rPr>
        <w:t>件由备件管理员办理入库手续，签录入库单，登记备件</w:t>
      </w:r>
      <w:r>
        <w:rPr>
          <w:rFonts w:ascii="FangSong" w:eastAsia="FangSong" w:hAnsi="FangSong" w:cs="FangSong"/>
          <w:spacing w:val="-3"/>
          <w:sz w:val="28"/>
          <w:szCs w:val="28"/>
        </w:rPr>
        <w:t>名称、型号、</w:t>
      </w:r>
      <w:r>
        <w:rPr>
          <w:rFonts w:ascii="FangSong" w:eastAsia="FangSong" w:hAnsi="FangSong" w:cs="FangSong"/>
          <w:spacing w:val="-4"/>
          <w:sz w:val="28"/>
          <w:szCs w:val="28"/>
        </w:rPr>
        <w:t>数量、厂商、入库时间等信息。备件验收合格办理入库手续后及时上</w:t>
      </w:r>
      <w:r>
        <w:rPr>
          <w:rFonts w:ascii="FangSong" w:eastAsia="FangSong" w:hAnsi="FangSong" w:cs="FangSong"/>
          <w:spacing w:val="-3"/>
          <w:sz w:val="28"/>
          <w:szCs w:val="28"/>
        </w:rPr>
        <w:t>架、入账。</w:t>
      </w:r>
    </w:p>
    <w:p>
      <w:pPr>
        <w:spacing w:before="293" w:line="347" w:lineRule="auto"/>
        <w:ind w:left="46" w:firstLine="56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（3）项目需求人员（运维人员）领用备件时，先到备品备件管</w:t>
      </w:r>
      <w:r>
        <w:rPr>
          <w:rFonts w:ascii="FangSong" w:eastAsia="FangSong" w:hAnsi="FangSong" w:cs="FangSong"/>
          <w:spacing w:val="-10"/>
          <w:sz w:val="28"/>
          <w:szCs w:val="28"/>
        </w:rPr>
        <w:t>理员处填写备件领用记录，经备件管理员核对备件名称、型号、规格、</w:t>
      </w:r>
      <w:r>
        <w:rPr>
          <w:rFonts w:ascii="FangSong" w:eastAsia="FangSong" w:hAnsi="FangSong" w:cs="FangSong"/>
          <w:spacing w:val="-4"/>
          <w:sz w:val="28"/>
          <w:szCs w:val="28"/>
        </w:rPr>
        <w:t>数量无误后方可领取备件。</w:t>
      </w:r>
    </w:p>
    <w:p>
      <w:pPr>
        <w:spacing w:before="293" w:line="347" w:lineRule="auto"/>
        <w:ind w:left="46" w:right="100" w:firstLine="56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（4）备件管理员将备件放置在安全可靠、干燥通风良好、温度</w:t>
      </w:r>
      <w:r>
        <w:rPr>
          <w:rFonts w:ascii="FangSong" w:eastAsia="FangSong" w:hAnsi="FangSong" w:cs="FangSong"/>
          <w:spacing w:val="-4"/>
          <w:sz w:val="28"/>
          <w:szCs w:val="28"/>
        </w:rPr>
        <w:t>适宜的地方，每月底负责日常性盘点做到帐、物相符，保证备件出入</w:t>
      </w:r>
      <w:r>
        <w:rPr>
          <w:rFonts w:ascii="FangSong" w:eastAsia="FangSong" w:hAnsi="FangSong" w:cs="FangSong"/>
          <w:spacing w:val="-6"/>
          <w:sz w:val="28"/>
          <w:szCs w:val="28"/>
        </w:rPr>
        <w:t>库记账无差错。</w:t>
      </w:r>
    </w:p>
    <w:p>
      <w:pPr>
        <w:spacing w:line="34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2122" w:right="1700" w:bottom="1912" w:left="1771" w:header="803" w:footer="1091" w:gutter="0"/>
          <w:cols w:space="720"/>
        </w:sectPr>
      </w:pPr>
    </w:p>
    <w:p>
      <w:pPr>
        <w:spacing w:before="125" w:line="217" w:lineRule="auto"/>
        <w:ind w:left="3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4、物资需求人员职责</w:t>
      </w:r>
    </w:p>
    <w:p>
      <w:pPr>
        <w:spacing w:before="293" w:line="405" w:lineRule="auto"/>
        <w:ind w:left="48" w:right="101" w:firstLine="56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需求部门负责办理物资采购申请，办理物资入库，根据需求办理</w:t>
      </w:r>
      <w:r>
        <w:rPr>
          <w:rFonts w:ascii="FangSong" w:eastAsia="FangSong" w:hAnsi="FangSong" w:cs="FangSong"/>
          <w:spacing w:val="-3"/>
          <w:sz w:val="28"/>
          <w:szCs w:val="28"/>
        </w:rPr>
        <w:t>物资领料出库。</w:t>
      </w:r>
    </w:p>
    <w:p>
      <w:pPr>
        <w:spacing w:line="224" w:lineRule="auto"/>
        <w:ind w:left="46"/>
        <w:outlineLvl w:val="1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7"/>
          <w:sz w:val="31"/>
          <w:szCs w:val="31"/>
        </w:rPr>
        <w:t>二、备件管理制度</w:t>
      </w:r>
    </w:p>
    <w:p>
      <w:pPr>
        <w:spacing w:before="268" w:line="216" w:lineRule="auto"/>
        <w:ind w:left="60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（1）树立“零库存”管理理念，利用市场满足生产工作需要。</w:t>
      </w:r>
    </w:p>
    <w:p>
      <w:pPr>
        <w:spacing w:before="296" w:line="315" w:lineRule="auto"/>
        <w:ind w:left="47" w:right="104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（2）备件库以服务生产、提高资金周转率、降低库存和减</w:t>
      </w:r>
      <w:r>
        <w:rPr>
          <w:rFonts w:ascii="FangSong" w:eastAsia="FangSong" w:hAnsi="FangSong" w:cs="FangSong"/>
          <w:sz w:val="28"/>
          <w:szCs w:val="28"/>
        </w:rPr>
        <w:t>少积</w:t>
      </w:r>
      <w:r>
        <w:rPr>
          <w:rFonts w:ascii="FangSong" w:eastAsia="FangSong" w:hAnsi="FangSong" w:cs="FangSong"/>
          <w:spacing w:val="-4"/>
          <w:sz w:val="28"/>
          <w:szCs w:val="28"/>
        </w:rPr>
        <w:t>压为目标。</w:t>
      </w:r>
    </w:p>
    <w:p>
      <w:pPr>
        <w:spacing w:before="292" w:line="216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（3）库存管理做到摆放整齐、取用方便，防火防盗、</w:t>
      </w:r>
      <w:r>
        <w:rPr>
          <w:rFonts w:ascii="FangSong" w:eastAsia="FangSong" w:hAnsi="FangSong" w:cs="FangSong"/>
          <w:spacing w:val="-6"/>
          <w:sz w:val="28"/>
          <w:szCs w:val="28"/>
        </w:rPr>
        <w:t>确保安全。</w:t>
      </w:r>
    </w:p>
    <w:p>
      <w:pPr>
        <w:spacing w:before="299" w:line="347" w:lineRule="auto"/>
        <w:ind w:left="47" w:right="98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（4）收料入库：备管理员对照已批准的物资采购计划（包</w:t>
      </w:r>
      <w:r>
        <w:rPr>
          <w:rFonts w:ascii="FangSong" w:eastAsia="FangSong" w:hAnsi="FangSong" w:cs="FangSong"/>
          <w:sz w:val="28"/>
          <w:szCs w:val="28"/>
        </w:rPr>
        <w:t>括名</w:t>
      </w:r>
      <w:r>
        <w:rPr>
          <w:rFonts w:ascii="FangSong" w:eastAsia="FangSong" w:hAnsi="FangSong" w:cs="FangSong"/>
          <w:spacing w:val="-4"/>
          <w:sz w:val="28"/>
          <w:szCs w:val="28"/>
        </w:rPr>
        <w:t>称、型号、规格、数量以及质量等）进行验收，合格后方可办理入库</w:t>
      </w:r>
      <w:r>
        <w:rPr>
          <w:rFonts w:ascii="FangSong" w:eastAsia="FangSong" w:hAnsi="FangSong" w:cs="FangSong"/>
          <w:spacing w:val="-6"/>
          <w:sz w:val="28"/>
          <w:szCs w:val="28"/>
        </w:rPr>
        <w:t>手续。</w:t>
      </w:r>
    </w:p>
    <w:p>
      <w:pPr>
        <w:spacing w:before="292" w:line="314" w:lineRule="auto"/>
        <w:ind w:left="62" w:right="124" w:firstLine="54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（5）对于重要物资，物资管理员应和营销部会同需求部门进行</w:t>
      </w:r>
      <w:r>
        <w:rPr>
          <w:rFonts w:ascii="FangSong" w:eastAsia="FangSong" w:hAnsi="FangSong" w:cs="FangSong"/>
          <w:spacing w:val="-7"/>
          <w:sz w:val="28"/>
          <w:szCs w:val="28"/>
        </w:rPr>
        <w:t>点验工作。</w:t>
      </w:r>
    </w:p>
    <w:p>
      <w:pPr>
        <w:spacing w:before="295" w:line="315" w:lineRule="auto"/>
        <w:ind w:left="47" w:right="133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（6）发料出库：发料出库，领料人必须办理登记，经部</w:t>
      </w:r>
      <w:r>
        <w:rPr>
          <w:rFonts w:ascii="FangSong" w:eastAsia="FangSong" w:hAnsi="FangSong" w:cs="FangSong"/>
          <w:spacing w:val="-1"/>
          <w:sz w:val="28"/>
          <w:szCs w:val="28"/>
        </w:rPr>
        <w:t>门主管</w:t>
      </w:r>
      <w:r>
        <w:rPr>
          <w:rFonts w:ascii="FangSong" w:eastAsia="FangSong" w:hAnsi="FangSong" w:cs="FangSong"/>
          <w:spacing w:val="-4"/>
          <w:sz w:val="28"/>
          <w:szCs w:val="28"/>
        </w:rPr>
        <w:t>领导审核。</w:t>
      </w:r>
    </w:p>
    <w:p>
      <w:pPr>
        <w:spacing w:before="294" w:line="217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（7）利旧物资按照“综合平衡，统一调拨利用”原则</w:t>
      </w:r>
      <w:r>
        <w:rPr>
          <w:rFonts w:ascii="FangSong" w:eastAsia="FangSong" w:hAnsi="FangSong" w:cs="FangSong"/>
          <w:spacing w:val="-6"/>
          <w:sz w:val="28"/>
          <w:szCs w:val="28"/>
        </w:rPr>
        <w:t>进行管理。</w:t>
      </w:r>
    </w:p>
    <w:p>
      <w:pPr>
        <w:spacing w:before="295" w:line="314" w:lineRule="auto"/>
        <w:ind w:left="54" w:right="127" w:firstLine="5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（8）尚未报废但部门长期不用设备，所在部门应及时将设备送</w:t>
      </w:r>
      <w:r>
        <w:rPr>
          <w:rFonts w:ascii="FangSong" w:eastAsia="FangSong" w:hAnsi="FangSong" w:cs="FangSong"/>
          <w:spacing w:val="-10"/>
          <w:sz w:val="28"/>
          <w:szCs w:val="28"/>
        </w:rPr>
        <w:t>交物资管理员；</w:t>
      </w:r>
    </w:p>
    <w:p>
      <w:pPr>
        <w:spacing w:before="296" w:line="315" w:lineRule="auto"/>
        <w:ind w:left="56" w:right="134" w:firstLine="55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（9）物资管理专责对利旧物资应登记造册，接收和利</w:t>
      </w:r>
      <w:r>
        <w:rPr>
          <w:rFonts w:ascii="FangSong" w:eastAsia="FangSong" w:hAnsi="FangSong" w:cs="FangSong"/>
          <w:spacing w:val="-1"/>
          <w:sz w:val="28"/>
          <w:szCs w:val="28"/>
        </w:rPr>
        <w:t>旧时均应</w:t>
      </w:r>
      <w:r>
        <w:rPr>
          <w:rFonts w:ascii="FangSong" w:eastAsia="FangSong" w:hAnsi="FangSong" w:cs="FangSong"/>
          <w:spacing w:val="-8"/>
          <w:sz w:val="28"/>
          <w:szCs w:val="28"/>
        </w:rPr>
        <w:t>办理交接手续。</w:t>
      </w:r>
    </w:p>
    <w:p>
      <w:pPr>
        <w:spacing w:line="315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0"/>
          <w:footerReference w:type="default" r:id="rId11"/>
          <w:pgSz w:w="11907" w:h="16839"/>
          <w:pgMar w:top="2122" w:right="1696" w:bottom="1912" w:left="1771" w:header="803" w:footer="1091" w:gutter="0"/>
          <w:cols w:space="720"/>
        </w:sectPr>
      </w:pPr>
    </w:p>
    <w:p>
      <w:pPr>
        <w:spacing w:before="125" w:line="217" w:lineRule="auto"/>
        <w:ind w:left="60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物出入库记录见下图：</w:t>
      </w:r>
    </w:p>
    <w:p>
      <w:pPr>
        <w:spacing w:before="136" w:line="5273" w:lineRule="exact"/>
        <w:ind w:firstLine="28"/>
      </w:pPr>
      <w:r>
        <w:rPr>
          <w:position w:val="-105"/>
        </w:rPr>
        <w:drawing>
          <wp:inline distT="0" distB="0" distL="0" distR="0">
            <wp:extent cx="5532119" cy="3348354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2119" cy="33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6" w:lineRule="auto"/>
      </w:pPr>
    </w:p>
    <w:p>
      <w:pPr>
        <w:pStyle w:val="BodyText"/>
        <w:spacing w:line="337" w:lineRule="auto"/>
      </w:pPr>
    </w:p>
    <w:p>
      <w:pPr>
        <w:spacing w:before="78" w:line="216" w:lineRule="auto"/>
        <w:ind w:left="52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物出出库（领料）记录见下图：</w:t>
      </w:r>
    </w:p>
    <w:p>
      <w:pPr>
        <w:spacing w:before="182" w:line="4460" w:lineRule="exact"/>
        <w:ind w:firstLine="28"/>
      </w:pPr>
      <w:r>
        <w:rPr>
          <w:position w:val="-89"/>
        </w:rPr>
        <w:drawing>
          <wp:inline distT="0" distB="0" distL="0" distR="0">
            <wp:extent cx="5325109" cy="2832099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5109" cy="283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60" w:lineRule="exact"/>
        <w:sectPr>
          <w:headerReference w:type="default" r:id="rId14"/>
          <w:footerReference w:type="default" r:id="rId15"/>
          <w:pgSz w:w="11907" w:h="16839"/>
          <w:pgMar w:top="2122" w:right="1394" w:bottom="1912" w:left="1771" w:header="803" w:footer="1091" w:gutter="0"/>
          <w:cols w:space="720"/>
        </w:sectPr>
      </w:pPr>
    </w:p>
    <w:p>
      <w:pPr>
        <w:spacing w:before="67" w:line="218" w:lineRule="auto"/>
        <w:ind w:left="52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9"/>
          <w:sz w:val="24"/>
          <w:szCs w:val="24"/>
        </w:rPr>
        <w:t>备件库如下图：</w:t>
      </w:r>
    </w:p>
    <w:p>
      <w:pPr>
        <w:spacing w:before="191" w:line="4755" w:lineRule="exact"/>
        <w:ind w:firstLine="28"/>
      </w:pPr>
      <w:r>
        <w:rPr>
          <w:position w:val="-95"/>
        </w:rPr>
        <w:drawing>
          <wp:inline distT="0" distB="0" distL="0" distR="0">
            <wp:extent cx="4465955" cy="3019424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5955" cy="30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</w:pPr>
    </w:p>
    <w:p>
      <w:pPr>
        <w:pStyle w:val="BodyText"/>
        <w:spacing w:line="269" w:lineRule="auto"/>
      </w:pPr>
    </w:p>
    <w:p>
      <w:pPr>
        <w:pStyle w:val="BodyText"/>
        <w:spacing w:line="269" w:lineRule="auto"/>
      </w:pPr>
    </w:p>
    <w:p>
      <w:pPr>
        <w:spacing w:line="5162" w:lineRule="exact"/>
        <w:ind w:firstLine="28"/>
      </w:pPr>
      <w:r>
        <w:rPr>
          <w:position w:val="-103"/>
        </w:rPr>
        <w:drawing>
          <wp:inline distT="0" distB="0" distL="0" distR="0">
            <wp:extent cx="4875530" cy="327787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55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62" w:lineRule="exact"/>
        <w:sectPr>
          <w:headerReference w:type="default" r:id="rId18"/>
          <w:footerReference w:type="default" r:id="rId19"/>
          <w:pgSz w:w="11907" w:h="16839"/>
          <w:pgMar w:top="2122" w:right="1769" w:bottom="1912" w:left="1771" w:header="803" w:footer="1091" w:gutter="0"/>
          <w:cols w:space="720"/>
        </w:sectPr>
      </w:pPr>
    </w:p>
    <w:p>
      <w:pPr>
        <w:spacing w:before="105" w:line="224" w:lineRule="auto"/>
        <w:ind w:left="47"/>
        <w:outlineLvl w:val="1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8"/>
          <w:sz w:val="31"/>
          <w:szCs w:val="31"/>
        </w:rPr>
        <w:t>三、备件各项指标达成情况分析</w:t>
      </w:r>
    </w:p>
    <w:p>
      <w:pPr>
        <w:spacing w:before="265" w:line="412" w:lineRule="auto"/>
        <w:ind w:left="40" w:firstLine="856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为对备件的到货和入库进行管理，设立的备件过</w:t>
      </w:r>
      <w:r>
        <w:rPr>
          <w:rFonts w:ascii="FangSong" w:eastAsia="FangSong" w:hAnsi="FangSong" w:cs="FangSong"/>
          <w:spacing w:val="-4"/>
          <w:sz w:val="28"/>
          <w:szCs w:val="28"/>
        </w:rPr>
        <w:t>程管理目标，</w:t>
      </w:r>
      <w:r>
        <w:rPr>
          <w:rFonts w:ascii="FangSong" w:eastAsia="FangSong" w:hAnsi="FangSong" w:cs="FangSong"/>
          <w:spacing w:val="-3"/>
          <w:sz w:val="28"/>
          <w:szCs w:val="28"/>
        </w:rPr>
        <w:t>分别为备件到货及时率&gt;98%、备件入库合格率&gt;98%。</w:t>
      </w:r>
      <w:r>
        <w:rPr>
          <w:rFonts w:ascii="FangSong" w:eastAsia="FangSong" w:hAnsi="FangSong" w:cs="FangSong"/>
          <w:spacing w:val="-3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截</w:t>
      </w:r>
      <w:r>
        <w:rPr>
          <w:rFonts w:ascii="FangSong" w:eastAsia="FangSong" w:hAnsi="FangSong" w:cs="FangSong"/>
          <w:spacing w:val="-4"/>
          <w:sz w:val="28"/>
          <w:szCs w:val="28"/>
        </w:rPr>
        <w:t>止到</w:t>
      </w:r>
      <w:r>
        <w:rPr>
          <w:rFonts w:ascii="FangSong" w:eastAsia="FangSong" w:hAnsi="FangSong" w:cs="FangSong"/>
          <w:spacing w:val="-5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2023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年</w:t>
      </w:r>
      <w:r>
        <w:rPr>
          <w:rFonts w:ascii="FangSong" w:eastAsia="FangSong" w:hAnsi="FangSong" w:cs="FangSong"/>
          <w:spacing w:val="-3"/>
          <w:sz w:val="28"/>
          <w:szCs w:val="28"/>
        </w:rPr>
        <w:t>6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月年到货及时率为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100%，入库合格率为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100%，各项记录均达到目</w:t>
      </w:r>
      <w:r>
        <w:rPr>
          <w:rFonts w:ascii="FangSong" w:eastAsia="FangSong" w:hAnsi="FangSong" w:cs="FangSong"/>
          <w:spacing w:val="-2"/>
          <w:sz w:val="28"/>
          <w:szCs w:val="28"/>
        </w:rPr>
        <w:t>标，具体情况如下：</w:t>
      </w:r>
    </w:p>
    <w:p>
      <w:pPr>
        <w:spacing w:line="218" w:lineRule="auto"/>
        <w:ind w:left="6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1、备件到货及时率</w:t>
      </w:r>
    </w:p>
    <w:p>
      <w:pPr>
        <w:spacing w:before="291" w:line="219" w:lineRule="auto"/>
        <w:ind w:left="6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2023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年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1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月-6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月备件到货及时率指标及</w:t>
      </w:r>
      <w:r>
        <w:rPr>
          <w:rFonts w:ascii="FangSong" w:eastAsia="FangSong" w:hAnsi="FangSong" w:cs="FangSong"/>
          <w:spacing w:val="-6"/>
          <w:sz w:val="28"/>
          <w:szCs w:val="28"/>
        </w:rPr>
        <w:t>完成情况</w:t>
      </w:r>
    </w:p>
    <w:p>
      <w:pPr>
        <w:spacing w:line="118" w:lineRule="exact"/>
      </w:pPr>
    </w:p>
    <w:tbl>
      <w:tblPr>
        <w:tblStyle w:val="TableNormal"/>
        <w:tblW w:w="7964" w:type="dxa"/>
        <w:tblInd w:w="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489"/>
        <w:gridCol w:w="2572"/>
        <w:gridCol w:w="2571"/>
        <w:gridCol w:w="1332"/>
      </w:tblGrid>
      <w:tr>
        <w:tblPrEx>
          <w:tblW w:w="7964" w:type="dxa"/>
          <w:tblInd w:w="1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5"/>
        </w:trPr>
        <w:tc>
          <w:tcPr>
            <w:tcW w:w="1489" w:type="dxa"/>
          </w:tcPr>
          <w:p>
            <w:pPr>
              <w:spacing w:before="180" w:line="219" w:lineRule="auto"/>
              <w:ind w:left="6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月份</w:t>
            </w:r>
          </w:p>
        </w:tc>
        <w:tc>
          <w:tcPr>
            <w:tcW w:w="2572" w:type="dxa"/>
          </w:tcPr>
          <w:p>
            <w:pPr>
              <w:spacing w:before="180" w:line="219" w:lineRule="auto"/>
              <w:ind w:left="6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备件管理指标</w:t>
            </w:r>
          </w:p>
        </w:tc>
        <w:tc>
          <w:tcPr>
            <w:tcW w:w="2571" w:type="dxa"/>
          </w:tcPr>
          <w:p>
            <w:pPr>
              <w:spacing w:before="180" w:line="219" w:lineRule="auto"/>
              <w:ind w:left="68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完成情况</w:t>
            </w:r>
          </w:p>
        </w:tc>
        <w:tc>
          <w:tcPr>
            <w:tcW w:w="1332" w:type="dxa"/>
          </w:tcPr>
          <w:p>
            <w:pPr>
              <w:spacing w:before="180" w:line="221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备注</w:t>
            </w:r>
          </w:p>
        </w:tc>
      </w:tr>
      <w:tr>
        <w:tblPrEx>
          <w:tblW w:w="7964" w:type="dxa"/>
          <w:tblInd w:w="12" w:type="dxa"/>
          <w:tblLayout w:type="fixed"/>
        </w:tblPrEx>
        <w:trPr>
          <w:trHeight w:val="627"/>
        </w:trPr>
        <w:tc>
          <w:tcPr>
            <w:tcW w:w="1489" w:type="dxa"/>
          </w:tcPr>
          <w:p>
            <w:pPr>
              <w:spacing w:before="175" w:line="219" w:lineRule="auto"/>
              <w:ind w:left="6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75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75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964" w:type="dxa"/>
          <w:tblInd w:w="12" w:type="dxa"/>
          <w:tblLayout w:type="fixed"/>
        </w:tblPrEx>
        <w:trPr>
          <w:trHeight w:val="628"/>
        </w:trPr>
        <w:tc>
          <w:tcPr>
            <w:tcW w:w="1489" w:type="dxa"/>
          </w:tcPr>
          <w:p>
            <w:pPr>
              <w:spacing w:before="177" w:line="219" w:lineRule="auto"/>
              <w:ind w:left="6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77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77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964" w:type="dxa"/>
          <w:tblInd w:w="12" w:type="dxa"/>
          <w:tblLayout w:type="fixed"/>
        </w:tblPrEx>
        <w:trPr>
          <w:trHeight w:val="628"/>
        </w:trPr>
        <w:tc>
          <w:tcPr>
            <w:tcW w:w="1489" w:type="dxa"/>
          </w:tcPr>
          <w:p>
            <w:pPr>
              <w:spacing w:before="177" w:line="219" w:lineRule="auto"/>
              <w:ind w:left="6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77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77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964" w:type="dxa"/>
          <w:tblInd w:w="12" w:type="dxa"/>
          <w:tblLayout w:type="fixed"/>
        </w:tblPrEx>
        <w:trPr>
          <w:trHeight w:val="628"/>
        </w:trPr>
        <w:tc>
          <w:tcPr>
            <w:tcW w:w="1489" w:type="dxa"/>
          </w:tcPr>
          <w:p>
            <w:pPr>
              <w:spacing w:before="178" w:line="219" w:lineRule="auto"/>
              <w:ind w:left="6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78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78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964" w:type="dxa"/>
          <w:tblInd w:w="12" w:type="dxa"/>
          <w:tblLayout w:type="fixed"/>
        </w:tblPrEx>
        <w:trPr>
          <w:trHeight w:val="628"/>
        </w:trPr>
        <w:tc>
          <w:tcPr>
            <w:tcW w:w="1489" w:type="dxa"/>
          </w:tcPr>
          <w:p>
            <w:pPr>
              <w:spacing w:before="178" w:line="219" w:lineRule="auto"/>
              <w:ind w:left="6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5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78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78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964" w:type="dxa"/>
          <w:tblInd w:w="12" w:type="dxa"/>
          <w:tblLayout w:type="fixed"/>
        </w:tblPrEx>
        <w:trPr>
          <w:trHeight w:val="635"/>
        </w:trPr>
        <w:tc>
          <w:tcPr>
            <w:tcW w:w="1489" w:type="dxa"/>
          </w:tcPr>
          <w:p>
            <w:pPr>
              <w:spacing w:before="181" w:line="219" w:lineRule="auto"/>
              <w:ind w:left="6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81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81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411" w:lineRule="auto"/>
        <w:ind w:left="67" w:right="32" w:firstLine="54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分析：质量目标：到货及时率&gt;98%，2023</w:t>
      </w:r>
      <w:r>
        <w:rPr>
          <w:rFonts w:ascii="FangSong" w:eastAsia="FangSong" w:hAnsi="FangSong" w:cs="FangSong"/>
          <w:spacing w:val="-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年</w:t>
      </w:r>
      <w:r>
        <w:rPr>
          <w:rFonts w:ascii="FangSong" w:eastAsia="FangSong" w:hAnsi="FangSong" w:cs="FangSong"/>
          <w:spacing w:val="-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</w:t>
      </w:r>
      <w:r>
        <w:rPr>
          <w:rFonts w:ascii="FangSong" w:eastAsia="FangSong" w:hAnsi="FangSong" w:cs="FangSong"/>
          <w:spacing w:val="-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月至</w:t>
      </w:r>
      <w:r>
        <w:rPr>
          <w:rFonts w:ascii="FangSong" w:eastAsia="FangSong" w:hAnsi="FangSong" w:cs="FangSong"/>
          <w:spacing w:val="-3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6</w:t>
      </w:r>
      <w:r>
        <w:rPr>
          <w:rFonts w:ascii="FangSong" w:eastAsia="FangSong" w:hAnsi="FangSong" w:cs="FangSong"/>
          <w:spacing w:val="-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月到货及</w:t>
      </w:r>
      <w:r>
        <w:rPr>
          <w:rFonts w:ascii="FangSong" w:eastAsia="FangSong" w:hAnsi="FangSong" w:cs="FangSong"/>
          <w:spacing w:val="-6"/>
          <w:sz w:val="28"/>
          <w:szCs w:val="28"/>
        </w:rPr>
        <w:t>时率为</w:t>
      </w:r>
      <w:r>
        <w:rPr>
          <w:rFonts w:ascii="FangSong" w:eastAsia="FangSong" w:hAnsi="FangSong" w:cs="FangSong"/>
          <w:spacing w:val="-2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100%，都能达到管理目标。</w:t>
      </w:r>
    </w:p>
    <w:p>
      <w:pPr>
        <w:spacing w:before="1" w:line="218" w:lineRule="auto"/>
        <w:ind w:left="60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2、备件入库合格率</w:t>
      </w:r>
    </w:p>
    <w:p>
      <w:pPr>
        <w:spacing w:before="292" w:line="219" w:lineRule="auto"/>
        <w:ind w:left="60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2023</w:t>
      </w:r>
      <w:r>
        <w:rPr>
          <w:rFonts w:ascii="FangSong" w:eastAsia="FangSong" w:hAnsi="FangSong" w:cs="FangSong"/>
          <w:spacing w:val="-4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年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月-6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月备件入库合格率及完成情况</w:t>
      </w:r>
    </w:p>
    <w:p>
      <w:pPr>
        <w:spacing w:line="21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0"/>
          <w:footerReference w:type="default" r:id="rId21"/>
          <w:pgSz w:w="11907" w:h="16839"/>
          <w:pgMar w:top="2122" w:right="1762" w:bottom="1912" w:left="1771" w:header="803" w:footer="1091" w:gutter="0"/>
          <w:cols w:space="720"/>
        </w:sectPr>
      </w:pPr>
    </w:p>
    <w:tbl>
      <w:tblPr>
        <w:tblStyle w:val="TableNormal"/>
        <w:tblW w:w="7964" w:type="dxa"/>
        <w:tblInd w:w="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489"/>
        <w:gridCol w:w="2572"/>
        <w:gridCol w:w="2571"/>
        <w:gridCol w:w="1332"/>
      </w:tblGrid>
      <w:tr>
        <w:tblPrEx>
          <w:tblW w:w="7964" w:type="dxa"/>
          <w:tblInd w:w="1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5"/>
        </w:trPr>
        <w:tc>
          <w:tcPr>
            <w:tcW w:w="1489" w:type="dxa"/>
          </w:tcPr>
          <w:p>
            <w:pPr>
              <w:spacing w:before="180" w:line="219" w:lineRule="auto"/>
              <w:ind w:left="6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月份</w:t>
            </w:r>
          </w:p>
        </w:tc>
        <w:tc>
          <w:tcPr>
            <w:tcW w:w="2572" w:type="dxa"/>
          </w:tcPr>
          <w:p>
            <w:pPr>
              <w:spacing w:before="180" w:line="219" w:lineRule="auto"/>
              <w:ind w:left="6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指标</w:t>
            </w:r>
          </w:p>
        </w:tc>
        <w:tc>
          <w:tcPr>
            <w:tcW w:w="2571" w:type="dxa"/>
          </w:tcPr>
          <w:p>
            <w:pPr>
              <w:spacing w:before="180" w:line="219" w:lineRule="auto"/>
              <w:ind w:left="68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完成情况</w:t>
            </w:r>
          </w:p>
        </w:tc>
        <w:tc>
          <w:tcPr>
            <w:tcW w:w="1332" w:type="dxa"/>
          </w:tcPr>
          <w:p>
            <w:pPr>
              <w:spacing w:before="180" w:line="221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备注</w:t>
            </w:r>
          </w:p>
        </w:tc>
      </w:tr>
      <w:tr>
        <w:tblPrEx>
          <w:tblW w:w="7964" w:type="dxa"/>
          <w:tblInd w:w="12" w:type="dxa"/>
          <w:tblLayout w:type="fixed"/>
        </w:tblPrEx>
        <w:trPr>
          <w:trHeight w:val="628"/>
        </w:trPr>
        <w:tc>
          <w:tcPr>
            <w:tcW w:w="1489" w:type="dxa"/>
          </w:tcPr>
          <w:p>
            <w:pPr>
              <w:spacing w:before="175" w:line="219" w:lineRule="auto"/>
              <w:ind w:left="6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75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75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964" w:type="dxa"/>
          <w:tblInd w:w="12" w:type="dxa"/>
          <w:tblLayout w:type="fixed"/>
        </w:tblPrEx>
        <w:trPr>
          <w:trHeight w:val="628"/>
        </w:trPr>
        <w:tc>
          <w:tcPr>
            <w:tcW w:w="1489" w:type="dxa"/>
          </w:tcPr>
          <w:p>
            <w:pPr>
              <w:spacing w:before="175" w:line="219" w:lineRule="auto"/>
              <w:ind w:left="6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75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75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964" w:type="dxa"/>
          <w:tblInd w:w="12" w:type="dxa"/>
          <w:tblLayout w:type="fixed"/>
        </w:tblPrEx>
        <w:trPr>
          <w:trHeight w:val="628"/>
        </w:trPr>
        <w:tc>
          <w:tcPr>
            <w:tcW w:w="1489" w:type="dxa"/>
          </w:tcPr>
          <w:p>
            <w:pPr>
              <w:spacing w:before="176" w:line="219" w:lineRule="auto"/>
              <w:ind w:left="6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76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76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964" w:type="dxa"/>
          <w:tblInd w:w="12" w:type="dxa"/>
          <w:tblLayout w:type="fixed"/>
        </w:tblPrEx>
        <w:trPr>
          <w:trHeight w:val="628"/>
        </w:trPr>
        <w:tc>
          <w:tcPr>
            <w:tcW w:w="1489" w:type="dxa"/>
          </w:tcPr>
          <w:p>
            <w:pPr>
              <w:spacing w:before="177" w:line="219" w:lineRule="auto"/>
              <w:ind w:left="6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77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77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964" w:type="dxa"/>
          <w:tblInd w:w="12" w:type="dxa"/>
          <w:tblLayout w:type="fixed"/>
        </w:tblPrEx>
        <w:trPr>
          <w:trHeight w:val="628"/>
        </w:trPr>
        <w:tc>
          <w:tcPr>
            <w:tcW w:w="1489" w:type="dxa"/>
          </w:tcPr>
          <w:p>
            <w:pPr>
              <w:spacing w:before="178" w:line="219" w:lineRule="auto"/>
              <w:ind w:left="6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5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78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78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964" w:type="dxa"/>
          <w:tblInd w:w="12" w:type="dxa"/>
          <w:tblLayout w:type="fixed"/>
        </w:tblPrEx>
        <w:trPr>
          <w:trHeight w:val="635"/>
        </w:trPr>
        <w:tc>
          <w:tcPr>
            <w:tcW w:w="1489" w:type="dxa"/>
          </w:tcPr>
          <w:p>
            <w:pPr>
              <w:spacing w:before="181" w:line="219" w:lineRule="auto"/>
              <w:ind w:left="6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2572" w:type="dxa"/>
          </w:tcPr>
          <w:p>
            <w:pPr>
              <w:spacing w:before="181" w:line="237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4"/>
                <w:sz w:val="28"/>
                <w:szCs w:val="28"/>
              </w:rPr>
              <w:t>﹥98%</w:t>
            </w:r>
          </w:p>
        </w:tc>
        <w:tc>
          <w:tcPr>
            <w:tcW w:w="2571" w:type="dxa"/>
          </w:tcPr>
          <w:p>
            <w:pPr>
              <w:spacing w:before="181" w:line="237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2" w:line="412" w:lineRule="auto"/>
        <w:ind w:left="46" w:firstLine="56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分析：备件到货后，对每一备件从包装、产品生产地、合格证、</w:t>
      </w:r>
      <w:r>
        <w:rPr>
          <w:rFonts w:ascii="FangSong" w:eastAsia="FangSong" w:hAnsi="FangSong" w:cs="FangSong"/>
          <w:spacing w:val="-2"/>
          <w:sz w:val="28"/>
          <w:szCs w:val="28"/>
        </w:rPr>
        <w:t>数量等方面进行检测，检测合格后逐一标识办理入库手续。</w:t>
      </w:r>
    </w:p>
    <w:p>
      <w:pPr>
        <w:spacing w:before="1" w:line="411" w:lineRule="auto"/>
        <w:ind w:left="49" w:right="10" w:firstLine="566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为提高备件管理的质量，设立公司级运维服务能力资源类指</w:t>
      </w:r>
      <w:r>
        <w:rPr>
          <w:rFonts w:ascii="FangSong" w:eastAsia="FangSong" w:hAnsi="FangSong" w:cs="FangSong"/>
          <w:spacing w:val="-4"/>
          <w:sz w:val="28"/>
          <w:szCs w:val="28"/>
        </w:rPr>
        <w:t>标，</w:t>
      </w:r>
      <w:r>
        <w:rPr>
          <w:rFonts w:ascii="FangSong" w:eastAsia="FangSong" w:hAnsi="FangSong" w:cs="FangSong"/>
          <w:spacing w:val="17"/>
          <w:sz w:val="28"/>
          <w:szCs w:val="28"/>
        </w:rPr>
        <w:t>备件可用率≥95%，备品备件出库合格数/备品备件出库</w:t>
      </w:r>
      <w:r>
        <w:rPr>
          <w:rFonts w:ascii="FangSong" w:eastAsia="FangSong" w:hAnsi="FangSong" w:cs="FangSong"/>
          <w:spacing w:val="16"/>
          <w:sz w:val="28"/>
          <w:szCs w:val="28"/>
        </w:rPr>
        <w:t>总数</w:t>
      </w:r>
      <w:r>
        <w:rPr>
          <w:rFonts w:ascii="FangSong" w:eastAsia="FangSong" w:hAnsi="FangSong" w:cs="FangSong"/>
          <w:spacing w:val="9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6"/>
          <w:sz w:val="28"/>
          <w:szCs w:val="28"/>
        </w:rPr>
        <w:t>×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100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%，考核频次为季度。</w:t>
      </w:r>
    </w:p>
    <w:p>
      <w:pPr>
        <w:spacing w:line="218" w:lineRule="auto"/>
        <w:ind w:left="6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1、2023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年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1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季度、2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季度，备件可用率</w:t>
      </w:r>
      <w:r>
        <w:rPr>
          <w:rFonts w:ascii="FangSong" w:eastAsia="FangSong" w:hAnsi="FangSong" w:cs="FangSong"/>
          <w:spacing w:val="-6"/>
          <w:sz w:val="28"/>
          <w:szCs w:val="28"/>
        </w:rPr>
        <w:t>达成情况</w:t>
      </w:r>
    </w:p>
    <w:p>
      <w:pPr>
        <w:spacing w:line="118" w:lineRule="exact"/>
      </w:pPr>
    </w:p>
    <w:tbl>
      <w:tblPr>
        <w:tblStyle w:val="TableNormal"/>
        <w:tblW w:w="7964" w:type="dxa"/>
        <w:tblInd w:w="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861"/>
        <w:gridCol w:w="2200"/>
        <w:gridCol w:w="2571"/>
        <w:gridCol w:w="1332"/>
      </w:tblGrid>
      <w:tr>
        <w:tblPrEx>
          <w:tblW w:w="7964" w:type="dxa"/>
          <w:tblInd w:w="1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2"/>
        </w:trPr>
        <w:tc>
          <w:tcPr>
            <w:tcW w:w="1861" w:type="dxa"/>
          </w:tcPr>
          <w:p>
            <w:pPr>
              <w:spacing w:before="177" w:line="219" w:lineRule="auto"/>
              <w:ind w:left="6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月份</w:t>
            </w:r>
          </w:p>
        </w:tc>
        <w:tc>
          <w:tcPr>
            <w:tcW w:w="2200" w:type="dxa"/>
          </w:tcPr>
          <w:p>
            <w:pPr>
              <w:spacing w:before="177" w:line="219" w:lineRule="auto"/>
              <w:ind w:left="6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指标</w:t>
            </w:r>
          </w:p>
        </w:tc>
        <w:tc>
          <w:tcPr>
            <w:tcW w:w="2571" w:type="dxa"/>
          </w:tcPr>
          <w:p>
            <w:pPr>
              <w:spacing w:before="177" w:line="219" w:lineRule="auto"/>
              <w:ind w:left="6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达成情况</w:t>
            </w:r>
          </w:p>
        </w:tc>
        <w:tc>
          <w:tcPr>
            <w:tcW w:w="1332" w:type="dxa"/>
          </w:tcPr>
          <w:p>
            <w:pPr>
              <w:spacing w:before="178" w:line="221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备注</w:t>
            </w:r>
          </w:p>
        </w:tc>
      </w:tr>
      <w:tr>
        <w:tblPrEx>
          <w:tblW w:w="7964" w:type="dxa"/>
          <w:tblInd w:w="12" w:type="dxa"/>
          <w:tblLayout w:type="fixed"/>
        </w:tblPrEx>
        <w:trPr>
          <w:trHeight w:val="627"/>
        </w:trPr>
        <w:tc>
          <w:tcPr>
            <w:tcW w:w="1861" w:type="dxa"/>
          </w:tcPr>
          <w:p>
            <w:pPr>
              <w:spacing w:before="176" w:line="219" w:lineRule="auto"/>
              <w:ind w:left="6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8"/>
                <w:sz w:val="28"/>
                <w:szCs w:val="28"/>
              </w:rPr>
              <w:t>1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28"/>
                <w:szCs w:val="28"/>
              </w:rPr>
              <w:t>季度</w:t>
            </w:r>
          </w:p>
        </w:tc>
        <w:tc>
          <w:tcPr>
            <w:tcW w:w="2200" w:type="dxa"/>
          </w:tcPr>
          <w:p>
            <w:pPr>
              <w:spacing w:before="176" w:line="237" w:lineRule="auto"/>
              <w:ind w:left="7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≥95%</w:t>
            </w:r>
          </w:p>
        </w:tc>
        <w:tc>
          <w:tcPr>
            <w:tcW w:w="2571" w:type="dxa"/>
          </w:tcPr>
          <w:p>
            <w:pPr>
              <w:spacing w:before="176" w:line="237" w:lineRule="auto"/>
              <w:ind w:left="6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95%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964" w:type="dxa"/>
          <w:tblInd w:w="12" w:type="dxa"/>
          <w:tblLayout w:type="fixed"/>
        </w:tblPrEx>
        <w:trPr>
          <w:trHeight w:val="632"/>
        </w:trPr>
        <w:tc>
          <w:tcPr>
            <w:tcW w:w="1861" w:type="dxa"/>
          </w:tcPr>
          <w:p>
            <w:pPr>
              <w:spacing w:before="177" w:line="219" w:lineRule="auto"/>
              <w:ind w:left="6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2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季度</w:t>
            </w:r>
          </w:p>
        </w:tc>
        <w:tc>
          <w:tcPr>
            <w:tcW w:w="2200" w:type="dxa"/>
          </w:tcPr>
          <w:p>
            <w:pPr>
              <w:spacing w:before="177" w:line="237" w:lineRule="auto"/>
              <w:ind w:left="7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≥95%</w:t>
            </w:r>
          </w:p>
        </w:tc>
        <w:tc>
          <w:tcPr>
            <w:tcW w:w="2571" w:type="dxa"/>
          </w:tcPr>
          <w:p>
            <w:pPr>
              <w:spacing w:before="177" w:line="237" w:lineRule="auto"/>
              <w:ind w:left="6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95%</w:t>
            </w:r>
          </w:p>
        </w:tc>
        <w:tc>
          <w:tcPr>
            <w:tcW w:w="1332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22"/>
          <w:footerReference w:type="default" r:id="rId23"/>
          <w:pgSz w:w="11907" w:h="16839"/>
          <w:pgMar w:top="2074" w:right="1752" w:bottom="1912" w:left="1771" w:header="803" w:footer="1091" w:gutter="0"/>
          <w:cols w:space="720"/>
        </w:sectPr>
      </w:pPr>
    </w:p>
    <w:p>
      <w:pPr>
        <w:pStyle w:val="BodyText"/>
        <w:spacing w:line="468" w:lineRule="auto"/>
      </w:pPr>
    </w:p>
    <w:p>
      <w:pPr>
        <w:spacing w:before="101" w:line="226" w:lineRule="auto"/>
        <w:ind w:left="60"/>
        <w:outlineLvl w:val="1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6"/>
          <w:sz w:val="31"/>
          <w:szCs w:val="31"/>
        </w:rPr>
        <w:t>四、备品备件检测情况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91" w:line="397" w:lineRule="auto"/>
        <w:ind w:left="49" w:right="27" w:firstLine="562"/>
        <w:rPr>
          <w:rFonts w:ascii="FangSong" w:eastAsia="FangSong" w:hAnsi="FangSong" w:cs="FangSong"/>
          <w:sz w:val="28"/>
          <w:szCs w:val="2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3544773</wp:posOffset>
            </wp:positionH>
            <wp:positionV relativeFrom="paragraph">
              <wp:posOffset>805672</wp:posOffset>
            </wp:positionV>
            <wp:extent cx="1747520" cy="2446019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7520" cy="2446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eastAsia="FangSong" w:hAnsi="FangSong" w:cs="FangSong"/>
          <w:spacing w:val="-4"/>
          <w:sz w:val="28"/>
          <w:szCs w:val="28"/>
        </w:rPr>
        <w:t>公司备品备件管理工作中，遵守备品备件管理制度，严格</w:t>
      </w:r>
      <w:r>
        <w:rPr>
          <w:rFonts w:ascii="FangSong" w:eastAsia="FangSong" w:hAnsi="FangSong" w:cs="FangSong"/>
          <w:spacing w:val="-5"/>
          <w:sz w:val="28"/>
          <w:szCs w:val="28"/>
        </w:rPr>
        <w:t>执行对</w:t>
      </w:r>
      <w:r>
        <w:rPr>
          <w:rFonts w:ascii="FangSong" w:eastAsia="FangSong" w:hAnsi="FangSong" w:cs="FangSong"/>
          <w:spacing w:val="-3"/>
          <w:sz w:val="28"/>
          <w:szCs w:val="28"/>
        </w:rPr>
        <w:t>备品备件的检测工作。</w:t>
      </w:r>
    </w:p>
    <w:p>
      <w:pPr>
        <w:spacing w:line="3825" w:lineRule="exact"/>
        <w:ind w:firstLine="448"/>
      </w:pPr>
      <w:r>
        <w:rPr>
          <w:position w:val="-76"/>
        </w:rPr>
        <w:drawing>
          <wp:inline distT="0" distB="0" distL="0" distR="0">
            <wp:extent cx="2091055" cy="2429509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1055" cy="242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5" w:line="5215" w:lineRule="exact"/>
        <w:ind w:firstLine="28"/>
      </w:pPr>
      <w:r>
        <w:rPr>
          <w:position w:val="-104"/>
        </w:rPr>
        <w:drawing>
          <wp:inline distT="0" distB="0" distL="0" distR="0">
            <wp:extent cx="4648200" cy="33115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2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215" w:lineRule="exact"/>
        <w:sectPr>
          <w:headerReference w:type="default" r:id="rId27"/>
          <w:footerReference w:type="default" r:id="rId28"/>
          <w:pgSz w:w="11907" w:h="16839"/>
          <w:pgMar w:top="2122" w:right="1769" w:bottom="1912" w:left="1771" w:header="803" w:footer="1091" w:gutter="0"/>
          <w:cols w:space="720"/>
        </w:sectPr>
      </w:pPr>
    </w:p>
    <w:p>
      <w:pPr>
        <w:pStyle w:val="BodyText"/>
        <w:spacing w:line="468" w:lineRule="auto"/>
      </w:pPr>
    </w:p>
    <w:p>
      <w:pPr>
        <w:spacing w:before="101" w:line="216" w:lineRule="auto"/>
        <w:ind w:left="49"/>
        <w:outlineLvl w:val="1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8"/>
          <w:sz w:val="31"/>
          <w:szCs w:val="31"/>
        </w:rPr>
        <w:t>五、严选供应商，保障服务供应链稳定</w:t>
      </w:r>
    </w:p>
    <w:p>
      <w:pPr>
        <w:spacing w:before="122" w:line="6216" w:lineRule="exact"/>
        <w:ind w:firstLine="448"/>
      </w:pPr>
      <w:r>
        <w:rPr>
          <w:position w:val="-124"/>
        </w:rPr>
        <w:drawing>
          <wp:inline distT="0" distB="0" distL="0" distR="0">
            <wp:extent cx="2744470" cy="3947159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4470" cy="394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16" w:lineRule="exact"/>
        <w:sectPr>
          <w:footerReference w:type="default" r:id="rId30"/>
          <w:pgSz w:w="11907" w:h="16839"/>
          <w:pgMar w:top="2122" w:right="1769" w:bottom="1912" w:left="1771" w:header="803" w:footer="1091" w:gutter="0"/>
          <w:cols w:space="720"/>
        </w:sectPr>
      </w:pPr>
    </w:p>
    <w:p>
      <w:pPr>
        <w:spacing w:before="102" w:line="5630" w:lineRule="exact"/>
        <w:ind w:firstLine="448"/>
      </w:pPr>
      <w:r>
        <w:rPr>
          <w:position w:val="-112"/>
        </w:rPr>
        <w:drawing>
          <wp:inline distT="0" distB="0" distL="0" distR="0">
            <wp:extent cx="2525395" cy="357505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539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9" w:lineRule="auto"/>
      </w:pPr>
    </w:p>
    <w:p>
      <w:pPr>
        <w:spacing w:line="2230" w:lineRule="exact"/>
        <w:ind w:firstLine="239"/>
      </w:pPr>
      <w:r>
        <w:rPr>
          <w:position w:val="-44"/>
        </w:rPr>
        <w:drawing>
          <wp:inline distT="0" distB="0" distL="0" distR="0">
            <wp:extent cx="2964180" cy="141605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418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5" w:lineRule="auto"/>
      </w:pPr>
    </w:p>
    <w:p>
      <w:pPr>
        <w:pStyle w:val="BodyText"/>
        <w:spacing w:line="325" w:lineRule="auto"/>
      </w:pPr>
    </w:p>
    <w:p>
      <w:pPr>
        <w:spacing w:before="101" w:line="224" w:lineRule="auto"/>
        <w:ind w:left="51"/>
        <w:outlineLvl w:val="1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8"/>
          <w:sz w:val="31"/>
          <w:szCs w:val="31"/>
        </w:rPr>
        <w:t>六、下阶段备件管理工作计划</w:t>
      </w:r>
    </w:p>
    <w:p>
      <w:pPr>
        <w:spacing w:before="269" w:line="411" w:lineRule="auto"/>
        <w:ind w:left="48" w:right="76" w:firstLine="5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截止到2023</w:t>
      </w:r>
      <w:r>
        <w:rPr>
          <w:rFonts w:ascii="FangSong" w:eastAsia="FangSong" w:hAnsi="FangSong" w:cs="FangSong"/>
          <w:spacing w:val="-3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年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6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月，公司备品备件管理工作在公司领导支持和</w:t>
      </w:r>
      <w:r>
        <w:rPr>
          <w:rFonts w:ascii="FangSong" w:eastAsia="FangSong" w:hAnsi="FangSong" w:cs="FangSong"/>
          <w:spacing w:val="-1"/>
          <w:sz w:val="28"/>
          <w:szCs w:val="28"/>
        </w:rPr>
        <w:t>各位同事的配合下已圆满完成预期任务，各项指标达到预计目标。</w:t>
      </w:r>
    </w:p>
    <w:p>
      <w:pPr>
        <w:spacing w:before="2" w:line="412" w:lineRule="auto"/>
        <w:ind w:left="48" w:right="31" w:hanging="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2023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年下半年公司备件管理将继续根据公司管理制度的</w:t>
      </w:r>
      <w:r>
        <w:rPr>
          <w:rFonts w:ascii="FangSong" w:eastAsia="FangSong" w:hAnsi="FangSong" w:cs="FangSong"/>
          <w:spacing w:val="-2"/>
          <w:sz w:val="28"/>
          <w:szCs w:val="28"/>
        </w:rPr>
        <w:t>要求，开展</w:t>
      </w:r>
      <w:r>
        <w:rPr>
          <w:rFonts w:ascii="FangSong" w:eastAsia="FangSong" w:hAnsi="FangSong" w:cs="FangSong"/>
          <w:spacing w:val="-4"/>
          <w:sz w:val="28"/>
          <w:szCs w:val="28"/>
        </w:rPr>
        <w:t>相关管理工作。配合项目物资应用及公司其他物资材料应用工作，为</w:t>
      </w:r>
      <w:r>
        <w:rPr>
          <w:rFonts w:ascii="FangSong" w:eastAsia="FangSong" w:hAnsi="FangSong" w:cs="FangSong"/>
          <w:spacing w:val="-4"/>
          <w:sz w:val="28"/>
          <w:szCs w:val="28"/>
        </w:rPr>
        <w:t>公司创造更大的效益。</w:t>
      </w:r>
    </w:p>
    <w:sectPr>
      <w:footerReference w:type="default" r:id="rId33"/>
      <w:pgSz w:w="11907" w:h="16839"/>
      <w:pgMar w:top="2122" w:right="1769" w:bottom="1912" w:left="1771" w:header="803" w:footer="109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7"/>
    </w:pPr>
    <w:r>
      <w:rPr>
        <w:position w:val="-14"/>
      </w:rPr>
      <w:drawing>
        <wp:inline distT="0" distB="0" distL="0" distR="0">
          <wp:extent cx="1487805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6" w:lineRule="auto"/>
    </w:pPr>
    <w:r>
      <w:pict>
        <v:shape id="_x0000_s2051" style="height:0.5pt;margin-left:88.46pt;margin-top:752.28pt;mso-position-horizontal-relative:page;mso-position-vertical-relative:page;position:absolute;width:418.55pt;z-index:251663360" coordorigin="0,0" coordsize="8370,10" o:allowincell="f" path="m,9l8370,9l8370,l,l,9xe" fillcolor="black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9571990</wp:posOffset>
          </wp:positionV>
          <wp:extent cx="1487804" cy="457200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6" w:lineRule="auto"/>
    </w:pPr>
  </w:p>
  <w:p>
    <w:pPr>
      <w:spacing w:before="59" w:line="223" w:lineRule="auto"/>
      <w:ind w:left="237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0"/>
        <w:sz w:val="18"/>
        <w:szCs w:val="18"/>
      </w:rPr>
      <w:t>第</w:t>
    </w:r>
    <w:r>
      <w:rPr>
        <w:rFonts w:ascii="SimSun" w:eastAsia="SimSun" w:hAnsi="SimSun" w:cs="SimSun"/>
        <w:spacing w:val="-21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10"/>
        <w:sz w:val="18"/>
        <w:szCs w:val="18"/>
      </w:rPr>
      <w:t>1</w:t>
    </w:r>
    <w:r>
      <w:rPr>
        <w:rFonts w:ascii="Times New Roman" w:eastAsia="Times New Roman" w:hAnsi="Times New Roman" w:cs="Times New Roman"/>
        <w:spacing w:val="13"/>
        <w:sz w:val="18"/>
        <w:szCs w:val="18"/>
      </w:rPr>
      <w:t xml:space="preserve"> </w:t>
    </w:r>
    <w:r>
      <w:rPr>
        <w:rFonts w:ascii="SimSun" w:eastAsia="SimSun" w:hAnsi="SimSun" w:cs="SimSun"/>
        <w:spacing w:val="-10"/>
        <w:sz w:val="18"/>
        <w:szCs w:val="18"/>
      </w:rPr>
      <w:t>页共</w:t>
    </w:r>
    <w:r>
      <w:rPr>
        <w:rFonts w:ascii="SimSun" w:eastAsia="SimSun" w:hAnsi="SimSun" w:cs="SimSun"/>
        <w:spacing w:val="-26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10"/>
        <w:sz w:val="18"/>
        <w:szCs w:val="18"/>
      </w:rPr>
      <w:t>11</w:t>
    </w:r>
    <w:r>
      <w:rPr>
        <w:rFonts w:ascii="Times New Roman" w:eastAsia="Times New Roman" w:hAnsi="Times New Roman" w:cs="Times New Roman"/>
        <w:spacing w:val="13"/>
        <w:w w:val="101"/>
        <w:sz w:val="18"/>
        <w:szCs w:val="18"/>
      </w:rPr>
      <w:t xml:space="preserve"> </w:t>
    </w:r>
    <w:r>
      <w:rPr>
        <w:rFonts w:ascii="SimSun" w:eastAsia="SimSun" w:hAnsi="SimSun" w:cs="SimSun"/>
        <w:spacing w:val="-10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6" w:lineRule="auto"/>
    </w:pPr>
    <w:r>
      <w:pict>
        <v:shape id="_x0000_s2053" style="height:0.5pt;margin-left:88.58pt;margin-top:746.28pt;mso-position-horizontal-relative:page;mso-position-vertical-relative:page;position:absolute;width:418.3pt;z-index:251667456" coordorigin="0,0" coordsize="8365,10" o:allowincell="f" path="m,9l8365,9l8365,l,l,9xe" fillcolor="black"/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9495790</wp:posOffset>
          </wp:positionV>
          <wp:extent cx="1487804" cy="45720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6" w:lineRule="auto"/>
    </w:pPr>
  </w:p>
  <w:p>
    <w:pPr>
      <w:spacing w:before="59" w:line="223" w:lineRule="auto"/>
      <w:ind w:left="237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8"/>
        <w:sz w:val="18"/>
        <w:szCs w:val="18"/>
      </w:rPr>
      <w:t>第</w:t>
    </w:r>
    <w:r>
      <w:rPr>
        <w:rFonts w:ascii="SimSun" w:eastAsia="SimSun" w:hAnsi="SimSun" w:cs="SimSun"/>
        <w:spacing w:val="-35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2</w:t>
    </w:r>
    <w:r>
      <w:rPr>
        <w:rFonts w:ascii="Times New Roman" w:eastAsia="Times New Roman" w:hAnsi="Times New Roman" w:cs="Times New Roman"/>
        <w:spacing w:val="13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页共</w:t>
    </w:r>
    <w:r>
      <w:rPr>
        <w:rFonts w:ascii="SimSun" w:eastAsia="SimSun" w:hAnsi="SimSun" w:cs="SimSun"/>
        <w:spacing w:val="-26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11</w:t>
    </w:r>
    <w:r>
      <w:rPr>
        <w:rFonts w:ascii="Times New Roman" w:eastAsia="Times New Roman" w:hAnsi="Times New Roman" w:cs="Times New Roman"/>
        <w:spacing w:val="13"/>
        <w:w w:val="101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6" w:lineRule="auto"/>
    </w:pPr>
    <w:r>
      <w:pict>
        <v:shape id="_x0000_s2055" style="height:0.5pt;margin-left:88.58pt;margin-top:746.28pt;mso-position-horizontal-relative:page;mso-position-vertical-relative:page;position:absolute;width:418.3pt;z-index:251671552" coordorigin="0,0" coordsize="8365,10" o:allowincell="f" path="m,9l8365,9l8365,l,l,9xe" fillcolor="black"/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9495790</wp:posOffset>
          </wp:positionV>
          <wp:extent cx="1487804" cy="457200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6" w:lineRule="auto"/>
    </w:pPr>
  </w:p>
  <w:p>
    <w:pPr>
      <w:spacing w:before="59" w:line="223" w:lineRule="auto"/>
      <w:ind w:left="237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8"/>
        <w:sz w:val="18"/>
        <w:szCs w:val="18"/>
      </w:rPr>
      <w:t>第</w:t>
    </w:r>
    <w:r>
      <w:rPr>
        <w:rFonts w:ascii="SimSun" w:eastAsia="SimSun" w:hAnsi="SimSun" w:cs="SimSun"/>
        <w:spacing w:val="-35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3</w:t>
    </w:r>
    <w:r>
      <w:rPr>
        <w:rFonts w:ascii="Times New Roman" w:eastAsia="Times New Roman" w:hAnsi="Times New Roman" w:cs="Times New Roman"/>
        <w:spacing w:val="13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页共</w:t>
    </w:r>
    <w:r>
      <w:rPr>
        <w:rFonts w:ascii="SimSun" w:eastAsia="SimSun" w:hAnsi="SimSun" w:cs="SimSun"/>
        <w:spacing w:val="-26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11</w:t>
    </w:r>
    <w:r>
      <w:rPr>
        <w:rFonts w:ascii="Times New Roman" w:eastAsia="Times New Roman" w:hAnsi="Times New Roman" w:cs="Times New Roman"/>
        <w:spacing w:val="13"/>
        <w:w w:val="101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6" w:lineRule="auto"/>
    </w:pPr>
    <w:r>
      <w:pict>
        <v:shape id="_x0000_s2057" style="height:0.5pt;margin-left:88.58pt;margin-top:746.28pt;mso-position-horizontal-relative:page;mso-position-vertical-relative:page;position:absolute;width:418.3pt;z-index:251675648" coordorigin="0,0" coordsize="8365,10" o:allowincell="f" path="m,9l8365,9l8365,l,l,9xe" fillcolor="black"/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9495790</wp:posOffset>
          </wp:positionV>
          <wp:extent cx="1487804" cy="457200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6" w:lineRule="auto"/>
    </w:pPr>
  </w:p>
  <w:p>
    <w:pPr>
      <w:spacing w:before="59" w:line="223" w:lineRule="auto"/>
      <w:ind w:left="237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7"/>
        <w:sz w:val="18"/>
        <w:szCs w:val="18"/>
      </w:rPr>
      <w:t>第</w:t>
    </w:r>
    <w:r>
      <w:rPr>
        <w:rFonts w:ascii="SimSun" w:eastAsia="SimSun" w:hAnsi="SimSun" w:cs="SimSun"/>
        <w:spacing w:val="-42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4</w:t>
    </w:r>
    <w:r>
      <w:rPr>
        <w:rFonts w:ascii="Times New Roman" w:eastAsia="Times New Roman" w:hAnsi="Times New Roman" w:cs="Times New Roman"/>
        <w:spacing w:val="13"/>
        <w:sz w:val="18"/>
        <w:szCs w:val="18"/>
      </w:rPr>
      <w:t xml:space="preserve"> </w:t>
    </w:r>
    <w:r>
      <w:rPr>
        <w:rFonts w:ascii="SimSun" w:eastAsia="SimSun" w:hAnsi="SimSun" w:cs="SimSun"/>
        <w:spacing w:val="-7"/>
        <w:sz w:val="18"/>
        <w:szCs w:val="18"/>
      </w:rPr>
      <w:t>页共</w:t>
    </w:r>
    <w:r>
      <w:rPr>
        <w:rFonts w:ascii="SimSun" w:eastAsia="SimSun" w:hAnsi="SimSun" w:cs="SimSun"/>
        <w:spacing w:val="-26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11</w:t>
    </w:r>
    <w:r>
      <w:rPr>
        <w:rFonts w:ascii="Times New Roman" w:eastAsia="Times New Roman" w:hAnsi="Times New Roman" w:cs="Times New Roman"/>
        <w:spacing w:val="13"/>
        <w:w w:val="101"/>
        <w:sz w:val="18"/>
        <w:szCs w:val="18"/>
      </w:rPr>
      <w:t xml:space="preserve"> </w:t>
    </w:r>
    <w:r>
      <w:rPr>
        <w:rFonts w:ascii="SimSun" w:eastAsia="SimSun" w:hAnsi="SimSun" w:cs="SimSun"/>
        <w:spacing w:val="-7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6" w:lineRule="auto"/>
    </w:pPr>
    <w:r>
      <w:pict>
        <v:shape id="_x0000_s2059" style="height:0.5pt;margin-left:88.58pt;margin-top:746.28pt;mso-position-horizontal-relative:page;mso-position-vertical-relative:page;position:absolute;width:418.3pt;z-index:251681792" coordorigin="0,0" coordsize="8365,10" o:allowincell="f" path="m,9l8365,9l8365,l,l,9xe" fillcolor="black"/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9495790</wp:posOffset>
          </wp:positionV>
          <wp:extent cx="1487804" cy="457200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6" w:lineRule="auto"/>
    </w:pPr>
  </w:p>
  <w:p>
    <w:pPr>
      <w:spacing w:before="59" w:line="223" w:lineRule="auto"/>
      <w:ind w:left="237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8"/>
        <w:sz w:val="18"/>
        <w:szCs w:val="18"/>
      </w:rPr>
      <w:t>第</w:t>
    </w:r>
    <w:r>
      <w:rPr>
        <w:rFonts w:ascii="SimSun" w:eastAsia="SimSun" w:hAnsi="SimSun" w:cs="SimSun"/>
        <w:spacing w:val="-35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5</w:t>
    </w:r>
    <w:r>
      <w:rPr>
        <w:rFonts w:ascii="Times New Roman" w:eastAsia="Times New Roman" w:hAnsi="Times New Roman" w:cs="Times New Roman"/>
        <w:spacing w:val="13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页共</w:t>
    </w:r>
    <w:r>
      <w:rPr>
        <w:rFonts w:ascii="SimSun" w:eastAsia="SimSun" w:hAnsi="SimSun" w:cs="SimSun"/>
        <w:spacing w:val="-26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11</w:t>
    </w:r>
    <w:r>
      <w:rPr>
        <w:rFonts w:ascii="Times New Roman" w:eastAsia="Times New Roman" w:hAnsi="Times New Roman" w:cs="Times New Roman"/>
        <w:spacing w:val="13"/>
        <w:w w:val="101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6" w:lineRule="auto"/>
    </w:pPr>
    <w:r>
      <w:pict>
        <v:shape id="_x0000_s2061" style="height:0.5pt;margin-left:88.58pt;margin-top:746.28pt;mso-position-horizontal-relative:page;mso-position-vertical-relative:page;position:absolute;width:418.3pt;z-index:251685888" coordorigin="0,0" coordsize="8365,10" o:allowincell="f" path="m,9l8365,9l8365,l,l,9xe" fillcolor="black"/>
      </w:pict>
    </w: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9495790</wp:posOffset>
          </wp:positionV>
          <wp:extent cx="1487804" cy="457200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6" w:lineRule="auto"/>
    </w:pPr>
  </w:p>
  <w:p>
    <w:pPr>
      <w:spacing w:before="59" w:line="223" w:lineRule="auto"/>
      <w:ind w:left="237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8"/>
        <w:sz w:val="18"/>
        <w:szCs w:val="18"/>
      </w:rPr>
      <w:t>第</w:t>
    </w:r>
    <w:r>
      <w:rPr>
        <w:rFonts w:ascii="SimSun" w:eastAsia="SimSun" w:hAnsi="SimSun" w:cs="SimSun"/>
        <w:spacing w:val="-35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6</w:t>
    </w:r>
    <w:r>
      <w:rPr>
        <w:rFonts w:ascii="Times New Roman" w:eastAsia="Times New Roman" w:hAnsi="Times New Roman" w:cs="Times New Roman"/>
        <w:spacing w:val="13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页共</w:t>
    </w:r>
    <w:r>
      <w:rPr>
        <w:rFonts w:ascii="SimSun" w:eastAsia="SimSun" w:hAnsi="SimSun" w:cs="SimSun"/>
        <w:spacing w:val="-26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11</w:t>
    </w:r>
    <w:r>
      <w:rPr>
        <w:rFonts w:ascii="Times New Roman" w:eastAsia="Times New Roman" w:hAnsi="Times New Roman" w:cs="Times New Roman"/>
        <w:spacing w:val="13"/>
        <w:w w:val="101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6" w:lineRule="auto"/>
    </w:pPr>
    <w:r>
      <w:pict>
        <v:shape id="_x0000_s2063" style="height:0.5pt;margin-left:88.58pt;margin-top:746.28pt;mso-position-horizontal-relative:page;mso-position-vertical-relative:page;position:absolute;width:418.3pt;z-index:251689984" coordorigin="0,0" coordsize="8365,10" o:allowincell="f" path="m,9l8365,9l8365,l,l,9xe" fillcolor="black"/>
      </w:pict>
    </w: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9495790</wp:posOffset>
          </wp:positionV>
          <wp:extent cx="1487804" cy="457200"/>
          <wp:effectExtent l="0" t="0" r="0" b="0"/>
          <wp:wrapNone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6" w:lineRule="auto"/>
    </w:pPr>
  </w:p>
  <w:p>
    <w:pPr>
      <w:spacing w:before="59" w:line="223" w:lineRule="auto"/>
      <w:ind w:left="237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8"/>
        <w:sz w:val="18"/>
        <w:szCs w:val="18"/>
      </w:rPr>
      <w:t>第</w:t>
    </w:r>
    <w:r>
      <w:rPr>
        <w:rFonts w:ascii="SimSun" w:eastAsia="SimSun" w:hAnsi="SimSun" w:cs="SimSun"/>
        <w:spacing w:val="-35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7</w:t>
    </w:r>
    <w:r>
      <w:rPr>
        <w:rFonts w:ascii="Times New Roman" w:eastAsia="Times New Roman" w:hAnsi="Times New Roman" w:cs="Times New Roman"/>
        <w:spacing w:val="13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页共</w:t>
    </w:r>
    <w:r>
      <w:rPr>
        <w:rFonts w:ascii="SimSun" w:eastAsia="SimSun" w:hAnsi="SimSun" w:cs="SimSun"/>
        <w:spacing w:val="-26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11</w:t>
    </w:r>
    <w:r>
      <w:rPr>
        <w:rFonts w:ascii="Times New Roman" w:eastAsia="Times New Roman" w:hAnsi="Times New Roman" w:cs="Times New Roman"/>
        <w:spacing w:val="13"/>
        <w:w w:val="101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6" w:lineRule="auto"/>
    </w:pPr>
    <w:r>
      <w:pict>
        <v:shape id="_x0000_s2065" style="height:0.5pt;margin-left:88.58pt;margin-top:746.28pt;mso-position-horizontal-relative:page;mso-position-vertical-relative:page;position:absolute;width:418.3pt;z-index:251692032" coordorigin="0,0" coordsize="8365,10" o:allowincell="f" path="m,9l8365,9l8365,l,l,9xe" fillcolor="black"/>
      </w:pict>
    </w: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9495790</wp:posOffset>
          </wp:positionV>
          <wp:extent cx="1487804" cy="457200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6" w:lineRule="auto"/>
    </w:pPr>
  </w:p>
  <w:p>
    <w:pPr>
      <w:spacing w:before="59" w:line="223" w:lineRule="auto"/>
      <w:ind w:left="237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9"/>
        <w:sz w:val="18"/>
        <w:szCs w:val="18"/>
      </w:rPr>
      <w:t>第</w:t>
    </w:r>
    <w:r>
      <w:rPr>
        <w:rFonts w:ascii="SimSun" w:eastAsia="SimSun" w:hAnsi="SimSun" w:cs="SimSun"/>
        <w:spacing w:val="-28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9"/>
        <w:sz w:val="18"/>
        <w:szCs w:val="18"/>
      </w:rPr>
      <w:t>8</w:t>
    </w:r>
    <w:r>
      <w:rPr>
        <w:rFonts w:ascii="Times New Roman" w:eastAsia="Times New Roman" w:hAnsi="Times New Roman" w:cs="Times New Roman"/>
        <w:spacing w:val="13"/>
        <w:sz w:val="18"/>
        <w:szCs w:val="18"/>
      </w:rPr>
      <w:t xml:space="preserve"> </w:t>
    </w:r>
    <w:r>
      <w:rPr>
        <w:rFonts w:ascii="SimSun" w:eastAsia="SimSun" w:hAnsi="SimSun" w:cs="SimSun"/>
        <w:spacing w:val="-9"/>
        <w:sz w:val="18"/>
        <w:szCs w:val="18"/>
      </w:rPr>
      <w:t>页共</w:t>
    </w:r>
    <w:r>
      <w:rPr>
        <w:rFonts w:ascii="SimSun" w:eastAsia="SimSun" w:hAnsi="SimSun" w:cs="SimSun"/>
        <w:spacing w:val="-26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9"/>
        <w:sz w:val="18"/>
        <w:szCs w:val="18"/>
      </w:rPr>
      <w:t>11</w:t>
    </w:r>
    <w:r>
      <w:rPr>
        <w:rFonts w:ascii="Times New Roman" w:eastAsia="Times New Roman" w:hAnsi="Times New Roman" w:cs="Times New Roman"/>
        <w:spacing w:val="13"/>
        <w:w w:val="101"/>
        <w:sz w:val="18"/>
        <w:szCs w:val="18"/>
      </w:rPr>
      <w:t xml:space="preserve"> </w:t>
    </w:r>
    <w:r>
      <w:rPr>
        <w:rFonts w:ascii="SimSun" w:eastAsia="SimSun" w:hAnsi="SimSun" w:cs="SimSun"/>
        <w:spacing w:val="-9"/>
        <w:sz w:val="18"/>
        <w:szCs w:val="18"/>
      </w:rPr>
      <w:t>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6" w:lineRule="auto"/>
    </w:pPr>
    <w:r>
      <w:pict>
        <v:shape id="_x0000_s2066" style="height:0.5pt;margin-left:88.58pt;margin-top:746.28pt;mso-position-horizontal-relative:page;mso-position-vertical-relative:page;position:absolute;width:418.3pt;z-index:251694080" coordorigin="0,0" coordsize="8365,10" o:allowincell="f" path="m,9l8365,9l8365,l,l,9xe" fillcolor="black"/>
      </w:pict>
    </w: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9495790</wp:posOffset>
          </wp:positionV>
          <wp:extent cx="1487804" cy="457200"/>
          <wp:effectExtent l="0" t="0" r="0" b="0"/>
          <wp:wrapNone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6" w:lineRule="auto"/>
    </w:pPr>
  </w:p>
  <w:p>
    <w:pPr>
      <w:spacing w:before="59" w:line="223" w:lineRule="auto"/>
      <w:ind w:left="237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8"/>
        <w:sz w:val="18"/>
        <w:szCs w:val="18"/>
      </w:rPr>
      <w:t>第</w:t>
    </w:r>
    <w:r>
      <w:rPr>
        <w:rFonts w:ascii="SimSun" w:eastAsia="SimSun" w:hAnsi="SimSun" w:cs="SimSun"/>
        <w:spacing w:val="-35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9</w:t>
    </w:r>
    <w:r>
      <w:rPr>
        <w:rFonts w:ascii="Times New Roman" w:eastAsia="Times New Roman" w:hAnsi="Times New Roman" w:cs="Times New Roman"/>
        <w:spacing w:val="13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页共</w:t>
    </w:r>
    <w:r>
      <w:rPr>
        <w:rFonts w:ascii="SimSun" w:eastAsia="SimSun" w:hAnsi="SimSun" w:cs="SimSun"/>
        <w:spacing w:val="-26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8"/>
        <w:sz w:val="18"/>
        <w:szCs w:val="18"/>
      </w:rPr>
      <w:t>11</w:t>
    </w:r>
    <w:r>
      <w:rPr>
        <w:rFonts w:ascii="Times New Roman" w:eastAsia="Times New Roman" w:hAnsi="Times New Roman" w:cs="Times New Roman"/>
        <w:spacing w:val="13"/>
        <w:w w:val="101"/>
        <w:sz w:val="18"/>
        <w:szCs w:val="18"/>
      </w:rPr>
      <w:t xml:space="preserve"> </w:t>
    </w:r>
    <w:r>
      <w:rPr>
        <w:rFonts w:ascii="SimSun" w:eastAsia="SimSun" w:hAnsi="SimSun" w:cs="SimSun"/>
        <w:spacing w:val="-8"/>
        <w:sz w:val="18"/>
        <w:szCs w:val="18"/>
      </w:rPr>
      <w:t>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6" w:lineRule="auto"/>
    </w:pPr>
    <w:r>
      <w:pict>
        <v:shape id="_x0000_s2067" style="height:0.5pt;margin-left:88.58pt;margin-top:746.28pt;mso-position-horizontal-relative:page;mso-position-vertical-relative:page;position:absolute;width:418.3pt;z-index:251696128" coordorigin="0,0" coordsize="8365,10" o:allowincell="f" path="m,9l8365,9l8365,l,l,9xe" fillcolor="black"/>
      </w:pict>
    </w: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9495790</wp:posOffset>
          </wp:positionV>
          <wp:extent cx="1487804" cy="457200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6" w:lineRule="auto"/>
    </w:pPr>
  </w:p>
  <w:p>
    <w:pPr>
      <w:spacing w:before="59" w:line="223" w:lineRule="auto"/>
      <w:ind w:left="237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9"/>
        <w:sz w:val="18"/>
        <w:szCs w:val="18"/>
      </w:rPr>
      <w:t>第</w:t>
    </w:r>
    <w:r>
      <w:rPr>
        <w:rFonts w:ascii="SimSun" w:eastAsia="SimSun" w:hAnsi="SimSun" w:cs="SimSun"/>
        <w:spacing w:val="-23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9"/>
        <w:sz w:val="18"/>
        <w:szCs w:val="18"/>
      </w:rPr>
      <w:t>10</w:t>
    </w:r>
    <w:r>
      <w:rPr>
        <w:rFonts w:ascii="Times New Roman" w:eastAsia="Times New Roman" w:hAnsi="Times New Roman" w:cs="Times New Roman"/>
        <w:spacing w:val="13"/>
        <w:w w:val="101"/>
        <w:sz w:val="18"/>
        <w:szCs w:val="18"/>
      </w:rPr>
      <w:t xml:space="preserve"> </w:t>
    </w:r>
    <w:r>
      <w:rPr>
        <w:rFonts w:ascii="SimSun" w:eastAsia="SimSun" w:hAnsi="SimSun" w:cs="SimSun"/>
        <w:spacing w:val="-9"/>
        <w:sz w:val="18"/>
        <w:szCs w:val="18"/>
      </w:rPr>
      <w:t>页共</w:t>
    </w:r>
    <w:r>
      <w:rPr>
        <w:rFonts w:ascii="SimSun" w:eastAsia="SimSun" w:hAnsi="SimSun" w:cs="SimSun"/>
        <w:spacing w:val="-24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9"/>
        <w:sz w:val="18"/>
        <w:szCs w:val="18"/>
      </w:rPr>
      <w:t>11</w:t>
    </w:r>
    <w:r>
      <w:rPr>
        <w:rFonts w:ascii="Times New Roman" w:eastAsia="Times New Roman" w:hAnsi="Times New Roman" w:cs="Times New Roman"/>
        <w:spacing w:val="14"/>
        <w:sz w:val="18"/>
        <w:szCs w:val="18"/>
      </w:rPr>
      <w:t xml:space="preserve"> </w:t>
    </w:r>
    <w:r>
      <w:rPr>
        <w:rFonts w:ascii="SimSun" w:eastAsia="SimSun" w:hAnsi="SimSun" w:cs="SimSun"/>
        <w:spacing w:val="-9"/>
        <w:sz w:val="18"/>
        <w:szCs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49" style="height:0.5pt;margin-left:69.5pt;margin-top:106.82pt;mso-position-horizontal-relative:page;mso-position-vertical-relative:page;position:absolute;width:456.55pt;z-index:251659264" coordorigin="0,0" coordsize="9130,10" o:allowincell="f" path="m,9l9130,9l9130,l,l,9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1167130</wp:posOffset>
          </wp:positionH>
          <wp:positionV relativeFrom="page">
            <wp:posOffset>719454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22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0" style="height:0.75pt;margin-left:88.46pt;margin-top:102.98pt;mso-position-horizontal-relative:page;mso-position-vertical-relative:page;position:absolute;width:418.55pt;z-index:251662336" coordorigin="0,0" coordsize="8370,15" o:allowincell="f" path="m,14l8370,14l8370,l,l,14xe" fillcolor="black"/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1149350</wp:posOffset>
          </wp:positionH>
          <wp:positionV relativeFrom="page">
            <wp:posOffset>541020</wp:posOffset>
          </wp:positionV>
          <wp:extent cx="855979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79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4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2" style="height:0.75pt;margin-left:88.58pt;margin-top:102.98pt;mso-position-horizontal-relative:page;mso-position-vertical-relative:page;position:absolute;width:418.3pt;z-index:251666432" coordorigin="0,0" coordsize="8365,15" o:allowincell="f" path="m,14l8365,14l8365,l,l,14xe" fillcolor="black"/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1150619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4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4" style="height:0.75pt;margin-left:88.58pt;margin-top:102.98pt;mso-position-horizontal-relative:page;mso-position-vertical-relative:page;position:absolute;width:418.3pt;z-index:251670528" coordorigin="0,0" coordsize="8365,15" o:allowincell="f" path="m,14l8365,14l8365,l,l,14xe" fillcolor="black"/>
      </w:pict>
    </w: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1150619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4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6" style="height:0.75pt;margin-left:88.58pt;margin-top:102.98pt;mso-position-horizontal-relative:page;mso-position-vertical-relative:page;position:absolute;width:418.3pt;z-index:251674624" coordorigin="0,0" coordsize="8365,15" o:allowincell="f" path="m,14l8365,14l8365,l,l,14xe" fillcolor="black"/>
      </w:pict>
    </w: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1150619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4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8" style="height:0.75pt;margin-left:88.58pt;margin-top:102.98pt;mso-position-horizontal-relative:page;mso-position-vertical-relative:page;position:absolute;width:418.3pt;z-index:251679744" coordorigin="0,0" coordsize="8365,15" o:allowincell="f" path="m,14l8365,14l8365,l,l,14xe" fillcolor="black"/>
      </w:pict>
    </w: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1150619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4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60" style="height:0.75pt;margin-left:88.58pt;margin-top:102.98pt;mso-position-horizontal-relative:page;mso-position-vertical-relative:page;position:absolute;width:418.3pt;z-index:251684864" coordorigin="0,0" coordsize="8365,15" o:allowincell="f" path="m,14l8365,14l8365,l,l,14xe" fillcolor="black"/>
      </w:pict>
    </w: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1150619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4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62" style="height:0.75pt;margin-left:88.58pt;margin-top:102.98pt;mso-position-horizontal-relative:page;mso-position-vertical-relative:page;position:absolute;width:418.3pt;z-index:251688960" coordorigin="0,0" coordsize="8365,15" o:allowincell="f" path="m,14l8365,14l8365,l,l,14xe" fillcolor="black"/>
      </w:pict>
    </w: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1150619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4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64" style="height:0.75pt;margin-left:88.58pt;margin-top:102.98pt;mso-position-horizontal-relative:page;mso-position-vertical-relative:page;position:absolute;width:418.3pt;z-index:251680768" coordorigin="0,0" coordsize="8365,15" o:allowincell="f" path="m,14l8365,14l8365,l,l,14xe" fillcolor="black"/>
      </w:pict>
    </w: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1150619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111424834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4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image" Target="media/image3.jpeg" /><Relationship Id="rId13" Type="http://schemas.openxmlformats.org/officeDocument/2006/relationships/image" Target="media/image4.jpeg" /><Relationship Id="rId14" Type="http://schemas.openxmlformats.org/officeDocument/2006/relationships/header" Target="header5.xml" /><Relationship Id="rId15" Type="http://schemas.openxmlformats.org/officeDocument/2006/relationships/footer" Target="footer5.xml" /><Relationship Id="rId16" Type="http://schemas.openxmlformats.org/officeDocument/2006/relationships/image" Target="media/image5.png" /><Relationship Id="rId17" Type="http://schemas.openxmlformats.org/officeDocument/2006/relationships/image" Target="media/image6.png" /><Relationship Id="rId18" Type="http://schemas.openxmlformats.org/officeDocument/2006/relationships/header" Target="header6.xml" /><Relationship Id="rId19" Type="http://schemas.openxmlformats.org/officeDocument/2006/relationships/footer" Target="footer6.xml" /><Relationship Id="rId2" Type="http://schemas.openxmlformats.org/officeDocument/2006/relationships/webSettings" Target="webSettings.xml" /><Relationship Id="rId20" Type="http://schemas.openxmlformats.org/officeDocument/2006/relationships/header" Target="header7.xml" /><Relationship Id="rId21" Type="http://schemas.openxmlformats.org/officeDocument/2006/relationships/footer" Target="footer7.xml" /><Relationship Id="rId22" Type="http://schemas.openxmlformats.org/officeDocument/2006/relationships/header" Target="header8.xml" /><Relationship Id="rId23" Type="http://schemas.openxmlformats.org/officeDocument/2006/relationships/footer" Target="footer8.xml" /><Relationship Id="rId24" Type="http://schemas.openxmlformats.org/officeDocument/2006/relationships/image" Target="media/image7.jpeg" /><Relationship Id="rId25" Type="http://schemas.openxmlformats.org/officeDocument/2006/relationships/image" Target="media/image8.jpeg" /><Relationship Id="rId26" Type="http://schemas.openxmlformats.org/officeDocument/2006/relationships/image" Target="media/image9.png" /><Relationship Id="rId27" Type="http://schemas.openxmlformats.org/officeDocument/2006/relationships/header" Target="header9.xml" /><Relationship Id="rId28" Type="http://schemas.openxmlformats.org/officeDocument/2006/relationships/footer" Target="footer9.xml" /><Relationship Id="rId29" Type="http://schemas.openxmlformats.org/officeDocument/2006/relationships/image" Target="media/image10.jpeg" /><Relationship Id="rId3" Type="http://schemas.openxmlformats.org/officeDocument/2006/relationships/fontTable" Target="fontTable.xml" /><Relationship Id="rId30" Type="http://schemas.openxmlformats.org/officeDocument/2006/relationships/footer" Target="footer10.xml" /><Relationship Id="rId31" Type="http://schemas.openxmlformats.org/officeDocument/2006/relationships/image" Target="media/image11.jpeg" /><Relationship Id="rId32" Type="http://schemas.openxmlformats.org/officeDocument/2006/relationships/image" Target="media/image12.jpeg" /><Relationship Id="rId33" Type="http://schemas.openxmlformats.org/officeDocument/2006/relationships/footer" Target="footer11.xml" /><Relationship Id="rId34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revision>0</cp:revision>
  <dcterms:created xsi:type="dcterms:W3CDTF">2023-07-25T23:25:58Z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2025-12-03T15:21:14Z</vt:filetime>
  </property>
  <property fmtid="{D5CDD505-2E9C-101B-9397-08002B2CF9AE}" pid="3" name="CRO">
    <vt:lpwstr>wqlLaW5nc29mdCBQREYgdG8gV1BTIDExNQ</vt:lpwstr>
  </property>
</Properties>
</file>