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234" w:line="218" w:lineRule="auto"/>
        <w:ind w:left="133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服务级别管理过程</w:t>
      </w:r>
    </w:p>
    <w:p>
      <w:pPr>
        <w:pStyle w:val="BodyText"/>
        <w:spacing w:line="308" w:lineRule="auto"/>
      </w:pPr>
    </w:p>
    <w:p>
      <w:pPr>
        <w:spacing w:before="91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（YNTD-ITSS-1501）</w:t>
      </w: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16" w:right="1769" w:bottom="2123" w:left="1771" w:header="805" w:footer="1162" w:gutter="0"/>
          <w:cols w:space="720"/>
        </w:sectPr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spacing w:before="98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1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8" w:lineRule="auto"/>
              <w:ind w:left="536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3" w:line="219" w:lineRule="auto"/>
              <w:ind w:left="927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0" w:lineRule="auto"/>
              <w:ind w:left="912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0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19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2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488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7" w:line="221" w:lineRule="auto"/>
              <w:ind w:left="26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44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2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240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40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240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40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40" w:line="236" w:lineRule="auto"/>
              <w:ind w:left="23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40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240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40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584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212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211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212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211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12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21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212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1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601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21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22" w:lineRule="auto"/>
              <w:ind w:left="249"/>
            </w:pPr>
            <w:r>
              <w:rPr>
                <w:spacing w:val="-2"/>
              </w:rPr>
              <w:t>周丽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218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20" w:lineRule="auto"/>
              <w:ind w:left="294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218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218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17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916" w:right="1437" w:bottom="2123" w:left="1438" w:header="805" w:footer="1162" w:gutter="0"/>
          <w:cols w:space="720"/>
        </w:sectPr>
      </w:pPr>
    </w:p>
    <w:p>
      <w:pPr>
        <w:pStyle w:val="BodyText"/>
        <w:spacing w:line="392" w:lineRule="auto"/>
      </w:pPr>
    </w:p>
    <w:sdt>
      <w:sdtPr>
        <w:rPr>
          <w:rFonts w:ascii="SimSun" w:eastAsia="SimSun" w:hAnsi="SimSun" w:cs="SimSun"/>
          <w:sz w:val="28"/>
          <w:szCs w:val="28"/>
        </w:rPr>
        <w:id w:val="2099955316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19"/>
          <w:szCs w:val="19"/>
        </w:rPr>
      </w:sdtEndPr>
      <w:sdtContent>
        <w:p>
          <w:pPr>
            <w:spacing w:before="91" w:line="222" w:lineRule="auto"/>
            <w:ind w:left="3895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目</w:t>
          </w:r>
          <w:r>
            <w:rPr>
              <w:rFonts w:ascii="SimSun" w:eastAsia="SimSun" w:hAnsi="SimSun" w:cs="SimSun"/>
              <w:spacing w:val="13"/>
              <w:sz w:val="28"/>
              <w:szCs w:val="28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录</w:t>
          </w:r>
        </w:p>
        <w:p>
          <w:pPr>
            <w:pStyle w:val="BodyText"/>
            <w:tabs>
              <w:tab w:val="right" w:leader="dot" w:pos="8145"/>
            </w:tabs>
            <w:spacing w:before="228" w:line="234" w:lineRule="auto"/>
            <w:ind w:left="770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15"/>
              <w:sz w:val="24"/>
              <w:szCs w:val="24"/>
            </w:rPr>
            <w:t xml:space="preserve">1.   </w:t>
          </w:r>
          <w:r>
            <w:rPr>
              <w:rFonts w:ascii="FangSong" w:eastAsia="FangSong" w:hAnsi="FangSong" w:cs="FangSong"/>
              <w:b/>
              <w:bCs/>
              <w:spacing w:val="-15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-2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5" w:line="232" w:lineRule="auto"/>
            <w:ind w:left="757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b/>
              <w:bCs/>
              <w:spacing w:val="-10"/>
              <w:sz w:val="24"/>
              <w:szCs w:val="24"/>
            </w:rPr>
            <w:t>2.</w:t>
          </w:r>
          <w:r>
            <w:rPr>
              <w:b/>
              <w:bCs/>
              <w:spacing w:val="8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10"/>
              <w:sz w:val="24"/>
              <w:szCs w:val="24"/>
            </w:rPr>
            <w:t>范围</w:t>
          </w:r>
          <w:r>
            <w:rPr>
              <w:rFonts w:ascii="FangSong" w:eastAsia="FangSong" w:hAnsi="FangSong" w:cs="FangSong"/>
              <w:spacing w:val="-2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7" w:line="231" w:lineRule="auto"/>
            <w:ind w:left="760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>3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．定义和术语</w:t>
          </w:r>
          <w:r>
            <w:rPr>
              <w:rFonts w:ascii="FangSong" w:eastAsia="FangSong" w:hAnsi="FangSong" w:cs="FangSong"/>
              <w:spacing w:val="-7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1" w:line="232" w:lineRule="auto"/>
            <w:ind w:left="75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b/>
              <w:bCs/>
              <w:spacing w:val="-4"/>
              <w:sz w:val="24"/>
              <w:szCs w:val="24"/>
            </w:rPr>
            <w:t xml:space="preserve">4.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职责分工</w:t>
          </w:r>
          <w:r>
            <w:rPr>
              <w:rFonts w:ascii="FangSong" w:eastAsia="FangSong" w:hAnsi="FangSong" w:cs="FangSong"/>
              <w:spacing w:val="-8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8" w:line="232" w:lineRule="auto"/>
            <w:ind w:left="761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b/>
              <w:bCs/>
              <w:spacing w:val="-8"/>
              <w:sz w:val="24"/>
              <w:szCs w:val="24"/>
            </w:rPr>
            <w:t>5.</w:t>
          </w:r>
          <w:r>
            <w:rPr>
              <w:b/>
              <w:bCs/>
              <w:spacing w:val="1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流程</w:t>
          </w:r>
          <w:r>
            <w:rPr>
              <w:rFonts w:ascii="FangSong" w:eastAsia="FangSong" w:hAnsi="FangSong" w:cs="FangSong"/>
              <w:spacing w:val="-2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8" w:line="231" w:lineRule="auto"/>
            <w:ind w:left="124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>5.1.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计划</w:t>
          </w:r>
          <w:r>
            <w:rPr>
              <w:rFonts w:ascii="FangSong" w:eastAsia="FangSong" w:hAnsi="FangSong" w:cs="FangSong"/>
              <w:spacing w:val="-6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0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5.1.1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．识别需求</w:t>
          </w:r>
          <w:r>
            <w:rPr>
              <w:rFonts w:ascii="FangSong" w:eastAsia="FangSong" w:hAnsi="FangSong" w:cs="FangSong"/>
              <w:spacing w:val="-5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1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5.1.2.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定义服务</w:t>
          </w:r>
          <w:r>
            <w:rPr>
              <w:rFonts w:ascii="FangSong" w:eastAsia="FangSong" w:hAnsi="FangSong" w:cs="FangSong"/>
              <w:spacing w:val="-9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8" w:line="231" w:lineRule="auto"/>
            <w:ind w:left="124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>5.2.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实施</w:t>
          </w:r>
          <w:r>
            <w:rPr>
              <w:rFonts w:ascii="FangSong" w:eastAsia="FangSong" w:hAnsi="FangSong" w:cs="FangSong"/>
              <w:spacing w:val="-6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0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5.2.1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．建立服务目录</w:t>
          </w:r>
          <w:r>
            <w:rPr>
              <w:rFonts w:ascii="FangSong" w:eastAsia="FangSong" w:hAnsi="FangSong" w:cs="FangSong"/>
              <w:spacing w:val="-2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1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5.2.2.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服务级别协议</w:t>
          </w:r>
          <w:r>
            <w:rPr>
              <w:rFonts w:ascii="FangSong" w:eastAsia="FangSong" w:hAnsi="FangSong" w:cs="FangSong"/>
              <w:spacing w:val="-5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8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5.2.3.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签署或确认服务级别协议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0" w:line="229" w:lineRule="auto"/>
            <w:ind w:left="124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>5.3.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检查</w:t>
          </w:r>
          <w:r>
            <w:rPr>
              <w:rFonts w:ascii="FangSong" w:eastAsia="FangSong" w:hAnsi="FangSong" w:cs="FangSong"/>
              <w:spacing w:val="-6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3" w:line="232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5.3.1.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监控</w:t>
          </w:r>
          <w:r>
            <w:rPr>
              <w:rFonts w:ascii="FangSong" w:eastAsia="FangSong" w:hAnsi="FangSong" w:cs="FangSong"/>
              <w:spacing w:val="-2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7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5.3.2.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报告</w:t>
          </w:r>
          <w:r>
            <w:rPr>
              <w:rFonts w:ascii="FangSong" w:eastAsia="FangSong" w:hAnsi="FangSong" w:cs="FangSong"/>
              <w:spacing w:val="-2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1" w:line="232" w:lineRule="auto"/>
            <w:ind w:left="124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>5.4.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改进</w:t>
          </w:r>
          <w:r>
            <w:rPr>
              <w:rFonts w:ascii="FangSong" w:eastAsia="FangSong" w:hAnsi="FangSong" w:cs="FangSong"/>
              <w:spacing w:val="-6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7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0" w:line="230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5.4.1.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维护协议及合同</w:t>
          </w:r>
          <w:r>
            <w:rPr>
              <w:rFonts w:ascii="FangSong" w:eastAsia="FangSong" w:hAnsi="FangSong" w:cs="FangSong"/>
              <w:spacing w:val="-8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7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9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5.4.2.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服务改进计划</w:t>
          </w:r>
          <w:r>
            <w:rPr>
              <w:rFonts w:ascii="FangSong" w:eastAsia="FangSong" w:hAnsi="FangSong" w:cs="FangSong"/>
              <w:spacing w:val="-5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7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0" w:line="231" w:lineRule="auto"/>
            <w:ind w:left="1718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5.4.3.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变更服务级别协议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8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41" w:line="230" w:lineRule="auto"/>
            <w:ind w:left="641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b/>
              <w:bCs/>
              <w:spacing w:val="-2"/>
              <w:sz w:val="24"/>
              <w:szCs w:val="24"/>
            </w:rPr>
            <w:t>6.</w:t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服务级别协议与其他流程的关系</w:t>
          </w:r>
          <w:r>
            <w:rPr>
              <w:rFonts w:ascii="FangSong" w:eastAsia="FangSong" w:hAnsi="FangSong" w:cs="FangSong"/>
              <w:spacing w:val="-9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8</w:t>
          </w:r>
          <w:r>
            <w:fldChar w:fldCharType="end"/>
          </w:r>
        </w:p>
        <w:p>
          <w:pPr>
            <w:pStyle w:val="BodyText"/>
            <w:tabs>
              <w:tab w:val="right" w:leader="dot" w:pos="8145"/>
            </w:tabs>
            <w:spacing w:before="39" w:line="231" w:lineRule="auto"/>
            <w:ind w:left="641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>7.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关键指标</w:t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SimSun" w:eastAsia="SimSun" w:hAnsi="SimSun" w:cs="SimSun"/>
              <w:b/>
              <w:bCs/>
              <w:spacing w:val="18"/>
              <w:sz w:val="19"/>
              <w:szCs w:val="19"/>
            </w:rPr>
            <w:t>8</w:t>
          </w:r>
          <w:r>
            <w:fldChar w:fldCharType="end"/>
          </w:r>
        </w:p>
      </w:sdtContent>
    </w:sdt>
    <w:p>
      <w:pPr>
        <w:spacing w:line="231" w:lineRule="auto"/>
        <w:rPr>
          <w:rFonts w:ascii="SimSun" w:eastAsia="SimSun" w:hAnsi="SimSun" w:cs="SimSun"/>
          <w:sz w:val="19"/>
          <w:szCs w:val="19"/>
        </w:rPr>
        <w:sectPr>
          <w:headerReference w:type="default" r:id="rId8"/>
          <w:footerReference w:type="default" r:id="rId9"/>
          <w:pgSz w:w="11907" w:h="16839"/>
          <w:pgMar w:top="1916" w:right="1769" w:bottom="2123" w:left="1771" w:header="805" w:footer="1165" w:gutter="0"/>
          <w:cols w:space="720"/>
        </w:sectPr>
      </w:pPr>
    </w:p>
    <w:p>
      <w:pPr>
        <w:spacing w:before="58"/>
        <w:ind w:left="66"/>
        <w:outlineLvl w:val="1"/>
        <w:rPr>
          <w:rFonts w:ascii="SimHei" w:eastAsia="SimHei" w:hAnsi="SimHei" w:cs="SimHei"/>
          <w:sz w:val="31"/>
          <w:szCs w:val="31"/>
        </w:rPr>
      </w:pPr>
      <w:bookmarkStart w:id="0" w:name="bookmark22"/>
      <w:bookmarkEnd w:id="0"/>
      <w:bookmarkStart w:id="1" w:name="bookmark1"/>
      <w:bookmarkEnd w:id="1"/>
      <w:r>
        <w:rPr>
          <w:rFonts w:ascii="Times New Roman" w:eastAsia="Times New Roman" w:hAnsi="Times New Roman" w:cs="Times New Roman"/>
          <w:spacing w:val="-12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12"/>
          <w:sz w:val="31"/>
          <w:szCs w:val="31"/>
        </w:rPr>
        <w:t>目的</w:t>
      </w:r>
    </w:p>
    <w:p>
      <w:pPr>
        <w:pStyle w:val="BodyText"/>
        <w:spacing w:line="336" w:lineRule="auto"/>
      </w:pPr>
    </w:p>
    <w:p>
      <w:pPr>
        <w:spacing w:before="78" w:line="360" w:lineRule="auto"/>
        <w:ind w:left="41" w:right="29" w:firstLine="42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本程序致力于在服务质量的供应与需求、客户关系和IT服务成本之间找到平</w:t>
      </w:r>
      <w:r>
        <w:rPr>
          <w:rFonts w:ascii="FangSong" w:eastAsia="FangSong" w:hAnsi="FangSong" w:cs="FangSong"/>
          <w:spacing w:val="-1"/>
          <w:sz w:val="24"/>
          <w:szCs w:val="24"/>
        </w:rPr>
        <w:t>衡点，确保以最合适的成本提供符合要求的服务，建立并改善客户关系。</w:t>
      </w:r>
    </w:p>
    <w:p>
      <w:pPr>
        <w:spacing w:before="332"/>
        <w:ind w:left="35"/>
        <w:outlineLvl w:val="1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r>
        <w:rPr>
          <w:rFonts w:ascii="Times New Roman" w:eastAsia="Times New Roman" w:hAnsi="Times New Roman" w:cs="Times New Roman"/>
          <w:spacing w:val="1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23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1"/>
          <w:sz w:val="31"/>
          <w:szCs w:val="31"/>
        </w:rPr>
        <w:t>范围</w:t>
      </w:r>
    </w:p>
    <w:p>
      <w:pPr>
        <w:pStyle w:val="BodyText"/>
        <w:spacing w:line="335" w:lineRule="auto"/>
      </w:pPr>
    </w:p>
    <w:p>
      <w:pPr>
        <w:spacing w:before="78" w:line="361" w:lineRule="auto"/>
        <w:ind w:left="50" w:right="30" w:firstLine="41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用于本公司服务类项目的谈判、定义、评价、管理以及以可接受的成本改进</w:t>
      </w:r>
      <w:r>
        <w:rPr>
          <w:rFonts w:ascii="FangSong" w:eastAsia="FangSong" w:hAnsi="FangSong" w:cs="FangSong"/>
          <w:spacing w:val="-7"/>
          <w:sz w:val="24"/>
          <w:szCs w:val="24"/>
        </w:rPr>
        <w:t>IT服务的质量。</w:t>
      </w:r>
    </w:p>
    <w:p>
      <w:pPr>
        <w:spacing w:before="329" w:line="239" w:lineRule="auto"/>
        <w:ind w:left="41"/>
        <w:outlineLvl w:val="1"/>
        <w:rPr>
          <w:rFonts w:ascii="SimHei" w:eastAsia="SimHei" w:hAnsi="SimHei" w:cs="SimHei"/>
          <w:sz w:val="31"/>
          <w:szCs w:val="31"/>
        </w:rPr>
      </w:pPr>
      <w:bookmarkStart w:id="3" w:name="bookmark3"/>
      <w:bookmarkEnd w:id="3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3.</w:t>
      </w:r>
      <w:r>
        <w:rPr>
          <w:rFonts w:ascii="Times New Roman" w:eastAsia="Times New Roman" w:hAnsi="Times New Roman" w:cs="Times New Roman"/>
          <w:spacing w:val="19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5"/>
          <w:sz w:val="31"/>
          <w:szCs w:val="31"/>
        </w:rPr>
        <w:t>定义和术语</w:t>
      </w:r>
    </w:p>
    <w:p>
      <w:pPr>
        <w:pStyle w:val="BodyText"/>
        <w:spacing w:line="335" w:lineRule="auto"/>
      </w:pPr>
    </w:p>
    <w:p>
      <w:pPr>
        <w:spacing w:before="79" w:line="360" w:lineRule="auto"/>
        <w:ind w:left="43" w:right="32" w:firstLine="41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6"/>
          <w:sz w:val="24"/>
          <w:szCs w:val="24"/>
        </w:rPr>
        <w:t>服务级别协议：服务提供方与顾客之间明确服务和服务目</w:t>
      </w:r>
      <w:r>
        <w:rPr>
          <w:rFonts w:ascii="FangSong" w:eastAsia="FangSong" w:hAnsi="FangSong" w:cs="FangSong"/>
          <w:spacing w:val="5"/>
          <w:sz w:val="24"/>
          <w:szCs w:val="24"/>
        </w:rPr>
        <w:t>标形成文件的协</w:t>
      </w:r>
      <w:r>
        <w:rPr>
          <w:rFonts w:ascii="FangSong" w:eastAsia="FangSong" w:hAnsi="FangSong" w:cs="FangSong"/>
          <w:spacing w:val="-3"/>
          <w:sz w:val="24"/>
          <w:szCs w:val="24"/>
        </w:rPr>
        <w:t>议。协议主要明确服务将要提供的服务内容、对应服务的关键</w:t>
      </w:r>
      <w:r>
        <w:rPr>
          <w:rFonts w:ascii="FangSong" w:eastAsia="FangSong" w:hAnsi="FangSong" w:cs="FangSong"/>
          <w:spacing w:val="-4"/>
          <w:sz w:val="24"/>
          <w:szCs w:val="24"/>
        </w:rPr>
        <w:t>级别指标及与客户</w:t>
      </w:r>
      <w:r>
        <w:rPr>
          <w:rFonts w:ascii="FangSong" w:eastAsia="FangSong" w:hAnsi="FangSong" w:cs="FangSong"/>
          <w:spacing w:val="-4"/>
          <w:sz w:val="24"/>
          <w:szCs w:val="24"/>
        </w:rPr>
        <w:t>双方间的义务与责任等。</w:t>
      </w:r>
    </w:p>
    <w:p>
      <w:pPr>
        <w:spacing w:before="1" w:line="361" w:lineRule="auto"/>
        <w:ind w:left="49" w:right="29" w:firstLine="41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服务目录：根据公司现业务类型，按照客户的语言对服务项目所作的详细约</w:t>
      </w:r>
      <w:r>
        <w:rPr>
          <w:rFonts w:ascii="FangSong" w:eastAsia="FangSong" w:hAnsi="FangSong" w:cs="FangSong"/>
          <w:spacing w:val="-5"/>
          <w:sz w:val="24"/>
          <w:szCs w:val="24"/>
        </w:rPr>
        <w:t>定，包括提供服务的对象和服务内容；</w:t>
      </w:r>
    </w:p>
    <w:p>
      <w:pPr>
        <w:spacing w:before="329" w:line="238" w:lineRule="auto"/>
        <w:ind w:left="33"/>
        <w:outlineLvl w:val="1"/>
        <w:rPr>
          <w:rFonts w:ascii="SimHei" w:eastAsia="SimHei" w:hAnsi="SimHei" w:cs="SimHei"/>
          <w:sz w:val="31"/>
          <w:szCs w:val="31"/>
        </w:rPr>
      </w:pPr>
      <w:bookmarkStart w:id="4" w:name="bookmark4"/>
      <w:bookmarkEnd w:id="4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4.</w:t>
      </w:r>
      <w:r>
        <w:rPr>
          <w:rFonts w:ascii="Times New Roman" w:eastAsia="Times New Roman" w:hAnsi="Times New Roman" w:cs="Times New Roman"/>
          <w:spacing w:val="23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职责分工</w:t>
      </w:r>
    </w:p>
    <w:p>
      <w:pPr>
        <w:pStyle w:val="BodyText"/>
        <w:spacing w:line="337" w:lineRule="auto"/>
      </w:pPr>
    </w:p>
    <w:p>
      <w:pPr>
        <w:spacing w:before="78" w:line="218" w:lineRule="auto"/>
        <w:ind w:left="4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营销经理：负责明确客户需求，通常为营销部人员。</w:t>
      </w:r>
    </w:p>
    <w:p>
      <w:pPr>
        <w:spacing w:before="185" w:line="217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项目经理：负责项目服务期间服务级别的监控、报告分析和持续改进。</w:t>
      </w:r>
    </w:p>
    <w:p>
      <w:pPr>
        <w:pStyle w:val="BodyText"/>
        <w:spacing w:line="415" w:lineRule="auto"/>
      </w:pPr>
    </w:p>
    <w:p>
      <w:pPr>
        <w:spacing w:before="101" w:line="238" w:lineRule="auto"/>
        <w:ind w:left="44"/>
        <w:outlineLvl w:val="1"/>
        <w:rPr>
          <w:rFonts w:ascii="SimHei" w:eastAsia="SimHei" w:hAnsi="SimHei" w:cs="SimHei"/>
          <w:sz w:val="31"/>
          <w:szCs w:val="31"/>
        </w:rPr>
      </w:pPr>
      <w:bookmarkStart w:id="5" w:name="bookmark5"/>
      <w:bookmarkEnd w:id="5"/>
      <w:r>
        <w:rPr>
          <w:rFonts w:ascii="Times New Roman" w:eastAsia="Times New Roman" w:hAnsi="Times New Roman" w:cs="Times New Roman"/>
          <w:spacing w:val="-1"/>
          <w:sz w:val="31"/>
          <w:szCs w:val="31"/>
        </w:rPr>
        <w:t>5.</w:t>
      </w:r>
      <w:r>
        <w:rPr>
          <w:rFonts w:ascii="Times New Roman" w:eastAsia="Times New Roman" w:hAnsi="Times New Roman" w:cs="Times New Roman"/>
          <w:spacing w:val="22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-1"/>
          <w:sz w:val="31"/>
          <w:szCs w:val="31"/>
        </w:rPr>
        <w:t>流程</w:t>
      </w:r>
    </w:p>
    <w:p>
      <w:pPr>
        <w:pStyle w:val="BodyText"/>
        <w:spacing w:line="352" w:lineRule="auto"/>
      </w:pPr>
    </w:p>
    <w:p>
      <w:pPr>
        <w:pStyle w:val="BodyText"/>
        <w:spacing w:before="91" w:line="231" w:lineRule="auto"/>
        <w:ind w:left="38"/>
        <w:outlineLvl w:val="2"/>
        <w:rPr>
          <w:rFonts w:ascii="FangSong" w:eastAsia="FangSong" w:hAnsi="FangSong" w:cs="FangSong"/>
          <w:sz w:val="28"/>
          <w:szCs w:val="28"/>
        </w:rPr>
      </w:pPr>
      <w:bookmarkStart w:id="6" w:name="bookmark6"/>
      <w:bookmarkEnd w:id="6"/>
      <w:r>
        <w:rPr>
          <w:b/>
          <w:bCs/>
          <w:spacing w:val="-5"/>
          <w:sz w:val="28"/>
          <w:szCs w:val="28"/>
        </w:rPr>
        <w:t>5.1.</w:t>
      </w:r>
      <w:r>
        <w:rPr>
          <w:b/>
          <w:bCs/>
          <w:spacing w:val="4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计划</w:t>
      </w:r>
    </w:p>
    <w:p>
      <w:pPr>
        <w:pStyle w:val="BodyText"/>
        <w:spacing w:line="329" w:lineRule="auto"/>
      </w:pPr>
    </w:p>
    <w:p>
      <w:pPr>
        <w:pStyle w:val="BodyText"/>
        <w:spacing w:before="92" w:line="231" w:lineRule="auto"/>
        <w:ind w:left="41"/>
        <w:outlineLvl w:val="3"/>
        <w:rPr>
          <w:rFonts w:ascii="FangSong" w:eastAsia="FangSong" w:hAnsi="FangSong" w:cs="FangSong"/>
          <w:sz w:val="28"/>
          <w:szCs w:val="28"/>
        </w:rPr>
      </w:pPr>
      <w:bookmarkStart w:id="7" w:name="bookmark7"/>
      <w:bookmarkEnd w:id="7"/>
      <w:r>
        <w:rPr>
          <w:b/>
          <w:bCs/>
          <w:spacing w:val="-4"/>
          <w:sz w:val="28"/>
          <w:szCs w:val="28"/>
        </w:rPr>
        <w:t>5.1.1.</w:t>
      </w:r>
      <w:r>
        <w:rPr>
          <w:b/>
          <w:bCs/>
          <w:spacing w:val="25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识别需求</w:t>
      </w:r>
    </w:p>
    <w:p>
      <w:pPr>
        <w:spacing w:before="213" w:line="307" w:lineRule="auto"/>
        <w:ind w:left="51" w:right="32" w:firstLine="47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运维项目经理对客户签属的服务合同、需求说明书等内容进行分析、设计与</w:t>
      </w:r>
      <w:r>
        <w:rPr>
          <w:rFonts w:ascii="FangSong" w:eastAsia="FangSong" w:hAnsi="FangSong" w:cs="FangSong"/>
          <w:spacing w:val="-4"/>
          <w:sz w:val="24"/>
          <w:szCs w:val="24"/>
        </w:rPr>
        <w:t>监控，确定客户服务的需求。</w:t>
      </w:r>
    </w:p>
    <w:p>
      <w:pPr>
        <w:spacing w:line="30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0"/>
          <w:pgSz w:w="11907" w:h="16839"/>
          <w:pgMar w:top="1916" w:right="1769" w:bottom="2123" w:left="1771" w:header="805" w:footer="1162" w:gutter="0"/>
          <w:cols w:space="720"/>
        </w:sectPr>
      </w:pPr>
    </w:p>
    <w:p>
      <w:pPr>
        <w:spacing w:before="66" w:line="216" w:lineRule="auto"/>
        <w:ind w:left="531"/>
        <w:rPr>
          <w:rFonts w:ascii="FangSong" w:eastAsia="FangSong" w:hAnsi="FangSong" w:cs="FangSong"/>
          <w:sz w:val="24"/>
          <w:szCs w:val="24"/>
        </w:rPr>
      </w:pPr>
      <w:bookmarkStart w:id="8" w:name="bookmark23"/>
      <w:bookmarkEnd w:id="8"/>
      <w:r>
        <w:rPr>
          <w:rFonts w:ascii="FangSong" w:eastAsia="FangSong" w:hAnsi="FangSong" w:cs="FangSong"/>
          <w:spacing w:val="-10"/>
          <w:sz w:val="24"/>
          <w:szCs w:val="24"/>
        </w:rPr>
        <w:t>主要工作包括：</w:t>
      </w:r>
    </w:p>
    <w:p>
      <w:pPr>
        <w:spacing w:before="187" w:line="218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10"/>
          <w:sz w:val="24"/>
          <w:szCs w:val="24"/>
        </w:rPr>
        <w:t>n</w:t>
      </w:r>
      <w:r>
        <w:rPr>
          <w:rFonts w:ascii="Wingdings" w:eastAsia="Wingdings" w:hAnsi="Wingdings" w:cs="Wingdings"/>
          <w:spacing w:val="5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0"/>
          <w:sz w:val="24"/>
          <w:szCs w:val="24"/>
        </w:rPr>
        <w:t>了解用户对服务的期望；</w:t>
      </w:r>
    </w:p>
    <w:p>
      <w:pPr>
        <w:spacing w:before="184" w:line="218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服务必须处于可用状态的时间和天数；</w:t>
      </w:r>
    </w:p>
    <w:p>
      <w:pPr>
        <w:spacing w:before="184" w:line="216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9"/>
          <w:sz w:val="24"/>
          <w:szCs w:val="24"/>
        </w:rPr>
        <w:t>n</w:t>
      </w:r>
      <w:r>
        <w:rPr>
          <w:rFonts w:ascii="Wingdings" w:eastAsia="Wingdings" w:hAnsi="Wingdings" w:cs="Wingdings"/>
          <w:spacing w:val="1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9"/>
          <w:sz w:val="24"/>
          <w:szCs w:val="24"/>
        </w:rPr>
        <w:t>服务持续性需求；</w:t>
      </w:r>
    </w:p>
    <w:p>
      <w:pPr>
        <w:spacing w:before="188" w:line="217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提供客户服务所需要的职能部门；</w:t>
      </w:r>
    </w:p>
    <w:p>
      <w:pPr>
        <w:spacing w:before="185" w:line="215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2"/>
          <w:sz w:val="24"/>
          <w:szCs w:val="24"/>
        </w:rPr>
        <w:t>在定义服务时需要考虑的当前服务方法</w:t>
      </w:r>
      <w:r>
        <w:rPr>
          <w:rFonts w:ascii="FangSong" w:eastAsia="FangSong" w:hAnsi="FangSong" w:cs="FangSong"/>
          <w:spacing w:val="-3"/>
          <w:sz w:val="24"/>
          <w:szCs w:val="24"/>
        </w:rPr>
        <w:t>或质量标准的参考基准；</w:t>
      </w:r>
    </w:p>
    <w:p>
      <w:pPr>
        <w:spacing w:before="189" w:line="217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6"/>
          <w:sz w:val="24"/>
          <w:szCs w:val="24"/>
        </w:rPr>
        <w:t>n</w:t>
      </w:r>
      <w:r>
        <w:rPr>
          <w:rFonts w:ascii="Wingdings" w:eastAsia="Wingdings" w:hAnsi="Wingdings" w:cs="Wingdings"/>
          <w:spacing w:val="4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内部对服务及其需要的组件的详细描述；</w:t>
      </w:r>
    </w:p>
    <w:p>
      <w:pPr>
        <w:spacing w:before="186" w:line="218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关于服务被实施和提供的方式的说明；</w:t>
      </w:r>
    </w:p>
    <w:p>
      <w:pPr>
        <w:spacing w:before="185" w:line="217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关于必要的质量控制程序的说明；</w:t>
      </w:r>
    </w:p>
    <w:p>
      <w:pPr>
        <w:spacing w:before="186" w:line="287" w:lineRule="auto"/>
        <w:ind w:left="900" w:right="86" w:hanging="432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 xml:space="preserve">n </w:t>
      </w:r>
      <w:r>
        <w:rPr>
          <w:rFonts w:ascii="FangSong" w:eastAsia="FangSong" w:hAnsi="FangSong" w:cs="FangSong"/>
          <w:sz w:val="24"/>
          <w:szCs w:val="24"/>
        </w:rPr>
        <w:t>定义服务级别的标准：可用性小时数、故障数量、故障频率、故障持续</w:t>
      </w:r>
      <w:r>
        <w:rPr>
          <w:rFonts w:ascii="FangSong" w:eastAsia="FangSong" w:hAnsi="FangSong" w:cs="FangSong"/>
          <w:spacing w:val="-5"/>
          <w:sz w:val="24"/>
          <w:szCs w:val="24"/>
        </w:rPr>
        <w:t>时间、响应时间、周转时间。</w:t>
      </w:r>
    </w:p>
    <w:p>
      <w:pPr>
        <w:spacing w:before="189" w:line="361" w:lineRule="auto"/>
        <w:ind w:left="49" w:right="84" w:firstLine="41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通信部和信息部及时与业务部门保持沟通，了解并收集客户的需求和期望，</w:t>
      </w:r>
      <w:r>
        <w:rPr>
          <w:rFonts w:ascii="FangSong" w:eastAsia="FangSong" w:hAnsi="FangSong" w:cs="FangSong"/>
          <w:spacing w:val="-3"/>
          <w:sz w:val="24"/>
          <w:szCs w:val="24"/>
        </w:rPr>
        <w:t>结合历史业务需求情况以及现有业务系统的运维和服务特点</w:t>
      </w:r>
      <w:r>
        <w:rPr>
          <w:rFonts w:ascii="FangSong" w:eastAsia="FangSong" w:hAnsi="FangSong" w:cs="FangSong"/>
          <w:spacing w:val="-4"/>
          <w:sz w:val="24"/>
          <w:szCs w:val="24"/>
        </w:rPr>
        <w:t>，明确最终的客户服</w:t>
      </w:r>
      <w:r>
        <w:rPr>
          <w:rFonts w:ascii="FangSong" w:eastAsia="FangSong" w:hAnsi="FangSong" w:cs="FangSong"/>
          <w:spacing w:val="-4"/>
          <w:sz w:val="24"/>
          <w:szCs w:val="24"/>
        </w:rPr>
        <w:t>务级别需求。</w:t>
      </w:r>
    </w:p>
    <w:p>
      <w:pPr>
        <w:spacing w:before="175" w:line="219" w:lineRule="auto"/>
        <w:ind w:left="45"/>
        <w:outlineLvl w:val="3"/>
        <w:rPr>
          <w:rFonts w:ascii="FangSong" w:eastAsia="FangSong" w:hAnsi="FangSong" w:cs="FangSong"/>
          <w:sz w:val="28"/>
          <w:szCs w:val="28"/>
        </w:rPr>
      </w:pPr>
      <w:bookmarkStart w:id="9" w:name="bookmark8"/>
      <w:bookmarkEnd w:id="9"/>
      <w:r>
        <w:rPr>
          <w:rFonts w:ascii="SimSun" w:eastAsia="SimSun" w:hAnsi="SimSun" w:cs="SimSun"/>
          <w:b/>
          <w:bCs/>
          <w:spacing w:val="-6"/>
          <w:sz w:val="28"/>
          <w:szCs w:val="28"/>
        </w:rPr>
        <w:t>5.1.2.</w:t>
      </w:r>
      <w:r>
        <w:rPr>
          <w:rFonts w:ascii="SimSun" w:eastAsia="SimSun" w:hAnsi="SimSun" w:cs="SimSun"/>
          <w:spacing w:val="6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定义服务</w:t>
      </w:r>
    </w:p>
    <w:p>
      <w:pPr>
        <w:spacing w:before="233" w:line="361" w:lineRule="auto"/>
        <w:ind w:left="53" w:right="85" w:firstLine="47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项目经理需要针对服务项目，编制服务目录，确认服务目录在组织级服务目</w:t>
      </w:r>
      <w:r>
        <w:rPr>
          <w:rFonts w:ascii="FangSong" w:eastAsia="FangSong" w:hAnsi="FangSong" w:cs="FangSong"/>
          <w:spacing w:val="-2"/>
          <w:sz w:val="24"/>
          <w:szCs w:val="24"/>
        </w:rPr>
        <w:t>录能力范围之内，明确服务的项目以及详细</w:t>
      </w:r>
      <w:r>
        <w:rPr>
          <w:rFonts w:ascii="FangSong" w:eastAsia="FangSong" w:hAnsi="FangSong" w:cs="FangSong"/>
          <w:spacing w:val="-3"/>
          <w:sz w:val="24"/>
          <w:szCs w:val="24"/>
        </w:rPr>
        <w:t>的服务内容。</w:t>
      </w:r>
    </w:p>
    <w:p>
      <w:pPr>
        <w:pStyle w:val="BodyText"/>
        <w:spacing w:before="120" w:line="231" w:lineRule="auto"/>
        <w:ind w:left="38"/>
        <w:outlineLvl w:val="2"/>
        <w:rPr>
          <w:rFonts w:ascii="FangSong" w:eastAsia="FangSong" w:hAnsi="FangSong" w:cs="FangSong"/>
          <w:sz w:val="28"/>
          <w:szCs w:val="28"/>
        </w:rPr>
      </w:pPr>
      <w:bookmarkStart w:id="10" w:name="bookmark9"/>
      <w:bookmarkEnd w:id="10"/>
      <w:r>
        <w:rPr>
          <w:b/>
          <w:bCs/>
          <w:spacing w:val="-5"/>
          <w:sz w:val="28"/>
          <w:szCs w:val="28"/>
        </w:rPr>
        <w:t>5.2.</w:t>
      </w:r>
      <w:r>
        <w:rPr>
          <w:b/>
          <w:bCs/>
          <w:spacing w:val="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实施</w:t>
      </w:r>
    </w:p>
    <w:p>
      <w:pPr>
        <w:pStyle w:val="BodyText"/>
        <w:spacing w:line="281" w:lineRule="auto"/>
      </w:pPr>
    </w:p>
    <w:p>
      <w:pPr>
        <w:spacing w:before="78" w:line="216" w:lineRule="auto"/>
        <w:ind w:left="53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发布服务目录，签署或确认服务级别协议或者服</w:t>
      </w:r>
      <w:r>
        <w:rPr>
          <w:rFonts w:ascii="FangSong" w:eastAsia="FangSong" w:hAnsi="FangSong" w:cs="FangSong"/>
          <w:spacing w:val="-3"/>
          <w:sz w:val="24"/>
          <w:szCs w:val="24"/>
        </w:rPr>
        <w:t>务合同。</w:t>
      </w:r>
    </w:p>
    <w:p>
      <w:pPr>
        <w:pStyle w:val="BodyText"/>
        <w:spacing w:line="274" w:lineRule="auto"/>
      </w:pPr>
    </w:p>
    <w:p>
      <w:pPr>
        <w:pStyle w:val="BodyText"/>
        <w:spacing w:before="91" w:line="231" w:lineRule="auto"/>
        <w:ind w:left="41"/>
        <w:outlineLvl w:val="3"/>
        <w:rPr>
          <w:rFonts w:ascii="FangSong" w:eastAsia="FangSong" w:hAnsi="FangSong" w:cs="FangSong"/>
          <w:sz w:val="28"/>
          <w:szCs w:val="28"/>
        </w:rPr>
      </w:pPr>
      <w:bookmarkStart w:id="11" w:name="bookmark10"/>
      <w:bookmarkEnd w:id="11"/>
      <w:bookmarkStart w:id="12" w:name="bookmark11"/>
      <w:bookmarkEnd w:id="12"/>
      <w:r>
        <w:rPr>
          <w:b/>
          <w:bCs/>
          <w:spacing w:val="-2"/>
          <w:sz w:val="28"/>
          <w:szCs w:val="28"/>
        </w:rPr>
        <w:t>5.2.1.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建立服务目录</w:t>
      </w:r>
    </w:p>
    <w:p>
      <w:pPr>
        <w:spacing w:before="214" w:line="360" w:lineRule="auto"/>
        <w:ind w:left="43" w:firstLine="482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服务目录是按照客户的语言习惯对日常服务</w:t>
      </w:r>
      <w:r>
        <w:rPr>
          <w:rFonts w:ascii="FangSong" w:eastAsia="FangSong" w:hAnsi="FangSong" w:cs="FangSong"/>
          <w:spacing w:val="-4"/>
          <w:sz w:val="24"/>
          <w:szCs w:val="24"/>
        </w:rPr>
        <w:t>项目所做的详细介绍，以及有关</w:t>
      </w:r>
      <w:r>
        <w:rPr>
          <w:rFonts w:ascii="FangSong" w:eastAsia="FangSong" w:hAnsi="FangSong" w:cs="FangSong"/>
          <w:spacing w:val="-3"/>
          <w:sz w:val="24"/>
          <w:szCs w:val="24"/>
        </w:rPr>
        <w:t>服务级别的简单概要。服务目录是一种重要的沟通工具，它有</w:t>
      </w:r>
      <w:r>
        <w:rPr>
          <w:rFonts w:ascii="FangSong" w:eastAsia="FangSong" w:hAnsi="FangSong" w:cs="FangSong"/>
          <w:spacing w:val="-4"/>
          <w:sz w:val="24"/>
          <w:szCs w:val="24"/>
        </w:rPr>
        <w:t>助于引导客户的期</w:t>
      </w:r>
      <w:r>
        <w:rPr>
          <w:rFonts w:ascii="FangSong" w:eastAsia="FangSong" w:hAnsi="FangSong" w:cs="FangSong"/>
          <w:spacing w:val="-7"/>
          <w:sz w:val="24"/>
          <w:szCs w:val="24"/>
        </w:rPr>
        <w:t>望，为理解提供给用户的服务内容及其组件、特点等</w:t>
      </w:r>
      <w:r>
        <w:rPr>
          <w:rFonts w:ascii="FangSong" w:eastAsia="FangSong" w:hAnsi="FangSong" w:cs="FangSong"/>
          <w:spacing w:val="-8"/>
          <w:sz w:val="24"/>
          <w:szCs w:val="24"/>
        </w:rPr>
        <w:t>情况提供了一个很好的基础。</w:t>
      </w:r>
      <w:r>
        <w:rPr>
          <w:rFonts w:ascii="FangSong" w:eastAsia="FangSong" w:hAnsi="FangSong" w:cs="FangSong"/>
          <w:spacing w:val="-2"/>
          <w:sz w:val="24"/>
          <w:szCs w:val="24"/>
        </w:rPr>
        <w:t>服务目录面向全员发布，在发布前与业务部门的关键用户进行充分讨论。</w:t>
      </w:r>
    </w:p>
    <w:p>
      <w:pPr>
        <w:spacing w:before="1" w:line="216" w:lineRule="auto"/>
        <w:ind w:right="6"/>
        <w:jc w:val="right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根据公司现有业务需求以及的</w:t>
      </w:r>
      <w:r>
        <w:rPr>
          <w:rFonts w:ascii="FangSong" w:eastAsia="FangSong" w:hAnsi="FangSong" w:cs="FangSong"/>
          <w:spacing w:val="-2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IT</w:t>
      </w:r>
      <w:r>
        <w:rPr>
          <w:rFonts w:ascii="FangSong" w:eastAsia="FangSong" w:hAnsi="FangSong" w:cs="FangSong"/>
          <w:spacing w:val="-4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运维和服务的状况，多方了解用户的需求，</w:t>
      </w:r>
    </w:p>
    <w:p>
      <w:pPr>
        <w:spacing w:line="216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916" w:right="1713" w:bottom="2123" w:left="1771" w:header="805" w:footer="1165" w:gutter="0"/>
          <w:cols w:space="720"/>
        </w:sectPr>
      </w:pPr>
    </w:p>
    <w:p>
      <w:pPr>
        <w:spacing w:before="66" w:line="360" w:lineRule="auto"/>
        <w:ind w:left="46" w:right="65" w:hanging="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组织各部门经过多次沟通，共同拟制或确定《运维服务目录》，</w:t>
      </w:r>
      <w:r>
        <w:rPr>
          <w:rFonts w:ascii="FangSong" w:eastAsia="FangSong" w:hAnsi="FangSong" w:cs="FangSong"/>
          <w:spacing w:val="-5"/>
          <w:sz w:val="24"/>
          <w:szCs w:val="24"/>
        </w:rPr>
        <w:t>经批准后执行。</w:t>
      </w:r>
      <w:r>
        <w:rPr>
          <w:rFonts w:ascii="FangSong" w:eastAsia="FangSong" w:hAnsi="FangSong" w:cs="FangSong"/>
          <w:spacing w:val="-4"/>
          <w:sz w:val="24"/>
          <w:szCs w:val="24"/>
        </w:rPr>
        <w:t>具体的服务目录管理流程参见《运维服务目录管理制度》。</w:t>
      </w:r>
    </w:p>
    <w:p>
      <w:pPr>
        <w:spacing w:before="2" w:line="360" w:lineRule="auto"/>
        <w:ind w:left="49" w:right="28" w:firstLine="47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0"/>
          <w:sz w:val="24"/>
          <w:szCs w:val="24"/>
        </w:rPr>
        <w:t>服务目录应包含公司现有的、可提供的全部服务内容</w:t>
      </w:r>
      <w:r>
        <w:rPr>
          <w:rFonts w:ascii="FangSong" w:eastAsia="FangSong" w:hAnsi="FangSong" w:cs="FangSong"/>
          <w:spacing w:val="-11"/>
          <w:sz w:val="24"/>
          <w:szCs w:val="24"/>
        </w:rPr>
        <w:t>，并存档。具体参见《运</w:t>
      </w:r>
      <w:r>
        <w:rPr>
          <w:rFonts w:ascii="FangSong" w:eastAsia="FangSong" w:hAnsi="FangSong" w:cs="FangSong"/>
          <w:spacing w:val="-16"/>
          <w:sz w:val="24"/>
          <w:szCs w:val="24"/>
        </w:rPr>
        <w:t>维服务目录》。</w:t>
      </w:r>
    </w:p>
    <w:p>
      <w:pPr>
        <w:pStyle w:val="BodyText"/>
        <w:spacing w:before="176" w:line="231" w:lineRule="auto"/>
        <w:ind w:left="41"/>
        <w:rPr>
          <w:rFonts w:ascii="FangSong" w:eastAsia="FangSong" w:hAnsi="FangSong" w:cs="FangSong"/>
          <w:sz w:val="28"/>
          <w:szCs w:val="28"/>
        </w:rPr>
      </w:pPr>
      <w:bookmarkStart w:id="13" w:name="bookmark24"/>
      <w:bookmarkEnd w:id="13"/>
      <w:r>
        <w:rPr>
          <w:b/>
          <w:bCs/>
          <w:spacing w:val="-2"/>
          <w:sz w:val="28"/>
          <w:szCs w:val="28"/>
        </w:rPr>
        <w:t>5.2.2.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服务级别协议</w:t>
      </w:r>
    </w:p>
    <w:p>
      <w:pPr>
        <w:spacing w:before="215" w:line="360" w:lineRule="auto"/>
        <w:ind w:left="45" w:right="28" w:firstLine="42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在服务目录和服务级别需求的基础上，召开服务级别评审会议，根据当前提</w:t>
      </w:r>
      <w:r>
        <w:rPr>
          <w:rFonts w:ascii="FangSong" w:eastAsia="FangSong" w:hAnsi="FangSong" w:cs="FangSong"/>
          <w:spacing w:val="-6"/>
          <w:sz w:val="24"/>
          <w:szCs w:val="24"/>
        </w:rPr>
        <w:t>供服务的内容，归类、定义或重新定义客户对服务</w:t>
      </w:r>
      <w:r>
        <w:rPr>
          <w:rFonts w:ascii="FangSong" w:eastAsia="FangSong" w:hAnsi="FangSong" w:cs="FangSong"/>
          <w:spacing w:val="-7"/>
          <w:sz w:val="24"/>
          <w:szCs w:val="24"/>
        </w:rPr>
        <w:t>的期望，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同时应考虑到如下因</w:t>
      </w:r>
      <w:r>
        <w:rPr>
          <w:rFonts w:ascii="FangSong" w:eastAsia="FangSong" w:hAnsi="FangSong" w:cs="FangSong"/>
          <w:spacing w:val="-18"/>
          <w:sz w:val="24"/>
          <w:szCs w:val="24"/>
        </w:rPr>
        <w:t>素：</w:t>
      </w:r>
    </w:p>
    <w:p>
      <w:pPr>
        <w:spacing w:before="1" w:line="288" w:lineRule="auto"/>
        <w:ind w:left="882" w:right="30" w:hanging="414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 xml:space="preserve">n </w:t>
      </w:r>
      <w:r>
        <w:rPr>
          <w:rFonts w:ascii="FangSong" w:eastAsia="FangSong" w:hAnsi="FangSong" w:cs="FangSong"/>
          <w:sz w:val="24"/>
          <w:szCs w:val="24"/>
        </w:rPr>
        <w:t>当前供应商的合作能力、合同实施的状况、潜在的风险或约束等进行分</w:t>
      </w:r>
      <w:r>
        <w:rPr>
          <w:rFonts w:ascii="FangSong" w:eastAsia="FangSong" w:hAnsi="FangSong" w:cs="FangSong"/>
          <w:spacing w:val="-7"/>
          <w:sz w:val="24"/>
          <w:szCs w:val="24"/>
        </w:rPr>
        <w:t>析，提出合理化措施；</w:t>
      </w:r>
    </w:p>
    <w:p>
      <w:pPr>
        <w:spacing w:before="188" w:line="324" w:lineRule="auto"/>
        <w:ind w:left="884" w:right="26" w:hanging="416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 xml:space="preserve">n </w:t>
      </w:r>
      <w:r>
        <w:rPr>
          <w:rFonts w:ascii="FangSong" w:eastAsia="FangSong" w:hAnsi="FangSong" w:cs="FangSong"/>
          <w:sz w:val="24"/>
          <w:szCs w:val="24"/>
        </w:rPr>
        <w:t>在服务级别协议下，所需要的专业技术、服务人员资质、技能、储备和</w:t>
      </w:r>
      <w:r>
        <w:rPr>
          <w:rFonts w:ascii="FangSong" w:eastAsia="FangSong" w:hAnsi="FangSong" w:cs="FangSong"/>
          <w:sz w:val="24"/>
          <w:szCs w:val="24"/>
        </w:rPr>
        <w:t>培训等方面的要求根据法律法规、标准等的要求，提出关于质量控制和</w:t>
      </w:r>
      <w:r>
        <w:rPr>
          <w:rFonts w:ascii="FangSong" w:eastAsia="FangSong" w:hAnsi="FangSong" w:cs="FangSong"/>
          <w:spacing w:val="-1"/>
          <w:sz w:val="24"/>
          <w:szCs w:val="24"/>
        </w:rPr>
        <w:t>改进方面的要求所涉及到的预算、成本、</w:t>
      </w:r>
      <w:r>
        <w:rPr>
          <w:rFonts w:ascii="FangSong" w:eastAsia="FangSong" w:hAnsi="FangSong" w:cs="FangSong"/>
          <w:spacing w:val="-6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费用等方面</w:t>
      </w:r>
      <w:r>
        <w:rPr>
          <w:rFonts w:ascii="FangSong" w:eastAsia="FangSong" w:hAnsi="FangSong" w:cs="FangSong"/>
          <w:spacing w:val="-2"/>
          <w:sz w:val="24"/>
          <w:szCs w:val="24"/>
        </w:rPr>
        <w:t>的财务分析，考虑</w:t>
      </w:r>
      <w:r>
        <w:rPr>
          <w:rFonts w:ascii="FangSong" w:eastAsia="FangSong" w:hAnsi="FangSong" w:cs="FangSong"/>
          <w:spacing w:val="-3"/>
          <w:sz w:val="24"/>
          <w:szCs w:val="24"/>
        </w:rPr>
        <w:t>到公司财务管理以及IT服务预算的相关要</w:t>
      </w:r>
      <w:r>
        <w:rPr>
          <w:rFonts w:ascii="FangSong" w:eastAsia="FangSong" w:hAnsi="FangSong" w:cs="FangSong"/>
          <w:spacing w:val="-4"/>
          <w:sz w:val="24"/>
          <w:szCs w:val="24"/>
        </w:rPr>
        <w:t>求；</w:t>
      </w:r>
    </w:p>
    <w:p>
      <w:pPr>
        <w:spacing w:before="185" w:line="216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2"/>
          <w:sz w:val="24"/>
          <w:szCs w:val="24"/>
        </w:rPr>
        <w:t>服务的可用性和持续性需求；</w:t>
      </w:r>
    </w:p>
    <w:p>
      <w:pPr>
        <w:spacing w:before="189" w:line="289" w:lineRule="auto"/>
        <w:ind w:left="884" w:right="64" w:hanging="416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1"/>
          <w:sz w:val="24"/>
          <w:szCs w:val="24"/>
        </w:rPr>
        <w:t>交付服务可能面临的风险（包括财务、政策、专利、质量、风险成本、</w:t>
      </w:r>
      <w:r>
        <w:rPr>
          <w:rFonts w:ascii="FangSong" w:eastAsia="FangSong" w:hAnsi="FangSong" w:cs="FangSong"/>
          <w:spacing w:val="-20"/>
          <w:sz w:val="24"/>
          <w:szCs w:val="24"/>
        </w:rPr>
        <w:t>供应商等方面）。</w:t>
      </w:r>
    </w:p>
    <w:p>
      <w:pPr>
        <w:spacing w:before="184" w:line="361" w:lineRule="auto"/>
        <w:ind w:left="44" w:right="30" w:firstLine="42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在协议规定的服务期内，与业务部门共同确认的服务级别协议可以作为评价</w:t>
      </w:r>
      <w:r>
        <w:rPr>
          <w:rFonts w:ascii="FangSong" w:eastAsia="FangSong" w:hAnsi="FangSong" w:cs="FangSong"/>
          <w:spacing w:val="-3"/>
          <w:sz w:val="24"/>
          <w:szCs w:val="24"/>
        </w:rPr>
        <w:t>和调整有关IT服务水平的一个标准。</w:t>
      </w:r>
    </w:p>
    <w:p>
      <w:pPr>
        <w:pStyle w:val="BodyText"/>
        <w:spacing w:before="176" w:line="231" w:lineRule="auto"/>
        <w:ind w:left="41"/>
        <w:outlineLvl w:val="3"/>
        <w:rPr>
          <w:rFonts w:ascii="FangSong" w:eastAsia="FangSong" w:hAnsi="FangSong" w:cs="FangSong"/>
          <w:sz w:val="28"/>
          <w:szCs w:val="28"/>
        </w:rPr>
      </w:pPr>
      <w:bookmarkStart w:id="14" w:name="bookmark12"/>
      <w:bookmarkEnd w:id="14"/>
      <w:r>
        <w:rPr>
          <w:b/>
          <w:bCs/>
          <w:spacing w:val="-2"/>
          <w:sz w:val="28"/>
          <w:szCs w:val="28"/>
        </w:rPr>
        <w:t>5.2.3.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签署或确认服务级别协议</w:t>
      </w:r>
    </w:p>
    <w:p>
      <w:pPr>
        <w:spacing w:before="215" w:line="360" w:lineRule="auto"/>
        <w:ind w:left="45" w:right="30" w:firstLine="422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作为IT服务提供商，按照与用户达成的服务内容与服务级别，签署或者共同</w:t>
      </w:r>
      <w:r>
        <w:rPr>
          <w:rFonts w:ascii="FangSong" w:eastAsia="FangSong" w:hAnsi="FangSong" w:cs="FangSong"/>
          <w:spacing w:val="-5"/>
          <w:sz w:val="24"/>
          <w:szCs w:val="24"/>
        </w:rPr>
        <w:t>确认服务级别协议。服务级别协议是与针对给客户所</w:t>
      </w:r>
      <w:r>
        <w:rPr>
          <w:rFonts w:ascii="FangSong" w:eastAsia="FangSong" w:hAnsi="FangSong" w:cs="FangSong"/>
          <w:spacing w:val="-6"/>
          <w:sz w:val="24"/>
          <w:szCs w:val="24"/>
        </w:rPr>
        <w:t>提供的服务项目，</w:t>
      </w:r>
      <w:r>
        <w:rPr>
          <w:rFonts w:ascii="FangSong" w:eastAsia="FangSong" w:hAnsi="FangSong" w:cs="FangSong"/>
          <w:spacing w:val="-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所签订的</w:t>
      </w:r>
      <w:r>
        <w:rPr>
          <w:rFonts w:ascii="FangSong" w:eastAsia="FangSong" w:hAnsi="FangSong" w:cs="FangSong"/>
          <w:spacing w:val="-11"/>
          <w:sz w:val="24"/>
          <w:szCs w:val="24"/>
        </w:rPr>
        <w:t>协议。</w:t>
      </w:r>
    </w:p>
    <w:p>
      <w:pPr>
        <w:spacing w:before="1" w:line="216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提交服务的范围、名称、角色及定义；</w:t>
      </w:r>
    </w:p>
    <w:p>
      <w:pPr>
        <w:spacing w:before="186" w:line="216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5"/>
          <w:sz w:val="24"/>
          <w:szCs w:val="24"/>
        </w:rPr>
        <w:t>服务的可用性指标或质量标准；</w:t>
      </w:r>
    </w:p>
    <w:p>
      <w:pPr>
        <w:spacing w:before="187" w:line="216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服务中断、恢复及响应的水平；</w:t>
      </w:r>
    </w:p>
    <w:p>
      <w:pPr>
        <w:spacing w:line="216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3"/>
          <w:footerReference w:type="default" r:id="rId14"/>
          <w:pgSz w:w="11907" w:h="16839"/>
          <w:pgMar w:top="1916" w:right="1769" w:bottom="2123" w:left="1771" w:header="805" w:footer="1165" w:gutter="0"/>
          <w:cols w:space="720"/>
        </w:sectPr>
      </w:pPr>
    </w:p>
    <w:p>
      <w:pPr>
        <w:spacing w:before="67" w:line="218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5"/>
          <w:sz w:val="24"/>
          <w:szCs w:val="24"/>
        </w:rPr>
        <w:t>服务报告的内容、报告周期；</w:t>
      </w:r>
    </w:p>
    <w:p>
      <w:pPr>
        <w:spacing w:before="184" w:line="218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9"/>
          <w:sz w:val="24"/>
          <w:szCs w:val="24"/>
        </w:rPr>
        <w:t>n</w:t>
      </w:r>
      <w:r>
        <w:rPr>
          <w:rFonts w:ascii="Wingdings" w:eastAsia="Wingdings" w:hAnsi="Wingdings" w:cs="Wingdings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9"/>
          <w:sz w:val="24"/>
          <w:szCs w:val="24"/>
        </w:rPr>
        <w:t>双方的职责与义务；</w:t>
      </w:r>
    </w:p>
    <w:p>
      <w:pPr>
        <w:spacing w:before="184" w:line="215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4"/>
          <w:sz w:val="24"/>
          <w:szCs w:val="24"/>
        </w:rPr>
        <w:t>对潜在的风险的定义和应对措施；</w:t>
      </w:r>
    </w:p>
    <w:p>
      <w:pPr>
        <w:spacing w:before="188" w:line="218" w:lineRule="auto"/>
        <w:ind w:left="468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1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指定的服务接口。</w:t>
      </w:r>
    </w:p>
    <w:p>
      <w:pPr>
        <w:pStyle w:val="BodyText"/>
        <w:spacing w:before="305" w:line="229" w:lineRule="auto"/>
        <w:ind w:left="38"/>
        <w:rPr>
          <w:rFonts w:ascii="FangSong" w:eastAsia="FangSong" w:hAnsi="FangSong" w:cs="FangSong"/>
          <w:sz w:val="28"/>
          <w:szCs w:val="28"/>
        </w:rPr>
      </w:pPr>
      <w:bookmarkStart w:id="15" w:name="bookmark25"/>
      <w:bookmarkEnd w:id="15"/>
      <w:r>
        <w:rPr>
          <w:b/>
          <w:bCs/>
          <w:spacing w:val="-5"/>
          <w:sz w:val="28"/>
          <w:szCs w:val="28"/>
        </w:rPr>
        <w:t>5.3.</w:t>
      </w:r>
      <w:r>
        <w:rPr>
          <w:b/>
          <w:bCs/>
          <w:spacing w:val="45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检查</w:t>
      </w:r>
    </w:p>
    <w:p>
      <w:pPr>
        <w:pStyle w:val="BodyText"/>
        <w:spacing w:line="284" w:lineRule="auto"/>
      </w:pPr>
    </w:p>
    <w:p>
      <w:pPr>
        <w:spacing w:before="79" w:line="361" w:lineRule="auto"/>
        <w:ind w:left="45" w:right="26" w:firstLine="44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5"/>
          <w:sz w:val="24"/>
          <w:szCs w:val="24"/>
        </w:rPr>
        <w:t>向客户提供的</w:t>
      </w:r>
      <w:r>
        <w:rPr>
          <w:rFonts w:ascii="FangSong" w:eastAsia="FangSong" w:hAnsi="FangSong" w:cs="FangSong"/>
          <w:sz w:val="24"/>
          <w:szCs w:val="24"/>
        </w:rPr>
        <w:t>IT</w:t>
      </w:r>
      <w:r>
        <w:rPr>
          <w:rFonts w:ascii="FangSong" w:eastAsia="FangSong" w:hAnsi="FangSong" w:cs="FangSong"/>
          <w:spacing w:val="5"/>
          <w:sz w:val="24"/>
          <w:szCs w:val="24"/>
        </w:rPr>
        <w:t>服务开始交付运行后，应定期收集所提供的</w:t>
      </w:r>
      <w:r>
        <w:rPr>
          <w:rFonts w:ascii="FangSong" w:eastAsia="FangSong" w:hAnsi="FangSong" w:cs="FangSong"/>
          <w:sz w:val="24"/>
          <w:szCs w:val="24"/>
        </w:rPr>
        <w:t>IT</w:t>
      </w:r>
      <w:r>
        <w:rPr>
          <w:rFonts w:ascii="FangSong" w:eastAsia="FangSong" w:hAnsi="FangSong" w:cs="FangSong"/>
          <w:spacing w:val="5"/>
          <w:sz w:val="24"/>
          <w:szCs w:val="24"/>
        </w:rPr>
        <w:t>服务状态数</w:t>
      </w:r>
      <w:r>
        <w:rPr>
          <w:rFonts w:ascii="FangSong" w:eastAsia="FangSong" w:hAnsi="FangSong" w:cs="FangSong"/>
          <w:spacing w:val="-8"/>
          <w:sz w:val="24"/>
          <w:szCs w:val="24"/>
        </w:rPr>
        <w:t>据，包括业务系统运行状况、问题趋势，</w:t>
      </w:r>
      <w:r>
        <w:rPr>
          <w:rFonts w:ascii="FangSong" w:eastAsia="FangSong" w:hAnsi="FangSong" w:cs="FangSong"/>
          <w:spacing w:val="5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8"/>
          <w:sz w:val="24"/>
          <w:szCs w:val="24"/>
        </w:rPr>
        <w:t>变更、发布的绩效</w:t>
      </w:r>
      <w:r>
        <w:rPr>
          <w:rFonts w:ascii="FangSong" w:eastAsia="FangSong" w:hAnsi="FangSong" w:cs="FangSong"/>
          <w:spacing w:val="-9"/>
          <w:sz w:val="24"/>
          <w:szCs w:val="24"/>
        </w:rPr>
        <w:t>等。汇总、分析实现</w:t>
      </w:r>
      <w:r>
        <w:rPr>
          <w:rFonts w:ascii="FangSong" w:eastAsia="FangSong" w:hAnsi="FangSong" w:cs="FangSong"/>
          <w:spacing w:val="-5"/>
          <w:sz w:val="24"/>
          <w:szCs w:val="24"/>
        </w:rPr>
        <w:t>要求的程度、趋势。</w:t>
      </w:r>
    </w:p>
    <w:p>
      <w:pPr>
        <w:pStyle w:val="BodyText"/>
        <w:spacing w:before="175" w:line="232" w:lineRule="auto"/>
        <w:ind w:left="41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5.3.1.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监控</w:t>
      </w:r>
    </w:p>
    <w:p>
      <w:pPr>
        <w:spacing w:before="213" w:line="360" w:lineRule="auto"/>
        <w:ind w:left="49" w:right="30" w:firstLine="41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客服中心组服务台受理用户及工程师上报的突发事件和服务请求，记录到工</w:t>
      </w:r>
      <w:r>
        <w:rPr>
          <w:rFonts w:ascii="FangSong" w:eastAsia="FangSong" w:hAnsi="FangSong" w:cs="FangSong"/>
          <w:spacing w:val="-4"/>
          <w:sz w:val="24"/>
          <w:szCs w:val="24"/>
        </w:rPr>
        <w:t>单系统，并根据情况进行一次性解决或升级处理；</w:t>
      </w:r>
    </w:p>
    <w:p>
      <w:pPr>
        <w:spacing w:before="3" w:line="360" w:lineRule="auto"/>
        <w:ind w:left="57" w:right="32" w:firstLine="40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运维工程师通过巡检发现问题，并根据影响概况、影响服务内容详情、影响</w:t>
      </w:r>
      <w:r>
        <w:rPr>
          <w:rFonts w:ascii="FangSong" w:eastAsia="FangSong" w:hAnsi="FangSong" w:cs="FangSong"/>
          <w:spacing w:val="-1"/>
          <w:sz w:val="24"/>
          <w:szCs w:val="24"/>
        </w:rPr>
        <w:t>范围，以及优先级，进行解决或升级处理，防止或减少故障的发生。</w:t>
      </w:r>
    </w:p>
    <w:p>
      <w:pPr>
        <w:pStyle w:val="BodyText"/>
        <w:spacing w:before="177" w:line="231" w:lineRule="auto"/>
        <w:ind w:left="41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5.3.2.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报告</w:t>
      </w:r>
    </w:p>
    <w:p>
      <w:pPr>
        <w:spacing w:before="214" w:line="218" w:lineRule="auto"/>
        <w:ind w:left="46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服务团队应按照服务级别中约定的频率向客户提供服务报告。</w:t>
      </w:r>
    </w:p>
    <w:p>
      <w:pPr>
        <w:pStyle w:val="BodyText"/>
        <w:spacing w:before="306" w:line="232" w:lineRule="auto"/>
        <w:ind w:left="38"/>
        <w:outlineLvl w:val="2"/>
        <w:rPr>
          <w:rFonts w:ascii="FangSong" w:eastAsia="FangSong" w:hAnsi="FangSong" w:cs="FangSong"/>
          <w:sz w:val="28"/>
          <w:szCs w:val="28"/>
        </w:rPr>
      </w:pPr>
      <w:bookmarkStart w:id="16" w:name="bookmark16"/>
      <w:bookmarkEnd w:id="16"/>
      <w:r>
        <w:rPr>
          <w:b/>
          <w:bCs/>
          <w:spacing w:val="-6"/>
          <w:sz w:val="28"/>
          <w:szCs w:val="28"/>
        </w:rPr>
        <w:t>5.4.</w:t>
      </w:r>
      <w:r>
        <w:rPr>
          <w:b/>
          <w:bCs/>
          <w:spacing w:val="5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改进</w:t>
      </w:r>
    </w:p>
    <w:p>
      <w:pPr>
        <w:pStyle w:val="BodyText"/>
        <w:spacing w:line="324" w:lineRule="auto"/>
      </w:pPr>
    </w:p>
    <w:p>
      <w:pPr>
        <w:pStyle w:val="BodyText"/>
        <w:spacing w:before="92" w:line="231" w:lineRule="auto"/>
        <w:ind w:left="41"/>
        <w:outlineLvl w:val="3"/>
        <w:rPr>
          <w:rFonts w:ascii="FangSong" w:eastAsia="FangSong" w:hAnsi="FangSong" w:cs="FangSong"/>
          <w:sz w:val="28"/>
          <w:szCs w:val="28"/>
        </w:rPr>
      </w:pPr>
      <w:bookmarkStart w:id="17" w:name="bookmark17"/>
      <w:bookmarkEnd w:id="17"/>
      <w:r>
        <w:rPr>
          <w:b/>
          <w:bCs/>
          <w:spacing w:val="-2"/>
          <w:sz w:val="28"/>
          <w:szCs w:val="28"/>
        </w:rPr>
        <w:t>5.4.1.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维护协议及合同</w:t>
      </w:r>
    </w:p>
    <w:p>
      <w:pPr>
        <w:spacing w:before="216" w:line="360" w:lineRule="auto"/>
        <w:ind w:left="51" w:right="32" w:firstLine="42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每年定期协商，签署或确认服务级别协议，发布服务目录，以满足用户的需</w:t>
      </w:r>
      <w:r>
        <w:rPr>
          <w:rFonts w:ascii="FangSong" w:eastAsia="FangSong" w:hAnsi="FangSong" w:cs="FangSong"/>
          <w:spacing w:val="-14"/>
          <w:sz w:val="24"/>
          <w:szCs w:val="24"/>
        </w:rPr>
        <w:t>求。</w:t>
      </w:r>
    </w:p>
    <w:p>
      <w:pPr>
        <w:spacing w:before="1" w:line="217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协议和目录变更通过变更流程来流程控制。</w:t>
      </w:r>
    </w:p>
    <w:p>
      <w:pPr>
        <w:pStyle w:val="BodyText"/>
        <w:spacing w:line="271" w:lineRule="auto"/>
      </w:pPr>
    </w:p>
    <w:p>
      <w:pPr>
        <w:pStyle w:val="BodyText"/>
        <w:spacing w:before="92" w:line="231" w:lineRule="auto"/>
        <w:ind w:left="41"/>
        <w:outlineLvl w:val="3"/>
        <w:rPr>
          <w:rFonts w:ascii="FangSong" w:eastAsia="FangSong" w:hAnsi="FangSong" w:cs="FangSong"/>
          <w:sz w:val="28"/>
          <w:szCs w:val="28"/>
        </w:rPr>
      </w:pPr>
      <w:bookmarkStart w:id="18" w:name="bookmark18"/>
      <w:bookmarkEnd w:id="18"/>
      <w:r>
        <w:rPr>
          <w:b/>
          <w:bCs/>
          <w:spacing w:val="-2"/>
          <w:sz w:val="28"/>
          <w:szCs w:val="28"/>
        </w:rPr>
        <w:t>5.4.2.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服务改进计划</w:t>
      </w:r>
    </w:p>
    <w:p>
      <w:pPr>
        <w:spacing w:before="214" w:line="216" w:lineRule="auto"/>
        <w:ind w:left="476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2"/>
          <w:sz w:val="24"/>
          <w:szCs w:val="24"/>
        </w:rPr>
        <w:t>重视客户调查结果，并用于服务改进计划之中，改进客户关系。</w:t>
      </w:r>
    </w:p>
    <w:p>
      <w:pPr>
        <w:spacing w:before="187" w:line="218" w:lineRule="auto"/>
        <w:ind w:left="476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2"/>
          <w:sz w:val="24"/>
          <w:szCs w:val="24"/>
        </w:rPr>
        <w:t>每年定期沟通服务水平，计划和落实服务</w:t>
      </w:r>
      <w:r>
        <w:rPr>
          <w:rFonts w:ascii="FangSong" w:eastAsia="FangSong" w:hAnsi="FangSong" w:cs="FangSong"/>
          <w:spacing w:val="-3"/>
          <w:sz w:val="24"/>
          <w:szCs w:val="24"/>
        </w:rPr>
        <w:t>改进的内容。</w:t>
      </w:r>
    </w:p>
    <w:p>
      <w:pPr>
        <w:spacing w:line="218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5"/>
          <w:pgSz w:w="11907" w:h="16839"/>
          <w:pgMar w:top="1916" w:right="1769" w:bottom="2123" w:left="1771" w:header="805" w:footer="1165" w:gutter="0"/>
          <w:cols w:space="720"/>
        </w:sectPr>
      </w:pPr>
    </w:p>
    <w:p>
      <w:pPr>
        <w:pStyle w:val="BodyText"/>
        <w:spacing w:before="126" w:line="231" w:lineRule="auto"/>
        <w:ind w:left="125"/>
        <w:outlineLvl w:val="3"/>
        <w:rPr>
          <w:rFonts w:ascii="FangSong" w:eastAsia="FangSong" w:hAnsi="FangSong" w:cs="FangSong"/>
          <w:sz w:val="28"/>
          <w:szCs w:val="28"/>
        </w:rPr>
      </w:pPr>
      <w:bookmarkStart w:id="19" w:name="bookmark26"/>
      <w:bookmarkEnd w:id="19"/>
      <w:bookmarkStart w:id="20" w:name="bookmark19"/>
      <w:bookmarkEnd w:id="20"/>
      <w:r>
        <w:rPr>
          <w:b/>
          <w:bCs/>
          <w:spacing w:val="-2"/>
          <w:sz w:val="28"/>
          <w:szCs w:val="28"/>
        </w:rPr>
        <w:t>5.4.3.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变更服务级别协议</w:t>
      </w:r>
    </w:p>
    <w:p>
      <w:pPr>
        <w:spacing w:before="213" w:line="289" w:lineRule="auto"/>
        <w:ind w:left="993" w:right="1199" w:hanging="433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 xml:space="preserve">n </w:t>
      </w:r>
      <w:r>
        <w:rPr>
          <w:rFonts w:ascii="FangSong" w:eastAsia="FangSong" w:hAnsi="FangSong" w:cs="FangSong"/>
          <w:sz w:val="24"/>
          <w:szCs w:val="24"/>
        </w:rPr>
        <w:t>当客户需求出现新增、变更并与已签署的服务级别协议不符时，应</w:t>
      </w:r>
      <w:r>
        <w:rPr>
          <w:rFonts w:ascii="FangSong" w:eastAsia="FangSong" w:hAnsi="FangSong" w:cs="FangSong"/>
          <w:spacing w:val="-1"/>
          <w:sz w:val="24"/>
          <w:szCs w:val="24"/>
        </w:rPr>
        <w:t>及时</w:t>
      </w:r>
      <w:r>
        <w:rPr>
          <w:rFonts w:ascii="FangSong" w:eastAsia="FangSong" w:hAnsi="FangSong" w:cs="FangSong"/>
          <w:spacing w:val="-8"/>
          <w:sz w:val="24"/>
          <w:szCs w:val="24"/>
        </w:rPr>
        <w:t>收集、反馈相关信息；</w:t>
      </w:r>
    </w:p>
    <w:p>
      <w:pPr>
        <w:spacing w:before="184" w:line="217" w:lineRule="auto"/>
        <w:ind w:left="560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3"/>
          <w:sz w:val="24"/>
          <w:szCs w:val="24"/>
        </w:rPr>
        <w:t>根据新增或变更服务的要求，拟制或修订相应的新服务规划方案；</w:t>
      </w:r>
    </w:p>
    <w:p>
      <w:pPr>
        <w:spacing w:before="186" w:line="218" w:lineRule="auto"/>
        <w:ind w:left="560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2"/>
          <w:sz w:val="24"/>
          <w:szCs w:val="24"/>
        </w:rPr>
        <w:t>对需要修订服务级别协议的客户需求，</w:t>
      </w:r>
      <w:r>
        <w:rPr>
          <w:rFonts w:ascii="FangSong" w:eastAsia="FangSong" w:hAnsi="FangSong" w:cs="FangSong"/>
          <w:spacing w:val="-3"/>
          <w:sz w:val="24"/>
          <w:szCs w:val="24"/>
        </w:rPr>
        <w:t>按变更管理流程的要求处理；</w:t>
      </w:r>
    </w:p>
    <w:p>
      <w:pPr>
        <w:spacing w:before="184" w:line="218" w:lineRule="auto"/>
        <w:ind w:left="560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FangSong" w:eastAsia="FangSong" w:hAnsi="FangSong" w:cs="FangSong"/>
          <w:spacing w:val="-2"/>
          <w:sz w:val="24"/>
          <w:szCs w:val="24"/>
        </w:rPr>
        <w:t>对新增的服务级别需求，按服务级别管理流程的要求处</w:t>
      </w:r>
      <w:r>
        <w:rPr>
          <w:rFonts w:ascii="FangSong" w:eastAsia="FangSong" w:hAnsi="FangSong" w:cs="FangSong"/>
          <w:spacing w:val="-3"/>
          <w:sz w:val="24"/>
          <w:szCs w:val="24"/>
        </w:rPr>
        <w:t>理。</w:t>
      </w:r>
    </w:p>
    <w:p>
      <w:pPr>
        <w:pStyle w:val="BodyText"/>
        <w:spacing w:line="414" w:lineRule="auto"/>
      </w:pPr>
    </w:p>
    <w:p>
      <w:pPr>
        <w:spacing w:before="101" w:line="238" w:lineRule="auto"/>
        <w:ind w:left="126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8"/>
          <w:sz w:val="31"/>
          <w:szCs w:val="31"/>
        </w:rPr>
        <w:t xml:space="preserve">6.  </w:t>
      </w:r>
      <w:r>
        <w:rPr>
          <w:rFonts w:ascii="SimHei" w:eastAsia="SimHei" w:hAnsi="SimHei" w:cs="SimHei"/>
          <w:spacing w:val="8"/>
          <w:sz w:val="31"/>
          <w:szCs w:val="31"/>
        </w:rPr>
        <w:t>服务级别与其它流程的关系</w:t>
      </w:r>
    </w:p>
    <w:p>
      <w:pPr>
        <w:pStyle w:val="BodyText"/>
        <w:spacing w:line="337" w:lineRule="auto"/>
      </w:pPr>
    </w:p>
    <w:p>
      <w:pPr>
        <w:spacing w:before="79" w:line="360" w:lineRule="auto"/>
        <w:ind w:left="130" w:right="1199" w:firstLine="42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IT服务管理的其他流程都是依据服务级别管理的要求来开展的，服务级别管</w:t>
      </w:r>
      <w:r>
        <w:rPr>
          <w:rFonts w:ascii="FangSong" w:eastAsia="FangSong" w:hAnsi="FangSong" w:cs="FangSong"/>
          <w:spacing w:val="-4"/>
          <w:sz w:val="24"/>
          <w:szCs w:val="24"/>
        </w:rPr>
        <w:t>理是IT服务管理的关键所在。</w:t>
      </w:r>
    </w:p>
    <w:p>
      <w:pPr>
        <w:spacing w:before="182" w:line="184" w:lineRule="auto"/>
        <w:ind w:left="5137"/>
        <w:rPr>
          <w:rFonts w:ascii="SimSun" w:eastAsia="SimSun" w:hAnsi="SimSun" w:cs="SimSun"/>
          <w:sz w:val="11"/>
          <w:szCs w:val="11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height:9pt;margin-left:102.76pt;margin-top:8.93pt;position:absolute;width:28.9pt;z-index:251665408">
            <v:textbox inset="0,0,0,0">
              <w:txbxContent>
                <w:p>
                  <w:pPr>
                    <w:spacing w:before="19" w:line="234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服务报告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3"/>
          <w:sz w:val="11"/>
          <w:szCs w:val="11"/>
        </w:rPr>
        <w:t>容量计划</w:t>
      </w:r>
    </w:p>
    <w:p>
      <w:pPr>
        <w:spacing w:before="1" w:line="218" w:lineRule="auto"/>
        <w:ind w:left="6334"/>
        <w:rPr>
          <w:rFonts w:ascii="SimSun" w:eastAsia="SimSun" w:hAnsi="SimSun" w:cs="SimSun"/>
          <w:sz w:val="11"/>
          <w:szCs w:val="11"/>
        </w:rPr>
      </w:pPr>
      <w:r>
        <w:pict>
          <v:shape id="_x0000_s1026" type="#_x0000_t202" style="height:9.05pt;margin-left:31.44pt;margin-top:-0.77pt;position:absolute;width:49.25pt;z-index:251659264">
            <v:textbox inset="0,0,0,0">
              <w:txbxContent>
                <w:p>
                  <w:pPr>
                    <w:spacing w:before="20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服务台事件管理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3"/>
          <w:sz w:val="11"/>
          <w:szCs w:val="11"/>
        </w:rPr>
        <w:t>容量管理</w:t>
      </w:r>
    </w:p>
    <w:p>
      <w:pPr>
        <w:pStyle w:val="BodyText"/>
        <w:spacing w:line="427" w:lineRule="auto"/>
      </w:pPr>
    </w:p>
    <w:p>
      <w:pPr>
        <w:spacing w:before="36" w:line="184" w:lineRule="auto"/>
        <w:ind w:left="5059"/>
        <w:rPr>
          <w:rFonts w:ascii="SimSun" w:eastAsia="SimSun" w:hAnsi="SimSun" w:cs="SimSun"/>
          <w:sz w:val="11"/>
          <w:szCs w:val="11"/>
        </w:rPr>
      </w:pPr>
      <w:r>
        <w:pict>
          <v:shape id="_x0000_s1027" type="#_x0000_t202" style="height:9.05pt;margin-left:102.91pt;margin-top:1.5pt;position:absolute;width:28.9pt;z-index:251666432">
            <v:textbox inset="0,0,0,0">
              <w:txbxContent>
                <w:p>
                  <w:pPr>
                    <w:spacing w:before="20" w:line="236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变更请求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可用性计划</w:t>
      </w:r>
    </w:p>
    <w:p>
      <w:pPr>
        <w:spacing w:line="218" w:lineRule="auto"/>
        <w:ind w:left="6266"/>
        <w:rPr>
          <w:rFonts w:ascii="SimSun" w:eastAsia="SimSun" w:hAnsi="SimSun" w:cs="SimSun"/>
          <w:sz w:val="11"/>
          <w:szCs w:val="11"/>
        </w:rPr>
      </w:pPr>
      <w:r>
        <w:pict>
          <v:shape id="_x0000_s1028" type="#_x0000_t202" style="height:9.05pt;margin-left:40.81pt;margin-top:-1.47pt;position:absolute;width:28.9pt;z-index:251667456">
            <v:textbox inset="0,0,0,0">
              <w:txbxContent>
                <w:p>
                  <w:pPr>
                    <w:spacing w:before="20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变更管理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可用性管理</w:t>
      </w:r>
    </w:p>
    <w:p>
      <w:pPr>
        <w:pStyle w:val="BodyText"/>
        <w:spacing w:line="427" w:lineRule="auto"/>
      </w:pPr>
    </w:p>
    <w:p>
      <w:pPr>
        <w:spacing w:before="36" w:line="184" w:lineRule="auto"/>
        <w:ind w:left="5052"/>
        <w:rPr>
          <w:rFonts w:ascii="SimSun" w:eastAsia="SimSun" w:hAnsi="SimSun" w:cs="SimSun"/>
          <w:sz w:val="11"/>
          <w:szCs w:val="11"/>
        </w:rPr>
      </w:pPr>
      <w:r>
        <w:pict>
          <v:shape id="_x0000_s1029" type="#_x0000_t202" style="height:9pt;margin-left:102.91pt;margin-top:0.84pt;position:absolute;width:28.9pt;z-index:251664384">
            <v:textbox inset="0,0,0,0">
              <w:txbxContent>
                <w:p>
                  <w:pPr>
                    <w:spacing w:before="19" w:line="234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服务报告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连续性计划</w:t>
      </w:r>
    </w:p>
    <w:p>
      <w:pPr>
        <w:spacing w:before="1" w:line="218" w:lineRule="auto"/>
        <w:ind w:left="6265"/>
        <w:rPr>
          <w:rFonts w:ascii="SimSun" w:eastAsia="SimSun" w:hAnsi="SimSun" w:cs="SimSun"/>
          <w:sz w:val="11"/>
          <w:szCs w:val="11"/>
        </w:rPr>
      </w:pPr>
      <w:r>
        <w:pict>
          <v:shape id="_x0000_s1030" type="#_x0000_t202" style="height:9.05pt;margin-left:41.58pt;margin-top:-1.47pt;position:absolute;width:28.15pt;z-index:251670528">
            <v:textbox inset="0,0,0,0">
              <w:txbxContent>
                <w:p>
                  <w:pPr>
                    <w:spacing w:before="20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0"/>
                      <w:sz w:val="11"/>
                      <w:szCs w:val="11"/>
                    </w:rPr>
                    <w:t>问题管理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连续性管理</w:t>
      </w:r>
    </w:p>
    <w:p>
      <w:pPr>
        <w:spacing w:before="106" w:line="227" w:lineRule="auto"/>
        <w:ind w:left="3055"/>
        <w:rPr>
          <w:rFonts w:ascii="SimSun" w:eastAsia="SimSun" w:hAnsi="SimSun" w:cs="SimSun"/>
          <w:sz w:val="23"/>
          <w:szCs w:val="23"/>
        </w:rPr>
      </w:pPr>
      <w:r>
        <w:rPr>
          <w:rFonts w:ascii="SimSun" w:eastAsia="SimSun" w:hAnsi="SimSun" w:cs="SimSun"/>
          <w:spacing w:val="39"/>
          <w:sz w:val="23"/>
          <w:szCs w:val="23"/>
        </w:rPr>
        <w:t>服务级别管理</w:t>
      </w:r>
    </w:p>
    <w:p>
      <w:pPr>
        <w:spacing w:before="76" w:line="184" w:lineRule="auto"/>
        <w:ind w:left="5120"/>
        <w:rPr>
          <w:rFonts w:ascii="SimSun" w:eastAsia="SimSun" w:hAnsi="SimSun" w:cs="SimSun"/>
          <w:sz w:val="11"/>
          <w:szCs w:val="11"/>
        </w:rPr>
      </w:pPr>
      <w:r>
        <w:pict>
          <v:shape id="_x0000_s1031" type="#_x0000_t202" style="height:9pt;margin-left:103.02pt;margin-top:6.34pt;position:absolute;width:28.8pt;z-index:251668480">
            <v:textbox inset="0,0,0,0">
              <w:txbxContent>
                <w:p>
                  <w:pPr>
                    <w:spacing w:before="19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3"/>
                      <w:sz w:val="11"/>
                      <w:szCs w:val="11"/>
                    </w:rPr>
                    <w:t>发布通知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服务报告</w:t>
      </w:r>
    </w:p>
    <w:p>
      <w:pPr>
        <w:spacing w:before="1" w:line="217" w:lineRule="auto"/>
        <w:ind w:left="6197"/>
        <w:rPr>
          <w:rFonts w:ascii="SimSun" w:eastAsia="SimSun" w:hAnsi="SimSun" w:cs="SimSun"/>
          <w:sz w:val="11"/>
          <w:szCs w:val="11"/>
        </w:rPr>
      </w:pPr>
      <w:r>
        <w:pict>
          <v:shape id="_x0000_s1032" type="#_x0000_t202" style="height:9pt;margin-left:40.92pt;margin-top:-1.5pt;position:absolute;width:28.8pt;z-index:251669504">
            <v:textbox inset="0,0,0,0">
              <w:txbxContent>
                <w:p>
                  <w:pPr>
                    <w:spacing w:before="19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3"/>
                      <w:sz w:val="11"/>
                      <w:szCs w:val="11"/>
                    </w:rPr>
                    <w:t>发布管理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服务报告管理</w:t>
      </w:r>
    </w:p>
    <w:p>
      <w:pPr>
        <w:pStyle w:val="BodyText"/>
        <w:spacing w:line="428" w:lineRule="auto"/>
      </w:pPr>
    </w:p>
    <w:p>
      <w:pPr>
        <w:spacing w:before="35" w:line="184" w:lineRule="auto"/>
        <w:ind w:left="4783"/>
        <w:rPr>
          <w:rFonts w:ascii="SimSun" w:eastAsia="SimSun" w:hAnsi="SimSun" w:cs="SimSun"/>
          <w:sz w:val="11"/>
          <w:szCs w:val="11"/>
        </w:rPr>
      </w:pPr>
      <w:r>
        <w:pict>
          <v:group id="_x0000_s1033" style="height:202.15pt;margin-left:24.87pt;margin-top:-146.16pt;position:absolute;width:335.35pt;z-index:-251658240" coordorigin="0,0" coordsize="6707,4042">
            <v:shape id="_x0000_s1034" style="height:4042;position:absolute;width:6707" coordorigin="0,0" coordsize="6707,4042" path="m20,525l1222,525l1222,102l20,102l20,525xm4,1217l1205,1217l1205,793l4,793l4,1217xm4,1922l1205,1922l1205,1499l4,1499l4,1922xm4,2628l1205,2628l1205,2204l4,2204l4,2628xm5500,511l6702,511l6702,88l5500,88l5500,511xm5500,1217l6702,1217l6702,793l5500,793l5500,1217xm4,3333l1205,3333l1205,2910l4,2910l4,3333xm4,4039l1205,4039l1205,3615l4,3615l4,4039xm5500,2628l6702,2628l6702,2204l5500,2204l5500,2628xm2568,4039l4154,4039c4207,4039,4250,4001,4250,3954c4250,3954,4250,3954,4250,3954l4250,88c4250,41,4207,3,4154,3l4154,3l2568,3c2515,3,2472,41,2472,88l2472,88l2472,3954c2472,4001,2515,4039,2568,4039m2387,313l1238,313e" strokecolor="black" strokeweight="0.38pt">
              <v:stroke endcap="round"/>
            </v:shape>
            <v:shape id="_x0000_s1035" style="height:65;left:2378;position:absolute;top:281;width:110" coordorigin="0,0" coordsize="110,65" path="m,l109,32l,64l,xe" fillcolor="black"/>
            <v:shape id="_x0000_s1036" style="height:8;left:1201;position:absolute;top:1721;width:1174" coordorigin="0,0" coordsize="1174,8" path="m1169,3l4,3e" strokecolor="black" strokeweight="0.38pt">
              <v:stroke endcap="round"/>
            </v:shape>
            <v:shape id="_x0000_s1037" style="height:65;left:2362;position:absolute;top:1692;width:110" coordorigin="0,0" coordsize="110,65" path="m,l109,32l,64l,xe" fillcolor="black"/>
            <v:shape id="_x0000_s1038" style="height:8;left:1318;position:absolute;top:3132;width:1158" coordorigin="0,0" coordsize="1158,8" path="m1153,3l4,3e" strokecolor="black" strokeweight="0.38pt">
              <v:stroke endcap="round"/>
            </v:shape>
            <v:shape id="_x0000_s1039" style="height:65;left:1222;position:absolute;top:3103;width:110" coordorigin="0,0" coordsize="110,65" path="m109,64l,32l109,l109,64xe" fillcolor="black"/>
            <v:shape id="_x0000_s1040" style="height:2321;left:1302;position:absolute;top:1015;width:5405" coordorigin="0,0" coordsize="5405,2321" path="m4198,2317l5400,2317l5400,1894l4198,1894l4198,2317xm1169,3l4,3e" strokecolor="black" strokeweight="0.38pt">
              <v:stroke endcap="round"/>
            </v:shape>
            <v:shape id="_x0000_s1041" style="height:65;left:1205;position:absolute;top:987;width:110" coordorigin="0,0" coordsize="110,65" path="m109,64l,32l109,l109,64xe" fillcolor="black"/>
            <v:shape id="_x0000_s1042" style="height:1616;left:4347;position:absolute;top:310;width:2360" coordorigin="0,0" coordsize="2360,1616" path="m1153,1612l2355,1612l2355,1188l1153,1188l1153,1612xm1153,3l4,3e" strokecolor="black" strokeweight="0.38pt">
              <v:stroke endcap="round"/>
            </v:shape>
            <v:shape id="_x0000_s1043" style="height:65;left:4250;position:absolute;top:281;width:110" coordorigin="0,0" coordsize="110,65" path="m109,64l,32l109,l109,64xe" fillcolor="black"/>
            <v:shape id="_x0000_s1044" style="height:1560;left:1201;position:absolute;top:2483;width:5505" coordorigin="0,0" coordsize="5505,1560" path="m4298,1555l5500,1555l5500,1132l4298,1132l4298,1555xm1169,3l4,3e" strokecolor="black" strokeweight="0.38pt">
              <v:stroke endcap="round"/>
            </v:shape>
            <v:shape id="_x0000_s1045" style="height:65;left:2362;position:absolute;top:2454;width:110" coordorigin="0,0" coordsize="110,65" path="m,l109,32l,64l,xe" fillcolor="black"/>
            <v:shape id="_x0000_s1046" style="height:8;left:1217;position:absolute;top:3838;width:1174" coordorigin="0,0" coordsize="1174,8" path="m1169,3l4,3e" strokecolor="black" strokeweight="0.38pt">
              <v:stroke endcap="round"/>
            </v:shape>
            <v:shape id="_x0000_s1047" style="height:65;left:2378;position:absolute;top:3809;width:110" coordorigin="0,0" coordsize="110,65" path="m,l109,32l,64l,xe" fillcolor="black"/>
            <v:shape id="_x0000_s1048" style="height:8;left:4331;position:absolute;top:1015;width:1174" coordorigin="0,0" coordsize="1174,8" path="m1169,3l4,3e" strokecolor="black" strokeweight="0.38pt">
              <v:stroke endcap="round"/>
            </v:shape>
            <v:shape id="_x0000_s1049" style="height:65;left:4234;position:absolute;top:987;width:110" coordorigin="0,0" coordsize="110,65" path="m109,64l,32l109,l109,64xe" fillcolor="black"/>
            <v:shape id="_x0000_s1050" style="height:8;left:4331;position:absolute;top:1721;width:1174" coordorigin="0,0" coordsize="1174,8" path="m1169,3l4,3e" strokecolor="black" strokeweight="0.38pt">
              <v:stroke endcap="round"/>
            </v:shape>
            <v:shape id="_x0000_s1051" style="height:65;left:4234;position:absolute;top:1692;width:110" coordorigin="0,0" coordsize="110,65" path="m109,64l,32l109,l109,64xe" fillcolor="black"/>
            <v:shape id="_x0000_s1052" style="height:8;left:4246;position:absolute;top:2427;width:1174" coordorigin="0,0" coordsize="1174,8" path="m1169,3l4,3e" strokecolor="black" strokeweight="0.38pt">
              <v:stroke endcap="round"/>
            </v:shape>
            <v:shape id="_x0000_s1053" style="height:65;left:5407;position:absolute;top:2398;width:110" coordorigin="0,0" coordsize="110,65" path="m,l109,32l,64l,xe" fillcolor="black"/>
            <v:shape id="_x0000_s1054" style="height:8;left:4331;position:absolute;top:3132;width:1174" coordorigin="0,0" coordsize="1174,8" path="m1169,3l4,3e" strokecolor="black" strokeweight="0.38pt">
              <v:stroke endcap="round"/>
            </v:shape>
            <v:shape id="_x0000_s1055" style="height:65;left:4234;position:absolute;top:3103;width:110" coordorigin="0,0" coordsize="110,65" path="m109,64l,32l109,l109,64xe" fillcolor="black"/>
            <v:shape id="_x0000_s1056" style="height:8;left:4246;position:absolute;top:3838;width:1174" coordorigin="0,0" coordsize="1174,8" path="m1169,3l4,3e" strokecolor="black" strokeweight="0.38pt">
              <v:stroke endcap="round"/>
            </v:shape>
            <v:shape id="_x0000_s1057" style="height:65;left:5407;position:absolute;top:3809;width:110" coordorigin="0,0" coordsize="110,65" path="m,l109,32l,64l,xe" fillcolor="black"/>
          </v:group>
        </w:pict>
      </w:r>
      <w:r>
        <w:pict>
          <v:shape id="_x0000_s1058" type="#_x0000_t202" style="height:9.05pt;margin-left:97.34pt;margin-top:1.5pt;position:absolute;width:37.6pt;z-index:251662336">
            <v:textbox inset="0,0,0,0">
              <w:txbxContent>
                <w:p>
                  <w:pPr>
                    <w:spacing w:before="20" w:line="236" w:lineRule="auto"/>
                    <w:ind w:left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9"/>
                      <w:sz w:val="11"/>
                      <w:szCs w:val="11"/>
                    </w:rPr>
                    <w:t>已回顾的</w:t>
                  </w:r>
                  <w:r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  <w:t>UC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5"/>
          <w:sz w:val="11"/>
          <w:szCs w:val="11"/>
        </w:rPr>
        <w:t>服务成本和价格信息</w:t>
      </w:r>
    </w:p>
    <w:p>
      <w:pPr>
        <w:spacing w:before="1" w:line="218" w:lineRule="auto"/>
        <w:ind w:left="6333"/>
        <w:rPr>
          <w:rFonts w:ascii="SimSun" w:eastAsia="SimSun" w:hAnsi="SimSun" w:cs="SimSun"/>
          <w:sz w:val="11"/>
          <w:szCs w:val="11"/>
        </w:rPr>
      </w:pPr>
      <w:r>
        <w:pict>
          <v:shape id="_x0000_s1059" type="#_x0000_t202" style="height:9pt;margin-left:37.42pt;margin-top:-1.48pt;position:absolute;width:35.7pt;z-index:251663360">
            <v:textbox inset="0,0,0,0">
              <w:txbxContent>
                <w:p>
                  <w:pPr>
                    <w:spacing w:before="19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供应商管理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财务管理</w:t>
      </w:r>
    </w:p>
    <w:p>
      <w:pPr>
        <w:pStyle w:val="BodyText"/>
        <w:spacing w:line="427" w:lineRule="auto"/>
      </w:pPr>
    </w:p>
    <w:p>
      <w:pPr>
        <w:spacing w:before="36" w:line="184" w:lineRule="auto"/>
        <w:ind w:left="4990"/>
        <w:rPr>
          <w:rFonts w:ascii="SimSun" w:eastAsia="SimSun" w:hAnsi="SimSun" w:cs="SimSun"/>
          <w:sz w:val="11"/>
          <w:szCs w:val="11"/>
        </w:rPr>
      </w:pPr>
      <w:r>
        <w:pict>
          <v:shape id="_x0000_s1060" type="#_x0000_t202" style="height:9.05pt;margin-left:96.03pt;margin-top:1.5pt;position:absolute;width:42.4pt;z-index:251661312">
            <v:textbox inset="0,0,0,0">
              <w:txbxContent>
                <w:p>
                  <w:pPr>
                    <w:spacing w:before="20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用户业务需求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4"/>
          <w:sz w:val="11"/>
          <w:szCs w:val="11"/>
        </w:rPr>
        <w:t>服务改进计划</w:t>
      </w:r>
    </w:p>
    <w:p>
      <w:pPr>
        <w:spacing w:line="218" w:lineRule="auto"/>
        <w:ind w:left="6061"/>
        <w:rPr>
          <w:rFonts w:ascii="SimSun" w:eastAsia="SimSun" w:hAnsi="SimSun" w:cs="SimSun"/>
          <w:sz w:val="11"/>
          <w:szCs w:val="11"/>
        </w:rPr>
      </w:pPr>
      <w:r>
        <w:pict>
          <v:shape id="_x0000_s1061" type="#_x0000_t202" style="height:9.05pt;margin-left:34pt;margin-top:-1.48pt;position:absolute;width:42.5pt;z-index:251660288">
            <v:textbox inset="0,0,0,0">
              <w:txbxContent>
                <w:p>
                  <w:pPr>
                    <w:spacing w:before="20" w:line="23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4"/>
                      <w:sz w:val="11"/>
                      <w:szCs w:val="11"/>
                    </w:rPr>
                    <w:t>业务关系管理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5"/>
          <w:sz w:val="11"/>
          <w:szCs w:val="11"/>
        </w:rPr>
        <w:t>服务改进计划管理</w:t>
      </w:r>
    </w:p>
    <w:p>
      <w:pPr>
        <w:pStyle w:val="BodyText"/>
        <w:spacing w:line="323" w:lineRule="auto"/>
      </w:pPr>
    </w:p>
    <w:p>
      <w:pPr>
        <w:pStyle w:val="BodyText"/>
        <w:spacing w:line="323" w:lineRule="auto"/>
      </w:pPr>
    </w:p>
    <w:p>
      <w:pPr>
        <w:spacing w:before="102"/>
        <w:ind w:left="124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7.</w:t>
      </w:r>
      <w:r>
        <w:rPr>
          <w:rFonts w:ascii="Times New Roman" w:eastAsia="Times New Roman" w:hAnsi="Times New Roman" w:cs="Times New Roman"/>
          <w:spacing w:val="17"/>
          <w:sz w:val="31"/>
          <w:szCs w:val="31"/>
        </w:rPr>
        <w:t xml:space="preserve">  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5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5"/>
          <w:sz w:val="31"/>
          <w:szCs w:val="31"/>
        </w:rPr>
        <w:t>指标</w:t>
      </w:r>
    </w:p>
    <w:p>
      <w:pPr>
        <w:spacing w:before="57"/>
      </w:pPr>
    </w:p>
    <w:tbl>
      <w:tblPr>
        <w:tblStyle w:val="TableNormal"/>
        <w:tblW w:w="961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567"/>
        <w:gridCol w:w="5034"/>
        <w:gridCol w:w="1012"/>
      </w:tblGrid>
      <w:tr>
        <w:tblPrEx>
          <w:tblW w:w="961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3567" w:type="dxa"/>
          </w:tcPr>
          <w:p>
            <w:pPr>
              <w:pStyle w:val="TableText"/>
              <w:spacing w:before="217" w:line="221" w:lineRule="auto"/>
              <w:ind w:left="137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指标名称</w:t>
            </w:r>
          </w:p>
        </w:tc>
        <w:tc>
          <w:tcPr>
            <w:tcW w:w="5034" w:type="dxa"/>
          </w:tcPr>
          <w:p>
            <w:pPr>
              <w:pStyle w:val="TableText"/>
              <w:spacing w:before="216" w:line="221" w:lineRule="auto"/>
              <w:ind w:left="210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计算方法</w:t>
            </w:r>
          </w:p>
        </w:tc>
        <w:tc>
          <w:tcPr>
            <w:tcW w:w="1012" w:type="dxa"/>
          </w:tcPr>
          <w:p>
            <w:pPr>
              <w:pStyle w:val="TableText"/>
              <w:spacing w:before="60" w:line="221" w:lineRule="auto"/>
              <w:ind w:left="298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考核</w:t>
            </w:r>
          </w:p>
          <w:p>
            <w:pPr>
              <w:pStyle w:val="TableText"/>
              <w:spacing w:before="61" w:line="220" w:lineRule="auto"/>
              <w:ind w:left="299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频次</w:t>
            </w:r>
          </w:p>
        </w:tc>
      </w:tr>
      <w:tr>
        <w:tblPrEx>
          <w:tblW w:w="9613" w:type="dxa"/>
          <w:tblInd w:w="2" w:type="dxa"/>
          <w:tblLayout w:type="fixed"/>
        </w:tblPrEx>
        <w:trPr>
          <w:trHeight w:val="523"/>
        </w:trPr>
        <w:tc>
          <w:tcPr>
            <w:tcW w:w="3567" w:type="dxa"/>
          </w:tcPr>
          <w:p>
            <w:pPr>
              <w:spacing w:before="139" w:line="219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SLA</w:t>
            </w:r>
            <w:r>
              <w:rPr>
                <w:rFonts w:ascii="FangSong" w:eastAsia="FangSong" w:hAnsi="FangSong" w:cs="FangSong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5034" w:type="dxa"/>
          </w:tcPr>
          <w:p>
            <w:pPr>
              <w:spacing w:before="139" w:line="219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达成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SLA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的数量/承诺</w:t>
            </w:r>
            <w:r>
              <w:rPr>
                <w:rFonts w:ascii="FangSong" w:eastAsia="FangSong" w:hAnsi="FangSong" w:cs="FangSong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SLA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总数×100%</w:t>
            </w:r>
          </w:p>
        </w:tc>
        <w:tc>
          <w:tcPr>
            <w:tcW w:w="1012" w:type="dxa"/>
          </w:tcPr>
          <w:p>
            <w:pPr>
              <w:spacing w:before="139" w:line="218" w:lineRule="auto"/>
              <w:ind w:left="2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年度</w:t>
            </w:r>
          </w:p>
        </w:tc>
      </w:tr>
    </w:tbl>
    <w:p>
      <w:pPr>
        <w:pStyle w:val="BodyText"/>
      </w:pPr>
    </w:p>
    <w:sectPr>
      <w:headerReference w:type="default" r:id="rId16"/>
      <w:footerReference w:type="default" r:id="rId17"/>
      <w:pgSz w:w="11907" w:h="16839"/>
      <w:pgMar w:top="1916" w:right="600" w:bottom="2123" w:left="1687" w:header="805" w:footer="11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1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1" w:line="223" w:lineRule="auto"/>
      <w:ind w:left="257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1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1" w:line="223" w:lineRule="auto"/>
      <w:ind w:left="289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0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2" w:line="221" w:lineRule="auto"/>
      <w:ind w:left="256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1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1" w:line="223" w:lineRule="auto"/>
      <w:ind w:left="255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0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2" w:line="221" w:lineRule="auto"/>
      <w:ind w:left="256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0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2" w:line="221" w:lineRule="auto"/>
      <w:ind w:left="256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1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1" w:line="220" w:lineRule="auto"/>
      <w:ind w:left="256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350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9344025</wp:posOffset>
          </wp:positionV>
          <wp:extent cx="1603375" cy="560704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351" w:lineRule="auto"/>
    </w:pPr>
  </w:p>
  <w:p>
    <w:pPr>
      <w:spacing w:before="52" w:line="221" w:lineRule="auto"/>
      <w:ind w:left="264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49" style="height:0.75pt;margin-left:88.58pt;margin-top:92.66pt;mso-position-horizontal-relative:page;mso-position-vertical-relative:page;position:absolute;width:418.3pt;z-index:251662336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88.58pt;margin-top:92.66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577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1" style="height:0.75pt;margin-left:88.58pt;margin-top:92.66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1723347658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2" style="height:0.75pt;margin-left:88.58pt;margin-top:92.66pt;mso-position-horizontal-relative:page;mso-position-vertical-relative:page;position:absolute;width:418.3pt;z-index:251672576" coordorigin="0,0" coordsize="8365,15" o:allowincell="f" path="m,14l8365,14l8365,l,l,14xe" fillcolor="black"/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3" style="height:0.75pt;margin-left:88.58pt;margin-top:92.66pt;mso-position-horizontal-relative:page;mso-position-vertical-relative:page;position:absolute;width:418.3pt;z-index:251664384" coordorigin="0,0" coordsize="8365,15" o:allowincell="f" path="m,14l8365,14l8365,l,l,14xe" fillcolor="black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337118508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4" style="height:0.75pt;margin-left:88.58pt;margin-top:92.66pt;mso-position-horizontal-relative:page;mso-position-vertical-relative:page;position:absolute;width:418.3pt;z-index:251677696" coordorigin="0,0" coordsize="8365,15" o:allowincell="f" path="m,14l8365,14l8365,l,l,14xe" fillcolor="black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552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header" Target="header4.xml" /><Relationship Id="rId12" Type="http://schemas.openxmlformats.org/officeDocument/2006/relationships/footer" Target="footer5.xml" /><Relationship Id="rId13" Type="http://schemas.openxmlformats.org/officeDocument/2006/relationships/header" Target="header5.xml" /><Relationship Id="rId14" Type="http://schemas.openxmlformats.org/officeDocument/2006/relationships/footer" Target="footer6.xml" /><Relationship Id="rId15" Type="http://schemas.openxmlformats.org/officeDocument/2006/relationships/footer" Target="footer7.xml" /><Relationship Id="rId16" Type="http://schemas.openxmlformats.org/officeDocument/2006/relationships/header" Target="header6.xml" /><Relationship Id="rId17" Type="http://schemas.openxmlformats.org/officeDocument/2006/relationships/footer" Target="footer8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陈进钱</dc:creator>
  <cp:revision>0</cp:revision>
  <dcterms:created xsi:type="dcterms:W3CDTF">2023-07-25T23:34:54Z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2025-12-03T15:21:18Z</vt:filetime>
  </property>
  <property fmtid="{D5CDD505-2E9C-101B-9397-08002B2CF9AE}" pid="3" name="CRO">
    <vt:lpwstr>wqlLaW5nc29mdCBQREYgdG8gV1BTIDExNQ</vt:lpwstr>
  </property>
</Properties>
</file>