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spacing w:before="234" w:line="217" w:lineRule="auto"/>
        <w:ind w:left="97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运维服务能力管理制度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328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（YNTD-ITSS-0601）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101" w:line="223" w:lineRule="auto"/>
        <w:ind w:left="200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517" w:bottom="1756" w:left="1418" w:header="803" w:footer="945" w:gutter="0"/>
          <w:cols w:space="720"/>
        </w:sectPr>
      </w:pPr>
    </w:p>
    <w:p>
      <w:pPr>
        <w:spacing w:before="296" w:line="220" w:lineRule="auto"/>
        <w:ind w:left="2893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文件编制和变更历史记录</w:t>
      </w:r>
    </w:p>
    <w:p>
      <w:pPr>
        <w:spacing w:before="19"/>
      </w:pPr>
    </w:p>
    <w:tbl>
      <w:tblPr>
        <w:tblStyle w:val="TableNormal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9" w:lineRule="auto"/>
              <w:ind w:left="53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80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29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29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>
            <w:pPr>
              <w:pStyle w:val="TableText"/>
              <w:spacing w:before="229" w:line="237" w:lineRule="auto"/>
              <w:ind w:left="157"/>
            </w:pPr>
            <w:r>
              <w:rPr>
                <w:spacing w:val="-1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29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>
            <w:pPr>
              <w:pStyle w:val="TableText"/>
              <w:spacing w:before="229" w:line="237" w:lineRule="auto"/>
              <w:ind w:left="161"/>
            </w:pPr>
            <w:r>
              <w:rPr>
                <w:spacing w:val="-1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29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29" w:line="237" w:lineRule="auto"/>
              <w:ind w:left="220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29" w:line="217" w:lineRule="auto"/>
              <w:ind w:left="288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599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7" w:line="237" w:lineRule="auto"/>
              <w:ind w:left="195"/>
            </w:pPr>
            <w:r>
              <w:rPr>
                <w:spacing w:val="-1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207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>
            <w:pPr>
              <w:pStyle w:val="TableText"/>
              <w:spacing w:before="207" w:line="237" w:lineRule="auto"/>
              <w:ind w:left="210"/>
            </w:pPr>
            <w:r>
              <w:rPr>
                <w:spacing w:val="-1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207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>
            <w:pPr>
              <w:pStyle w:val="TableText"/>
              <w:spacing w:before="207" w:line="237" w:lineRule="auto"/>
              <w:ind w:left="267"/>
            </w:pPr>
            <w:r>
              <w:rPr>
                <w:spacing w:val="-1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207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7" w:line="237" w:lineRule="auto"/>
              <w:ind w:left="220"/>
            </w:pPr>
            <w:r>
              <w:rPr>
                <w:spacing w:val="-1"/>
              </w:rPr>
              <w:t>2020.1.8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7" w:line="219" w:lineRule="auto"/>
              <w:ind w:left="384"/>
            </w:pPr>
            <w:r>
              <w:rPr>
                <w:spacing w:val="-7"/>
              </w:rPr>
              <w:t>修</w:t>
            </w:r>
            <w:r>
              <w:rPr>
                <w:spacing w:val="13"/>
              </w:rPr>
              <w:t xml:space="preserve">  </w:t>
            </w:r>
            <w:r>
              <w:rPr>
                <w:spacing w:val="-7"/>
              </w:rPr>
              <w:t>改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16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195"/>
            </w:pPr>
            <w:r>
              <w:rPr>
                <w:spacing w:val="-1"/>
              </w:rPr>
              <w:t>V1.2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3" w:line="218" w:lineRule="auto"/>
              <w:ind w:left="122"/>
            </w:pPr>
            <w:r>
              <w:rPr>
                <w:spacing w:val="-8"/>
              </w:rPr>
              <w:t>杨</w:t>
            </w:r>
            <w:r>
              <w:rPr>
                <w:spacing w:val="9"/>
              </w:rPr>
              <w:t xml:space="preserve">  </w:t>
            </w:r>
            <w:r>
              <w:rPr>
                <w:spacing w:val="-8"/>
              </w:rPr>
              <w:t>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210"/>
            </w:pPr>
            <w:r>
              <w:rPr>
                <w:spacing w:val="-1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18" w:lineRule="auto"/>
              <w:ind w:left="164"/>
            </w:pPr>
            <w:r>
              <w:rPr>
                <w:spacing w:val="-8"/>
              </w:rPr>
              <w:t>吴</w:t>
            </w:r>
            <w:r>
              <w:rPr>
                <w:spacing w:val="7"/>
              </w:rPr>
              <w:t xml:space="preserve">  </w:t>
            </w:r>
            <w:r>
              <w:rPr>
                <w:spacing w:val="-8"/>
              </w:rPr>
              <w:t>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267"/>
            </w:pPr>
            <w:r>
              <w:rPr>
                <w:spacing w:val="-1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220"/>
            </w:pPr>
            <w:r>
              <w:rPr>
                <w:spacing w:val="-1"/>
              </w:rPr>
              <w:t>2023.1.6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212" w:line="219" w:lineRule="auto"/>
              <w:ind w:left="384"/>
            </w:pPr>
            <w:r>
              <w:rPr>
                <w:spacing w:val="-7"/>
              </w:rPr>
              <w:t>修</w:t>
            </w:r>
            <w:r>
              <w:rPr>
                <w:spacing w:val="13"/>
              </w:rPr>
              <w:t xml:space="preserve">  </w:t>
            </w:r>
            <w:r>
              <w:rPr>
                <w:spacing w:val="-7"/>
              </w:rPr>
              <w:t>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5" w:bottom="1756" w:left="1418" w:header="803" w:footer="945" w:gutter="0"/>
          <w:cols w:space="720"/>
        </w:sectPr>
      </w:pPr>
    </w:p>
    <w:sdt>
      <w:sdtPr>
        <w:rPr>
          <w:rFonts w:ascii="SimSun" w:eastAsia="SimSun" w:hAnsi="SimSun" w:cs="SimSun"/>
          <w:sz w:val="43"/>
          <w:szCs w:val="43"/>
        </w:rPr>
        <w:id w:val="624355000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31"/>
          <w:szCs w:val="31"/>
        </w:rPr>
      </w:sdtEndPr>
      <w:sdtContent>
        <w:p>
          <w:pPr>
            <w:spacing w:before="227" w:line="226" w:lineRule="auto"/>
            <w:ind w:left="4175"/>
            <w:rPr>
              <w:rFonts w:ascii="SimSun" w:eastAsia="SimSun" w:hAnsi="SimSun" w:cs="SimSun"/>
              <w:sz w:val="43"/>
              <w:szCs w:val="43"/>
            </w:rPr>
          </w:pPr>
          <w:r>
            <w:rPr>
              <w:rFonts w:ascii="SimSun" w:eastAsia="SimSun" w:hAnsi="SimSun" w:cs="SimSun"/>
              <w:b/>
              <w:bCs/>
              <w:spacing w:val="-25"/>
              <w:sz w:val="43"/>
              <w:szCs w:val="43"/>
            </w:rPr>
            <w:t>目录</w:t>
          </w:r>
        </w:p>
        <w:p>
          <w:pPr>
            <w:tabs>
              <w:tab w:val="right" w:leader="dot" w:pos="9060"/>
            </w:tabs>
            <w:spacing w:before="314" w:line="190" w:lineRule="auto"/>
            <w:ind w:left="35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33"/>
              <w:sz w:val="31"/>
              <w:szCs w:val="31"/>
            </w:rPr>
            <w:t>1</w:t>
          </w:r>
          <w:r>
            <w:rPr>
              <w:rFonts w:ascii="FangSong" w:eastAsia="FangSong" w:hAnsi="FangSong" w:cs="FangSong"/>
              <w:spacing w:val="4"/>
              <w:sz w:val="31"/>
              <w:szCs w:val="31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33"/>
              <w:sz w:val="31"/>
              <w:szCs w:val="31"/>
            </w:rPr>
            <w:t>目的</w:t>
          </w:r>
          <w:r>
            <w:rPr>
              <w:rFonts w:ascii="FangSong" w:eastAsia="FangSong" w:hAnsi="FangSong" w:cs="FangSong"/>
              <w:spacing w:val="23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100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4"/>
              <w:sz w:val="31"/>
              <w:szCs w:val="31"/>
            </w:rPr>
            <w:t>2</w:t>
          </w:r>
          <w:r>
            <w:fldChar w:fldCharType="end"/>
          </w:r>
        </w:p>
        <w:p>
          <w:pPr>
            <w:pStyle w:val="BodyText"/>
            <w:spacing w:line="322" w:lineRule="auto"/>
          </w:pPr>
        </w:p>
        <w:p>
          <w:pPr>
            <w:tabs>
              <w:tab w:val="right" w:leader="dot" w:pos="9060"/>
            </w:tabs>
            <w:spacing w:before="100" w:line="190" w:lineRule="auto"/>
            <w:ind w:left="15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"/>
              <w:sz w:val="31"/>
              <w:szCs w:val="31"/>
            </w:rPr>
            <w:t>2</w:t>
          </w:r>
          <w:r>
            <w:rPr>
              <w:rFonts w:ascii="FangSong" w:eastAsia="FangSong" w:hAnsi="FangSong" w:cs="FangSong"/>
              <w:spacing w:val="55"/>
              <w:sz w:val="31"/>
              <w:szCs w:val="31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1"/>
              <w:sz w:val="31"/>
              <w:szCs w:val="31"/>
            </w:rPr>
            <w:t>适用范围</w:t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100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4"/>
              <w:sz w:val="31"/>
              <w:szCs w:val="31"/>
            </w:rPr>
            <w:t>2</w:t>
          </w:r>
          <w:r>
            <w:fldChar w:fldCharType="end"/>
          </w:r>
        </w:p>
        <w:p>
          <w:pPr>
            <w:pStyle w:val="BodyText"/>
            <w:spacing w:line="322" w:lineRule="auto"/>
          </w:pPr>
        </w:p>
        <w:p>
          <w:pPr>
            <w:tabs>
              <w:tab w:val="right" w:leader="dot" w:pos="9060"/>
            </w:tabs>
            <w:spacing w:before="100" w:line="190" w:lineRule="auto"/>
            <w:ind w:left="18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9"/>
              <w:sz w:val="31"/>
              <w:szCs w:val="31"/>
            </w:rPr>
            <w:t>3</w:t>
          </w:r>
          <w:r>
            <w:rPr>
              <w:rFonts w:ascii="FangSong" w:eastAsia="FangSong" w:hAnsi="FangSong" w:cs="FangSong"/>
              <w:spacing w:val="56"/>
              <w:sz w:val="31"/>
              <w:szCs w:val="31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9"/>
              <w:sz w:val="31"/>
              <w:szCs w:val="31"/>
            </w:rPr>
            <w:t>术语</w:t>
          </w:r>
          <w:r>
            <w:rPr>
              <w:rFonts w:ascii="FangSong" w:eastAsia="FangSong" w:hAnsi="FangSong" w:cs="FangSong"/>
              <w:spacing w:val="23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100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4"/>
              <w:sz w:val="31"/>
              <w:szCs w:val="31"/>
            </w:rPr>
            <w:t>2</w:t>
          </w:r>
          <w:r>
            <w:fldChar w:fldCharType="end"/>
          </w:r>
        </w:p>
        <w:p>
          <w:pPr>
            <w:pStyle w:val="BodyText"/>
            <w:spacing w:line="322" w:lineRule="auto"/>
          </w:pPr>
        </w:p>
        <w:p>
          <w:pPr>
            <w:tabs>
              <w:tab w:val="right" w:leader="dot" w:pos="9060"/>
            </w:tabs>
            <w:spacing w:before="102" w:line="190" w:lineRule="auto"/>
            <w:ind w:left="10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>4</w:t>
          </w:r>
          <w:r>
            <w:rPr>
              <w:rFonts w:ascii="FangSong" w:eastAsia="FangSong" w:hAnsi="FangSong" w:cs="FangSong"/>
              <w:spacing w:val="59"/>
              <w:sz w:val="31"/>
              <w:szCs w:val="31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>角色和职责</w:t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100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4"/>
              <w:sz w:val="31"/>
              <w:szCs w:val="31"/>
            </w:rPr>
            <w:t>2</w:t>
          </w:r>
          <w:r>
            <w:fldChar w:fldCharType="end"/>
          </w:r>
        </w:p>
        <w:p>
          <w:pPr>
            <w:pStyle w:val="BodyText"/>
            <w:spacing w:line="352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4.1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通信部/信息部</w:t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2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4.2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运维小组</w:t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2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4.3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总经理工作部</w:t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3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4.4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综合管理部质量管理组</w:t>
          </w:r>
          <w:r>
            <w:rPr>
              <w:rFonts w:ascii="FangSong" w:eastAsia="FangSong" w:hAnsi="FangSong" w:cs="FangSong"/>
              <w:spacing w:val="-6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3</w:t>
          </w:r>
          <w:r>
            <w:fldChar w:fldCharType="end"/>
          </w:r>
        </w:p>
        <w:p>
          <w:pPr>
            <w:pStyle w:val="BodyText"/>
            <w:spacing w:line="339" w:lineRule="auto"/>
          </w:pPr>
        </w:p>
        <w:p>
          <w:pPr>
            <w:tabs>
              <w:tab w:val="right" w:leader="dot" w:pos="9060"/>
            </w:tabs>
            <w:spacing w:before="102" w:line="190" w:lineRule="auto"/>
            <w:ind w:left="18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4"/>
              <w:sz w:val="31"/>
              <w:szCs w:val="31"/>
            </w:rPr>
            <w:t>5</w:t>
          </w:r>
          <w:r>
            <w:rPr>
              <w:rFonts w:ascii="FangSong" w:eastAsia="FangSong" w:hAnsi="FangSong" w:cs="FangSong"/>
              <w:spacing w:val="55"/>
              <w:sz w:val="31"/>
              <w:szCs w:val="31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4"/>
              <w:sz w:val="31"/>
              <w:szCs w:val="31"/>
            </w:rPr>
            <w:t>流程图</w:t>
          </w:r>
          <w:r>
            <w:rPr>
              <w:rFonts w:ascii="FangSong" w:eastAsia="FangSong" w:hAnsi="FangSong" w:cs="FangSong"/>
              <w:spacing w:val="27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105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31"/>
              <w:szCs w:val="31"/>
            </w:rPr>
            <w:t>4</w:t>
          </w:r>
          <w:r>
            <w:fldChar w:fldCharType="end"/>
          </w:r>
        </w:p>
        <w:p>
          <w:pPr>
            <w:pStyle w:val="BodyText"/>
            <w:spacing w:line="322" w:lineRule="auto"/>
          </w:pPr>
        </w:p>
        <w:p>
          <w:pPr>
            <w:tabs>
              <w:tab w:val="right" w:leader="dot" w:pos="9060"/>
            </w:tabs>
            <w:spacing w:before="101" w:line="190" w:lineRule="auto"/>
            <w:ind w:left="14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2"/>
              <w:sz w:val="31"/>
              <w:szCs w:val="31"/>
            </w:rPr>
            <w:t>6</w:t>
          </w:r>
          <w:r>
            <w:rPr>
              <w:rFonts w:ascii="FangSong" w:eastAsia="FangSong" w:hAnsi="FangSong" w:cs="FangSong"/>
              <w:spacing w:val="58"/>
              <w:sz w:val="31"/>
              <w:szCs w:val="31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2"/>
              <w:sz w:val="31"/>
              <w:szCs w:val="31"/>
            </w:rPr>
            <w:t>具体内容</w:t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97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7"/>
              <w:sz w:val="31"/>
              <w:szCs w:val="31"/>
            </w:rPr>
            <w:t>5</w:t>
          </w:r>
          <w:r>
            <w:fldChar w:fldCharType="end"/>
          </w:r>
        </w:p>
        <w:p>
          <w:pPr>
            <w:pStyle w:val="BodyText"/>
            <w:spacing w:line="352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6.1</w:t>
          </w:r>
          <w:r>
            <w:rPr>
              <w:rFonts w:ascii="FangSong" w:eastAsia="FangSong" w:hAnsi="FangSong" w:cs="FangSong"/>
              <w:spacing w:val="13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制定年度服务能力管理计划</w:t>
          </w:r>
          <w:r>
            <w:rPr>
              <w:rFonts w:ascii="FangSong" w:eastAsia="FangSong" w:hAnsi="FangSong" w:cs="FangSong"/>
              <w:spacing w:val="-5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6.2</w:t>
          </w:r>
          <w:r>
            <w:rPr>
              <w:rFonts w:ascii="FangSong" w:eastAsia="FangSong" w:hAnsi="FangSong" w:cs="FangSong"/>
              <w:spacing w:val="14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制定运维服务管理目标度量计划</w:t>
          </w:r>
          <w:r>
            <w:rPr>
              <w:rFonts w:ascii="FangSong" w:eastAsia="FangSong" w:hAnsi="FangSong" w:cs="FangSong"/>
              <w:spacing w:val="-4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6.3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制定部门工作详细计划</w:t>
          </w:r>
          <w:r>
            <w:rPr>
              <w:rFonts w:ascii="FangSong" w:eastAsia="FangSong" w:hAnsi="FangSong" w:cs="FangSong"/>
              <w:spacing w:val="-5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6.4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实施能力计划</w:t>
          </w:r>
          <w:r>
            <w:rPr>
              <w:rFonts w:ascii="FangSong" w:eastAsia="FangSong" w:hAnsi="FangSong" w:cs="FangSong"/>
              <w:spacing w:val="-7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6.5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跟踪检查</w:t>
          </w:r>
          <w:r>
            <w:rPr>
              <w:rFonts w:ascii="FangSong" w:eastAsia="FangSong" w:hAnsi="FangSong" w:cs="FangSong"/>
              <w:spacing w:val="-7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6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6.6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评估及改进</w:t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6</w:t>
          </w:r>
          <w:r>
            <w:fldChar w:fldCharType="end"/>
          </w:r>
        </w:p>
        <w:p>
          <w:pPr>
            <w:pStyle w:val="BodyText"/>
            <w:spacing w:line="339" w:lineRule="auto"/>
          </w:pPr>
        </w:p>
        <w:p>
          <w:pPr>
            <w:tabs>
              <w:tab w:val="right" w:leader="dot" w:pos="9060"/>
            </w:tabs>
            <w:spacing w:before="101" w:line="223" w:lineRule="auto"/>
            <w:ind w:left="19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3"/>
              <w:sz w:val="31"/>
              <w:szCs w:val="31"/>
            </w:rPr>
            <w:t>7</w:t>
          </w:r>
          <w:r>
            <w:rPr>
              <w:rFonts w:ascii="FangSong" w:eastAsia="FangSong" w:hAnsi="FangSong" w:cs="FangSong"/>
              <w:spacing w:val="58"/>
              <w:sz w:val="31"/>
              <w:szCs w:val="31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3"/>
              <w:sz w:val="31"/>
              <w:szCs w:val="31"/>
            </w:rPr>
            <w:t>相关记录</w:t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101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3"/>
              <w:sz w:val="31"/>
              <w:szCs w:val="31"/>
            </w:rPr>
            <w:t>6</w:t>
          </w:r>
          <w:r>
            <w:fldChar w:fldCharType="end"/>
          </w:r>
        </w:p>
      </w:sdtContent>
    </w:sdt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8"/>
          <w:footerReference w:type="default" r:id="rId9"/>
          <w:pgSz w:w="11907" w:h="16839"/>
          <w:pgMar w:top="1855" w:right="1424" w:bottom="1964" w:left="1418" w:header="803" w:footer="1156" w:gutter="0"/>
          <w:cols w:space="720"/>
        </w:sectPr>
      </w:pPr>
    </w:p>
    <w:p>
      <w:pPr>
        <w:pStyle w:val="BodyText"/>
        <w:spacing w:line="277" w:lineRule="auto"/>
      </w:pPr>
    </w:p>
    <w:p>
      <w:pPr>
        <w:pStyle w:val="BodyText"/>
        <w:spacing w:line="277" w:lineRule="auto"/>
      </w:pPr>
    </w:p>
    <w:p>
      <w:pPr>
        <w:spacing w:before="139"/>
        <w:ind w:left="29"/>
        <w:outlineLvl w:val="0"/>
        <w:rPr>
          <w:rFonts w:ascii="SimSun" w:eastAsia="SimSun" w:hAnsi="SimSun" w:cs="SimSun"/>
          <w:sz w:val="43"/>
          <w:szCs w:val="43"/>
        </w:rPr>
      </w:pPr>
      <w:bookmarkStart w:id="0" w:name="bookmark1"/>
      <w:bookmarkEnd w:id="0"/>
      <w:r>
        <w:rPr>
          <w:rFonts w:ascii="Times New Roman" w:eastAsia="Times New Roman" w:hAnsi="Times New Roman" w:cs="Times New Roman"/>
          <w:b/>
          <w:bCs/>
          <w:spacing w:val="-25"/>
          <w:sz w:val="43"/>
          <w:szCs w:val="43"/>
        </w:rPr>
        <w:t>1</w:t>
      </w:r>
      <w:r>
        <w:rPr>
          <w:rFonts w:ascii="Times New Roman" w:eastAsia="Times New Roman" w:hAnsi="Times New Roman" w:cs="Times New Roman"/>
          <w:b/>
          <w:bCs/>
          <w:spacing w:val="43"/>
          <w:sz w:val="43"/>
          <w:szCs w:val="43"/>
        </w:rPr>
        <w:t xml:space="preserve">  </w:t>
      </w:r>
      <w:r>
        <w:rPr>
          <w:rFonts w:ascii="SimSun" w:eastAsia="SimSun" w:hAnsi="SimSun" w:cs="SimSun"/>
          <w:b/>
          <w:bCs/>
          <w:spacing w:val="-25"/>
          <w:sz w:val="43"/>
          <w:szCs w:val="43"/>
        </w:rPr>
        <w:t>目的</w:t>
      </w:r>
    </w:p>
    <w:p>
      <w:pPr>
        <w:spacing w:before="301" w:line="412" w:lineRule="auto"/>
        <w:ind w:left="22" w:firstLine="48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通过运维服务能力规划活动，满足运维服务业务对人员</w:t>
      </w:r>
      <w:r>
        <w:rPr>
          <w:rFonts w:ascii="FangSong" w:eastAsia="FangSong" w:hAnsi="FangSong" w:cs="FangSong"/>
          <w:spacing w:val="-3"/>
          <w:sz w:val="28"/>
          <w:szCs w:val="28"/>
        </w:rPr>
        <w:t>、技术、资源、</w:t>
      </w:r>
      <w:r>
        <w:rPr>
          <w:rFonts w:ascii="FangSong" w:eastAsia="FangSong" w:hAnsi="FangSong" w:cs="FangSong"/>
          <w:spacing w:val="-1"/>
          <w:sz w:val="28"/>
          <w:szCs w:val="28"/>
        </w:rPr>
        <w:t>过程等要求，为运维服务活动有效实施提供目标和方向，进而保证公司服</w:t>
      </w:r>
      <w:r>
        <w:rPr>
          <w:rFonts w:ascii="FangSong" w:eastAsia="FangSong" w:hAnsi="FangSong" w:cs="FangSong"/>
          <w:spacing w:val="-5"/>
          <w:sz w:val="28"/>
          <w:szCs w:val="28"/>
        </w:rPr>
        <w:t>务能力管理得到持续提升。</w:t>
      </w:r>
    </w:p>
    <w:p>
      <w:pPr>
        <w:spacing w:before="72" w:line="238" w:lineRule="auto"/>
        <w:ind w:left="11"/>
        <w:outlineLvl w:val="0"/>
        <w:rPr>
          <w:rFonts w:ascii="SimSun" w:eastAsia="SimSun" w:hAnsi="SimSun" w:cs="SimSun"/>
          <w:sz w:val="43"/>
          <w:szCs w:val="43"/>
        </w:rPr>
      </w:pPr>
      <w:bookmarkStart w:id="1" w:name="bookmark2"/>
      <w:bookmarkEnd w:id="1"/>
      <w:r>
        <w:rPr>
          <w:rFonts w:ascii="Times New Roman" w:eastAsia="Times New Roman" w:hAnsi="Times New Roman" w:cs="Times New Roman"/>
          <w:b/>
          <w:bCs/>
          <w:sz w:val="43"/>
          <w:szCs w:val="43"/>
        </w:rPr>
        <w:t xml:space="preserve">2  </w:t>
      </w:r>
      <w:r>
        <w:rPr>
          <w:rFonts w:ascii="SimSun" w:eastAsia="SimSun" w:hAnsi="SimSun" w:cs="SimSun"/>
          <w:b/>
          <w:bCs/>
          <w:sz w:val="43"/>
          <w:szCs w:val="43"/>
        </w:rPr>
        <w:t>适用范围</w:t>
      </w:r>
    </w:p>
    <w:p>
      <w:pPr>
        <w:spacing w:before="306" w:line="217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本制度适用于公司运行维护管理体系的能力管理活动。</w:t>
      </w:r>
    </w:p>
    <w:p>
      <w:pPr>
        <w:spacing w:before="369" w:line="238" w:lineRule="auto"/>
        <w:ind w:left="7"/>
        <w:outlineLvl w:val="0"/>
        <w:rPr>
          <w:rFonts w:ascii="SimSun" w:eastAsia="SimSun" w:hAnsi="SimSun" w:cs="SimSun"/>
          <w:sz w:val="43"/>
          <w:szCs w:val="43"/>
        </w:rPr>
      </w:pPr>
      <w:bookmarkStart w:id="2" w:name="bookmark3"/>
      <w:bookmarkEnd w:id="2"/>
      <w:r>
        <w:rPr>
          <w:rFonts w:ascii="Times New Roman" w:eastAsia="Times New Roman" w:hAnsi="Times New Roman" w:cs="Times New Roman"/>
          <w:b/>
          <w:bCs/>
          <w:spacing w:val="-2"/>
          <w:sz w:val="43"/>
          <w:szCs w:val="43"/>
        </w:rPr>
        <w:t xml:space="preserve">3  </w:t>
      </w:r>
      <w:r>
        <w:rPr>
          <w:rFonts w:ascii="SimSun" w:eastAsia="SimSun" w:hAnsi="SimSun" w:cs="SimSun"/>
          <w:b/>
          <w:bCs/>
          <w:spacing w:val="-2"/>
          <w:sz w:val="43"/>
          <w:szCs w:val="43"/>
        </w:rPr>
        <w:t>术语</w:t>
      </w:r>
    </w:p>
    <w:p>
      <w:pPr>
        <w:spacing w:before="308" w:line="221" w:lineRule="auto"/>
        <w:ind w:left="44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5"/>
          <w:sz w:val="28"/>
          <w:szCs w:val="28"/>
        </w:rPr>
        <w:t>无。</w:t>
      </w:r>
    </w:p>
    <w:p>
      <w:pPr>
        <w:spacing w:before="363" w:line="237" w:lineRule="auto"/>
        <w:ind w:left="11"/>
        <w:outlineLvl w:val="0"/>
        <w:rPr>
          <w:rFonts w:ascii="SimSun" w:eastAsia="SimSun" w:hAnsi="SimSun" w:cs="SimSun"/>
          <w:sz w:val="43"/>
          <w:szCs w:val="43"/>
        </w:rPr>
      </w:pPr>
      <w:bookmarkStart w:id="3" w:name="bookmark4"/>
      <w:bookmarkEnd w:id="3"/>
      <w:bookmarkStart w:id="4" w:name="bookmark5"/>
      <w:bookmarkEnd w:id="4"/>
      <w:bookmarkStart w:id="5" w:name="bookmark6"/>
      <w:bookmarkEnd w:id="5"/>
      <w:r>
        <w:rPr>
          <w:rFonts w:ascii="Times New Roman" w:eastAsia="Times New Roman" w:hAnsi="Times New Roman" w:cs="Times New Roman"/>
          <w:b/>
          <w:bCs/>
          <w:spacing w:val="1"/>
          <w:sz w:val="43"/>
          <w:szCs w:val="43"/>
        </w:rPr>
        <w:t xml:space="preserve">4  </w:t>
      </w:r>
      <w:r>
        <w:rPr>
          <w:rFonts w:ascii="SimSun" w:eastAsia="SimSun" w:hAnsi="SimSun" w:cs="SimSun"/>
          <w:b/>
          <w:bCs/>
          <w:spacing w:val="1"/>
          <w:sz w:val="43"/>
          <w:szCs w:val="43"/>
        </w:rPr>
        <w:t>角色和职责</w:t>
      </w:r>
    </w:p>
    <w:p>
      <w:pPr>
        <w:spacing w:before="309" w:line="218" w:lineRule="auto"/>
        <w:ind w:left="9"/>
        <w:outlineLvl w:val="1"/>
        <w:rPr>
          <w:rFonts w:ascii="FangSong" w:eastAsia="FangSong" w:hAnsi="FangSong" w:cs="FangSong"/>
          <w:sz w:val="28"/>
          <w:szCs w:val="28"/>
        </w:rPr>
      </w:pPr>
      <w:bookmarkStart w:id="6" w:name="bookmark18"/>
      <w:bookmarkEnd w:id="6"/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4.1</w:t>
      </w:r>
      <w:r>
        <w:rPr>
          <w:rFonts w:ascii="FangSong" w:eastAsia="FangSong" w:hAnsi="FangSong" w:cs="FangSong"/>
          <w:spacing w:val="9"/>
          <w:sz w:val="28"/>
          <w:szCs w:val="28"/>
        </w:rPr>
        <w:t xml:space="preserve">  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通信部/信息部</w:t>
      </w:r>
    </w:p>
    <w:p>
      <w:pPr>
        <w:pStyle w:val="BodyText"/>
        <w:spacing w:line="356" w:lineRule="auto"/>
      </w:pPr>
    </w:p>
    <w:p>
      <w:pPr>
        <w:spacing w:before="91" w:line="218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7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协调运维服务能力计划活动过程中需要的资源。</w:t>
      </w:r>
    </w:p>
    <w:p>
      <w:pPr>
        <w:pStyle w:val="BodyText"/>
        <w:spacing w:line="356" w:lineRule="auto"/>
      </w:pPr>
    </w:p>
    <w:p>
      <w:pPr>
        <w:spacing w:before="92" w:line="217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8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对年度运维服务能力计划进行审批。</w:t>
      </w:r>
    </w:p>
    <w:p>
      <w:pPr>
        <w:pStyle w:val="BodyText"/>
        <w:spacing w:line="357" w:lineRule="auto"/>
      </w:pPr>
    </w:p>
    <w:p>
      <w:pPr>
        <w:spacing w:before="92" w:line="218" w:lineRule="auto"/>
        <w:ind w:left="9"/>
        <w:outlineLvl w:val="1"/>
        <w:rPr>
          <w:rFonts w:ascii="FangSong" w:eastAsia="FangSong" w:hAnsi="FangSong" w:cs="FangSong"/>
          <w:sz w:val="28"/>
          <w:szCs w:val="28"/>
        </w:rPr>
      </w:pPr>
      <w:bookmarkStart w:id="7" w:name="bookmark19"/>
      <w:bookmarkEnd w:id="7"/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4.2</w:t>
      </w:r>
      <w:r>
        <w:rPr>
          <w:rFonts w:ascii="FangSong" w:eastAsia="FangSong" w:hAnsi="FangSong" w:cs="FangSong"/>
          <w:spacing w:val="5"/>
          <w:sz w:val="28"/>
          <w:szCs w:val="28"/>
        </w:rPr>
        <w:t xml:space="preserve">  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运维小组</w:t>
      </w:r>
    </w:p>
    <w:p>
      <w:pPr>
        <w:pStyle w:val="BodyText"/>
        <w:spacing w:line="355" w:lineRule="auto"/>
      </w:pPr>
    </w:p>
    <w:p>
      <w:pPr>
        <w:spacing w:before="91" w:line="315" w:lineRule="auto"/>
        <w:ind w:left="443" w:right="85" w:hanging="4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8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负责组织总经理工作部、综合管理部质量管理组等部门进行年度</w:t>
      </w:r>
      <w:r>
        <w:rPr>
          <w:rFonts w:ascii="FangSong" w:eastAsia="FangSong" w:hAnsi="FangSong" w:cs="FangSong"/>
          <w:spacing w:val="-4"/>
          <w:sz w:val="28"/>
          <w:szCs w:val="28"/>
        </w:rPr>
        <w:t>服务能</w:t>
      </w:r>
      <w:r>
        <w:rPr>
          <w:rFonts w:ascii="FangSong" w:eastAsia="FangSong" w:hAnsi="FangSong" w:cs="FangSong"/>
          <w:spacing w:val="-7"/>
          <w:sz w:val="28"/>
          <w:szCs w:val="28"/>
        </w:rPr>
        <w:t>力计划编制。</w:t>
      </w:r>
    </w:p>
    <w:p>
      <w:pPr>
        <w:pStyle w:val="BodyText"/>
        <w:spacing w:line="357" w:lineRule="auto"/>
      </w:pPr>
    </w:p>
    <w:p>
      <w:pPr>
        <w:spacing w:before="91" w:line="216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8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负责年度服务能力计划中相关工作的执行。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2"/>
          <w:footerReference w:type="default" r:id="rId13"/>
          <w:pgSz w:w="11907" w:h="16839"/>
          <w:pgMar w:top="1855" w:right="1370" w:bottom="1964" w:left="1418" w:header="803" w:footer="1156" w:gutter="0"/>
          <w:cols w:space="720"/>
        </w:sectPr>
      </w:pPr>
    </w:p>
    <w:p>
      <w:pPr>
        <w:spacing w:before="153" w:line="216" w:lineRule="auto"/>
        <w:ind w:left="9"/>
        <w:outlineLvl w:val="1"/>
        <w:rPr>
          <w:rFonts w:ascii="FangSong" w:eastAsia="FangSong" w:hAnsi="FangSong" w:cs="FangSong"/>
          <w:sz w:val="28"/>
          <w:szCs w:val="28"/>
        </w:rPr>
      </w:pPr>
      <w:bookmarkStart w:id="8" w:name="bookmark7"/>
      <w:bookmarkEnd w:id="8"/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4.3</w:t>
      </w:r>
      <w:r>
        <w:rPr>
          <w:rFonts w:ascii="FangSong" w:eastAsia="FangSong" w:hAnsi="FangSong" w:cs="FangSong"/>
          <w:spacing w:val="11"/>
          <w:sz w:val="28"/>
          <w:szCs w:val="28"/>
        </w:rPr>
        <w:t xml:space="preserve">  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总经理工作部</w:t>
      </w:r>
    </w:p>
    <w:p>
      <w:pPr>
        <w:pStyle w:val="BodyText"/>
        <w:spacing w:line="358" w:lineRule="auto"/>
      </w:pPr>
    </w:p>
    <w:p>
      <w:pPr>
        <w:spacing w:before="91" w:line="218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负责年度服务能力计划人员内容编制。</w:t>
      </w:r>
    </w:p>
    <w:p>
      <w:pPr>
        <w:pStyle w:val="BodyText"/>
        <w:spacing w:line="357" w:lineRule="auto"/>
      </w:pPr>
    </w:p>
    <w:p>
      <w:pPr>
        <w:spacing w:before="91" w:line="216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8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负责年度服务能力计划中相关工作的执行。</w:t>
      </w:r>
    </w:p>
    <w:p>
      <w:pPr>
        <w:pStyle w:val="BodyText"/>
        <w:spacing w:line="357" w:lineRule="auto"/>
      </w:pPr>
    </w:p>
    <w:p>
      <w:pPr>
        <w:spacing w:before="91" w:line="219" w:lineRule="auto"/>
        <w:ind w:left="9"/>
        <w:outlineLvl w:val="1"/>
        <w:rPr>
          <w:rFonts w:ascii="FangSong" w:eastAsia="FangSong" w:hAnsi="FangSong" w:cs="FangSong"/>
          <w:sz w:val="28"/>
          <w:szCs w:val="28"/>
        </w:rPr>
      </w:pPr>
      <w:bookmarkStart w:id="9" w:name="bookmark8"/>
      <w:bookmarkEnd w:id="9"/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4.4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综合管理部质量管理组</w:t>
      </w:r>
    </w:p>
    <w:p>
      <w:pPr>
        <w:pStyle w:val="BodyText"/>
        <w:spacing w:line="356" w:lineRule="auto"/>
      </w:pPr>
    </w:p>
    <w:p>
      <w:pPr>
        <w:spacing w:before="91" w:line="216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负责年度服务能力计划工作的执行跟踪。</w:t>
      </w:r>
    </w:p>
    <w:p>
      <w:pPr>
        <w:pStyle w:val="BodyText"/>
        <w:spacing w:line="359" w:lineRule="auto"/>
      </w:pPr>
    </w:p>
    <w:p>
      <w:pPr>
        <w:spacing w:before="91" w:line="216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8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负责年度服务能力执行效果评估及提出改进建</w:t>
      </w:r>
      <w:r>
        <w:rPr>
          <w:rFonts w:ascii="FangSong" w:eastAsia="FangSong" w:hAnsi="FangSong" w:cs="FangSong"/>
          <w:spacing w:val="-3"/>
          <w:sz w:val="28"/>
          <w:szCs w:val="28"/>
        </w:rPr>
        <w:t>议。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4"/>
          <w:footerReference w:type="default" r:id="rId15"/>
          <w:pgSz w:w="11907" w:h="16839"/>
          <w:pgMar w:top="1855" w:right="1517" w:bottom="1964" w:left="1418" w:header="803" w:footer="1159" w:gutter="0"/>
          <w:cols w:space="720"/>
        </w:sectPr>
      </w:pPr>
    </w:p>
    <w:p>
      <w:pPr>
        <w:spacing w:before="72" w:line="238" w:lineRule="auto"/>
        <w:ind w:left="15"/>
        <w:outlineLvl w:val="0"/>
        <w:rPr>
          <w:rFonts w:ascii="SimSun" w:eastAsia="SimSun" w:hAnsi="SimSun" w:cs="SimSun"/>
          <w:sz w:val="43"/>
          <w:szCs w:val="43"/>
        </w:rPr>
      </w:pPr>
      <w:bookmarkStart w:id="10" w:name="bookmark9"/>
      <w:bookmarkEnd w:id="10"/>
      <w:r>
        <w:rPr>
          <w:rFonts w:ascii="Times New Roman" w:eastAsia="Times New Roman" w:hAnsi="Times New Roman" w:cs="Times New Roman"/>
          <w:b/>
          <w:bCs/>
          <w:spacing w:val="-2"/>
          <w:sz w:val="43"/>
          <w:szCs w:val="43"/>
        </w:rPr>
        <w:t xml:space="preserve">5  </w:t>
      </w:r>
      <w:r>
        <w:rPr>
          <w:rFonts w:ascii="SimSun" w:eastAsia="SimSun" w:hAnsi="SimSun" w:cs="SimSun"/>
          <w:b/>
          <w:bCs/>
          <w:spacing w:val="-2"/>
          <w:sz w:val="43"/>
          <w:szCs w:val="43"/>
        </w:rPr>
        <w:t>流程图</w:t>
      </w:r>
    </w:p>
    <w:p>
      <w:pPr>
        <w:pStyle w:val="BodyText"/>
        <w:spacing w:line="250" w:lineRule="auto"/>
      </w:pPr>
    </w:p>
    <w:p>
      <w:pPr>
        <w:spacing w:line="10060" w:lineRule="exact"/>
      </w:pPr>
      <w:r>
        <w:rPr>
          <w:position w:val="-201"/>
        </w:rPr>
        <w:drawing>
          <wp:inline distT="0" distB="0" distL="0" distR="0">
            <wp:extent cx="5756275" cy="6388099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6275" cy="638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060" w:lineRule="exact"/>
        <w:sectPr>
          <w:headerReference w:type="default" r:id="rId17"/>
          <w:footerReference w:type="default" r:id="rId18"/>
          <w:pgSz w:w="11907" w:h="16839"/>
          <w:pgMar w:top="1855" w:right="1423" w:bottom="1964" w:left="1418" w:header="803" w:footer="1156" w:gutter="0"/>
          <w:cols w:space="720"/>
        </w:sectPr>
      </w:pPr>
    </w:p>
    <w:p>
      <w:pPr>
        <w:spacing w:before="71" w:line="238" w:lineRule="auto"/>
        <w:ind w:left="17"/>
        <w:outlineLvl w:val="0"/>
        <w:rPr>
          <w:rFonts w:ascii="SimSun" w:eastAsia="SimSun" w:hAnsi="SimSun" w:cs="SimSun"/>
          <w:sz w:val="43"/>
          <w:szCs w:val="43"/>
        </w:rPr>
      </w:pPr>
      <w:bookmarkStart w:id="11" w:name="bookmark10"/>
      <w:bookmarkEnd w:id="11"/>
      <w:bookmarkStart w:id="12" w:name="bookmark11"/>
      <w:bookmarkEnd w:id="12"/>
      <w:r>
        <w:rPr>
          <w:rFonts w:ascii="Times New Roman" w:eastAsia="Times New Roman" w:hAnsi="Times New Roman" w:cs="Times New Roman"/>
          <w:b/>
          <w:bCs/>
          <w:spacing w:val="-1"/>
          <w:sz w:val="43"/>
          <w:szCs w:val="43"/>
        </w:rPr>
        <w:t xml:space="preserve">6  </w:t>
      </w:r>
      <w:r>
        <w:rPr>
          <w:rFonts w:ascii="SimSun" w:eastAsia="SimSun" w:hAnsi="SimSun" w:cs="SimSun"/>
          <w:b/>
          <w:bCs/>
          <w:spacing w:val="-1"/>
          <w:sz w:val="43"/>
          <w:szCs w:val="43"/>
        </w:rPr>
        <w:t>具体内容</w:t>
      </w:r>
    </w:p>
    <w:p>
      <w:pPr>
        <w:spacing w:before="307" w:line="218" w:lineRule="auto"/>
        <w:ind w:left="12"/>
        <w:outlineLvl w:val="1"/>
        <w:rPr>
          <w:rFonts w:ascii="FangSong" w:eastAsia="FangSong" w:hAnsi="FangSong" w:cs="FangSong"/>
          <w:sz w:val="28"/>
          <w:szCs w:val="28"/>
        </w:rPr>
      </w:pPr>
      <w:bookmarkStart w:id="13" w:name="bookmark20"/>
      <w:bookmarkEnd w:id="13"/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6.1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   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制定年度服务能力管理计划</w:t>
      </w:r>
    </w:p>
    <w:p>
      <w:pPr>
        <w:pStyle w:val="BodyText"/>
        <w:spacing w:line="355" w:lineRule="auto"/>
      </w:pPr>
    </w:p>
    <w:p>
      <w:pPr>
        <w:spacing w:before="91" w:line="412" w:lineRule="auto"/>
        <w:ind w:left="20" w:right="96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通信部、信息部组织总经理工作部、综合管理部质量管理组等相</w:t>
      </w:r>
      <w:r>
        <w:rPr>
          <w:rFonts w:ascii="FangSong" w:eastAsia="FangSong" w:hAnsi="FangSong" w:cs="FangSong"/>
          <w:spacing w:val="-4"/>
          <w:sz w:val="28"/>
          <w:szCs w:val="28"/>
        </w:rPr>
        <w:t>关部门</w:t>
      </w:r>
      <w:r>
        <w:rPr>
          <w:rFonts w:ascii="FangSong" w:eastAsia="FangSong" w:hAnsi="FangSong" w:cs="FangSong"/>
          <w:spacing w:val="-4"/>
          <w:sz w:val="28"/>
          <w:szCs w:val="28"/>
        </w:rPr>
        <w:t>制定下一年度《运维服务能力管理计划》，</w:t>
      </w:r>
      <w:r>
        <w:rPr>
          <w:rFonts w:ascii="FangSong" w:eastAsia="FangSong" w:hAnsi="FangSong" w:cs="FangSong"/>
          <w:spacing w:val="3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经会议讨论通过后报总经理工</w:t>
      </w:r>
      <w:r>
        <w:rPr>
          <w:rFonts w:ascii="FangSong" w:eastAsia="FangSong" w:hAnsi="FangSong" w:cs="FangSong"/>
          <w:spacing w:val="-4"/>
          <w:sz w:val="28"/>
          <w:szCs w:val="28"/>
        </w:rPr>
        <w:t>作部经理。</w:t>
      </w:r>
    </w:p>
    <w:p>
      <w:pPr>
        <w:spacing w:before="154" w:line="218" w:lineRule="auto"/>
        <w:ind w:left="4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《运维服务能力管理计划》应包含：</w:t>
      </w:r>
    </w:p>
    <w:p>
      <w:pPr>
        <w:pStyle w:val="BodyText"/>
        <w:spacing w:line="355" w:lineRule="auto"/>
      </w:pPr>
    </w:p>
    <w:p>
      <w:pPr>
        <w:spacing w:before="91" w:line="216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8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下一年度公司在人员、技术、资源、过程等的能力规</w:t>
      </w:r>
      <w:r>
        <w:rPr>
          <w:rFonts w:ascii="FangSong" w:eastAsia="FangSong" w:hAnsi="FangSong" w:cs="FangSong"/>
          <w:spacing w:val="-2"/>
          <w:sz w:val="28"/>
          <w:szCs w:val="28"/>
        </w:rPr>
        <w:t>划。</w:t>
      </w:r>
    </w:p>
    <w:p>
      <w:pPr>
        <w:pStyle w:val="BodyText"/>
        <w:spacing w:line="359" w:lineRule="auto"/>
      </w:pPr>
    </w:p>
    <w:p>
      <w:pPr>
        <w:spacing w:before="92" w:line="217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8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下一年度服务能力计划执行情况的跟踪计划。</w:t>
      </w:r>
    </w:p>
    <w:p>
      <w:pPr>
        <w:pStyle w:val="BodyText"/>
        <w:spacing w:line="357" w:lineRule="auto"/>
      </w:pPr>
    </w:p>
    <w:p>
      <w:pPr>
        <w:spacing w:before="92" w:line="218" w:lineRule="auto"/>
        <w:ind w:left="12"/>
        <w:outlineLvl w:val="1"/>
        <w:rPr>
          <w:rFonts w:ascii="FangSong" w:eastAsia="FangSong" w:hAnsi="FangSong" w:cs="FangSong"/>
          <w:sz w:val="28"/>
          <w:szCs w:val="28"/>
        </w:rPr>
      </w:pPr>
      <w:bookmarkStart w:id="14" w:name="bookmark12"/>
      <w:bookmarkEnd w:id="14"/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6.2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 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制定运维服务管理目标度量计划</w:t>
      </w:r>
    </w:p>
    <w:p>
      <w:pPr>
        <w:pStyle w:val="BodyText"/>
        <w:spacing w:line="356" w:lineRule="auto"/>
      </w:pPr>
    </w:p>
    <w:p>
      <w:pPr>
        <w:spacing w:before="91" w:line="412" w:lineRule="auto"/>
        <w:ind w:left="18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综合管理组质量组根据《运维服务能力管理</w:t>
      </w:r>
      <w:r>
        <w:rPr>
          <w:rFonts w:ascii="FangSong" w:eastAsia="FangSong" w:hAnsi="FangSong" w:cs="FangSong"/>
          <w:spacing w:val="-5"/>
          <w:sz w:val="28"/>
          <w:szCs w:val="28"/>
        </w:rPr>
        <w:t>计划》组织总经理工作部、</w:t>
      </w:r>
      <w:r>
        <w:rPr>
          <w:rFonts w:ascii="FangSong" w:eastAsia="FangSong" w:hAnsi="FangSong" w:cs="FangSong"/>
          <w:spacing w:val="2"/>
          <w:sz w:val="28"/>
          <w:szCs w:val="28"/>
        </w:rPr>
        <w:t>通信部、信息部等相关部门共同制定《运维</w:t>
      </w:r>
      <w:r>
        <w:rPr>
          <w:rFonts w:ascii="FangSong" w:eastAsia="FangSong" w:hAnsi="FangSong" w:cs="FangSong"/>
          <w:spacing w:val="1"/>
          <w:sz w:val="28"/>
          <w:szCs w:val="28"/>
        </w:rPr>
        <w:t>服务能力指标体系》和《运维</w:t>
      </w:r>
      <w:r>
        <w:rPr>
          <w:rFonts w:ascii="FangSong" w:eastAsia="FangSong" w:hAnsi="FangSong" w:cs="FangSong"/>
          <w:spacing w:val="-3"/>
          <w:sz w:val="28"/>
          <w:szCs w:val="28"/>
        </w:rPr>
        <w:t>服务能力指标达成情况跟踪表》。</w:t>
      </w:r>
    </w:p>
    <w:p>
      <w:pPr>
        <w:spacing w:before="154" w:line="216" w:lineRule="auto"/>
        <w:ind w:left="12"/>
        <w:outlineLvl w:val="1"/>
        <w:rPr>
          <w:rFonts w:ascii="FangSong" w:eastAsia="FangSong" w:hAnsi="FangSong" w:cs="FangSong"/>
          <w:sz w:val="28"/>
          <w:szCs w:val="28"/>
        </w:rPr>
      </w:pPr>
      <w:bookmarkStart w:id="15" w:name="bookmark13"/>
      <w:bookmarkEnd w:id="15"/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6.3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 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制定部门工作详细计划</w:t>
      </w:r>
    </w:p>
    <w:p>
      <w:pPr>
        <w:pStyle w:val="BodyText"/>
        <w:spacing w:line="358" w:lineRule="auto"/>
      </w:pPr>
    </w:p>
    <w:p>
      <w:pPr>
        <w:spacing w:before="91" w:line="412" w:lineRule="auto"/>
        <w:ind w:left="20" w:right="93" w:firstLine="5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总经理工作部、通信部、信息部等相关部门根据《运维服务能力指标</w:t>
      </w:r>
      <w:r>
        <w:rPr>
          <w:rFonts w:ascii="FangSong" w:eastAsia="FangSong" w:hAnsi="FangSong" w:cs="FangSong"/>
          <w:spacing w:val="-2"/>
          <w:sz w:val="28"/>
          <w:szCs w:val="28"/>
        </w:rPr>
        <w:t>体系》制定自己部门详细工作计划。</w:t>
      </w:r>
    </w:p>
    <w:p>
      <w:pPr>
        <w:spacing w:before="155" w:line="218" w:lineRule="auto"/>
        <w:ind w:left="12"/>
        <w:outlineLvl w:val="1"/>
        <w:rPr>
          <w:rFonts w:ascii="FangSong" w:eastAsia="FangSong" w:hAnsi="FangSong" w:cs="FangSong"/>
          <w:sz w:val="28"/>
          <w:szCs w:val="28"/>
        </w:rPr>
      </w:pPr>
      <w:bookmarkStart w:id="16" w:name="bookmark14"/>
      <w:bookmarkEnd w:id="16"/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6.4</w:t>
      </w:r>
      <w:r>
        <w:rPr>
          <w:rFonts w:ascii="FangSong" w:eastAsia="FangSong" w:hAnsi="FangSong" w:cs="FangSong"/>
          <w:spacing w:val="6"/>
          <w:sz w:val="28"/>
          <w:szCs w:val="28"/>
        </w:rPr>
        <w:t xml:space="preserve">   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实施能力计划</w:t>
      </w:r>
    </w:p>
    <w:p>
      <w:pPr>
        <w:pStyle w:val="BodyText"/>
        <w:spacing w:line="355" w:lineRule="auto"/>
      </w:pPr>
    </w:p>
    <w:p>
      <w:pPr>
        <w:spacing w:before="91" w:line="381" w:lineRule="auto"/>
        <w:ind w:left="22" w:right="94" w:firstLine="70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总经理工作部、通信部、信息部等相关部门按</w:t>
      </w:r>
      <w:r>
        <w:rPr>
          <w:rFonts w:ascii="FangSong" w:eastAsia="FangSong" w:hAnsi="FangSong" w:cs="FangSong"/>
          <w:spacing w:val="-4"/>
          <w:sz w:val="28"/>
          <w:szCs w:val="28"/>
        </w:rPr>
        <w:t>照自己部门详细工作计</w:t>
      </w:r>
      <w:r>
        <w:rPr>
          <w:rFonts w:ascii="FangSong" w:eastAsia="FangSong" w:hAnsi="FangSong" w:cs="FangSong"/>
          <w:spacing w:val="-7"/>
          <w:sz w:val="28"/>
          <w:szCs w:val="28"/>
        </w:rPr>
        <w:t>划进行实施。</w:t>
      </w:r>
    </w:p>
    <w:p>
      <w:pPr>
        <w:spacing w:line="381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0"/>
          <w:footerReference w:type="default" r:id="rId21"/>
          <w:pgSz w:w="11907" w:h="16839"/>
          <w:pgMar w:top="1855" w:right="1360" w:bottom="1964" w:left="1418" w:header="803" w:footer="1159" w:gutter="0"/>
          <w:cols w:space="720"/>
        </w:sectPr>
      </w:pPr>
    </w:p>
    <w:p>
      <w:pPr>
        <w:spacing w:before="153" w:line="216" w:lineRule="auto"/>
        <w:ind w:left="12"/>
        <w:outlineLvl w:val="1"/>
        <w:rPr>
          <w:rFonts w:ascii="FangSong" w:eastAsia="FangSong" w:hAnsi="FangSong" w:cs="FangSong"/>
          <w:sz w:val="28"/>
          <w:szCs w:val="28"/>
        </w:rPr>
      </w:pPr>
      <w:bookmarkStart w:id="17" w:name="bookmark21"/>
      <w:bookmarkEnd w:id="17"/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6.5</w:t>
      </w:r>
      <w:r>
        <w:rPr>
          <w:rFonts w:ascii="FangSong" w:eastAsia="FangSong" w:hAnsi="FangSong" w:cs="FangSong"/>
          <w:spacing w:val="4"/>
          <w:sz w:val="28"/>
          <w:szCs w:val="28"/>
        </w:rPr>
        <w:t xml:space="preserve">   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跟踪检查</w:t>
      </w:r>
    </w:p>
    <w:p>
      <w:pPr>
        <w:pStyle w:val="BodyText"/>
        <w:spacing w:line="357" w:lineRule="auto"/>
      </w:pPr>
    </w:p>
    <w:p>
      <w:pPr>
        <w:spacing w:before="91" w:line="412" w:lineRule="auto"/>
        <w:ind w:left="35" w:firstLine="5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综合管理部质量管理组根据《运维服务能力指</w:t>
      </w:r>
      <w:r>
        <w:rPr>
          <w:rFonts w:ascii="FangSong" w:eastAsia="FangSong" w:hAnsi="FangSong" w:cs="FangSong"/>
          <w:spacing w:val="1"/>
          <w:sz w:val="28"/>
          <w:szCs w:val="28"/>
        </w:rPr>
        <w:t>标体系》和《运维服务</w:t>
      </w:r>
      <w:r>
        <w:rPr>
          <w:rFonts w:ascii="FangSong" w:eastAsia="FangSong" w:hAnsi="FangSong" w:cs="FangSong"/>
          <w:spacing w:val="-4"/>
          <w:sz w:val="28"/>
          <w:szCs w:val="28"/>
        </w:rPr>
        <w:t>能力指标达成情况跟踪表》进行跟踪检查。</w:t>
      </w:r>
    </w:p>
    <w:p>
      <w:pPr>
        <w:spacing w:before="155" w:line="216" w:lineRule="auto"/>
        <w:ind w:left="12"/>
        <w:outlineLvl w:val="1"/>
        <w:rPr>
          <w:rFonts w:ascii="FangSong" w:eastAsia="FangSong" w:hAnsi="FangSong" w:cs="FangSong"/>
          <w:sz w:val="28"/>
          <w:szCs w:val="28"/>
        </w:rPr>
      </w:pPr>
      <w:bookmarkStart w:id="18" w:name="bookmark22"/>
      <w:bookmarkEnd w:id="18"/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6.6</w:t>
      </w:r>
      <w:r>
        <w:rPr>
          <w:rFonts w:ascii="FangSong" w:eastAsia="FangSong" w:hAnsi="FangSong" w:cs="FangSong"/>
          <w:spacing w:val="5"/>
          <w:sz w:val="28"/>
          <w:szCs w:val="28"/>
        </w:rPr>
        <w:t xml:space="preserve">   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评估及改进</w:t>
      </w:r>
    </w:p>
    <w:p>
      <w:pPr>
        <w:pStyle w:val="BodyText"/>
        <w:spacing w:line="358" w:lineRule="auto"/>
      </w:pPr>
    </w:p>
    <w:p>
      <w:pPr>
        <w:spacing w:before="91" w:line="412" w:lineRule="auto"/>
        <w:ind w:left="22" w:right="58" w:firstLine="56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每半年，综合管理组质量组对年度服务能力执行效果进行评估总结，</w:t>
      </w:r>
      <w:r>
        <w:rPr>
          <w:rFonts w:ascii="FangSong" w:eastAsia="FangSong" w:hAnsi="FangSong" w:cs="FangSong"/>
          <w:spacing w:val="-2"/>
          <w:sz w:val="28"/>
          <w:szCs w:val="28"/>
        </w:rPr>
        <w:t>并提出改进建议，出具《运维服务能力管理计划实施报告》。</w:t>
      </w:r>
    </w:p>
    <w:p>
      <w:pPr>
        <w:spacing w:before="74"/>
        <w:ind w:left="15"/>
        <w:outlineLvl w:val="0"/>
        <w:rPr>
          <w:rFonts w:ascii="SimSun" w:eastAsia="SimSun" w:hAnsi="SimSun" w:cs="SimSun"/>
          <w:sz w:val="43"/>
          <w:szCs w:val="43"/>
        </w:rPr>
      </w:pPr>
      <w:bookmarkStart w:id="19" w:name="bookmark15"/>
      <w:bookmarkEnd w:id="19"/>
      <w:bookmarkStart w:id="20" w:name="bookmark16"/>
      <w:bookmarkEnd w:id="20"/>
      <w:bookmarkStart w:id="21" w:name="bookmark17"/>
      <w:bookmarkEnd w:id="21"/>
      <w:r>
        <w:rPr>
          <w:rFonts w:ascii="Times New Roman" w:eastAsia="Times New Roman" w:hAnsi="Times New Roman" w:cs="Times New Roman"/>
          <w:b/>
          <w:bCs/>
          <w:spacing w:val="-3"/>
          <w:sz w:val="43"/>
          <w:szCs w:val="43"/>
        </w:rPr>
        <w:t xml:space="preserve">7  </w:t>
      </w:r>
      <w:r>
        <w:rPr>
          <w:rFonts w:ascii="SimSun" w:eastAsia="SimSun" w:hAnsi="SimSun" w:cs="SimSun"/>
          <w:b/>
          <w:bCs/>
          <w:spacing w:val="-3"/>
          <w:sz w:val="43"/>
          <w:szCs w:val="43"/>
        </w:rPr>
        <w:t>记录</w:t>
      </w:r>
    </w:p>
    <w:p>
      <w:pPr>
        <w:spacing w:before="302" w:line="218" w:lineRule="auto"/>
        <w:ind w:left="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《XX</w:t>
      </w:r>
      <w:r>
        <w:rPr>
          <w:rFonts w:ascii="FangSong" w:eastAsia="FangSong" w:hAnsi="FangSong" w:cs="FangSong"/>
          <w:spacing w:val="-4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年运维服务能力管理计划》</w:t>
      </w:r>
    </w:p>
    <w:p>
      <w:pPr>
        <w:pStyle w:val="BodyText"/>
        <w:spacing w:line="356" w:lineRule="auto"/>
      </w:pPr>
    </w:p>
    <w:p>
      <w:pPr>
        <w:spacing w:before="91" w:line="218" w:lineRule="auto"/>
        <w:ind w:left="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《运维服务能力指标体系》</w:t>
      </w:r>
    </w:p>
    <w:p>
      <w:pPr>
        <w:pStyle w:val="BodyText"/>
        <w:spacing w:line="356" w:lineRule="auto"/>
      </w:pPr>
    </w:p>
    <w:p>
      <w:pPr>
        <w:spacing w:before="92" w:line="218" w:lineRule="auto"/>
        <w:ind w:left="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《XX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年运维服务能力指标达成情况跟踪表》</w:t>
      </w:r>
    </w:p>
    <w:p>
      <w:pPr>
        <w:pStyle w:val="BodyText"/>
        <w:spacing w:line="356" w:lineRule="auto"/>
      </w:pPr>
    </w:p>
    <w:p>
      <w:pPr>
        <w:spacing w:before="91" w:line="218" w:lineRule="auto"/>
        <w:ind w:left="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《XX</w:t>
      </w:r>
      <w:r>
        <w:rPr>
          <w:rFonts w:ascii="FangSong" w:eastAsia="FangSong" w:hAnsi="FangSong" w:cs="FangSong"/>
          <w:spacing w:val="-3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年运维服务能力管理计划实施报告》</w:t>
      </w:r>
    </w:p>
    <w:sectPr>
      <w:headerReference w:type="default" r:id="rId22"/>
      <w:footerReference w:type="default" r:id="rId23"/>
      <w:pgSz w:w="11907" w:h="16839"/>
      <w:pgMar w:top="1855" w:right="1454" w:bottom="1964" w:left="1418" w:header="803" w:footer="115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970915</wp:posOffset>
          </wp:positionH>
          <wp:positionV relativeFrom="page">
            <wp:posOffset>9577070</wp:posOffset>
          </wp:positionV>
          <wp:extent cx="1487805" cy="45720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spacing w:before="56" w:line="231" w:lineRule="exact"/>
      <w:ind w:left="18"/>
      <w:rPr>
        <w:rFonts w:ascii="Cambria" w:eastAsia="Cambria" w:hAnsi="Cambria" w:cs="Cambria"/>
        <w:sz w:val="19"/>
        <w:szCs w:val="19"/>
      </w:rPr>
    </w:pPr>
    <w:r>
      <w:rPr>
        <w:rFonts w:ascii="Cambria" w:eastAsia="Cambria" w:hAnsi="Cambria" w:cs="Cambria"/>
        <w:color w:val="4F81BD"/>
        <w:spacing w:val="31"/>
        <w:w w:val="123"/>
        <w:position w:val="3"/>
        <w:sz w:val="19"/>
        <w:szCs w:val="19"/>
      </w:rPr>
      <w:t>: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970915</wp:posOffset>
          </wp:positionH>
          <wp:positionV relativeFrom="page">
            <wp:posOffset>9577070</wp:posOffset>
          </wp:positionV>
          <wp:extent cx="1487805" cy="45720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spacing w:before="56" w:line="231" w:lineRule="exact"/>
      <w:ind w:left="13"/>
      <w:rPr>
        <w:rFonts w:ascii="Cambria" w:eastAsia="Cambria" w:hAnsi="Cambria" w:cs="Cambria"/>
        <w:sz w:val="19"/>
        <w:szCs w:val="19"/>
      </w:rPr>
    </w:pPr>
    <w:r>
      <w:rPr>
        <w:rFonts w:ascii="Cambria" w:eastAsia="Cambria" w:hAnsi="Cambria" w:cs="Cambria"/>
        <w:color w:val="4F81BD"/>
        <w:position w:val="1"/>
        <w:sz w:val="19"/>
        <w:szCs w:val="19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6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4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2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47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3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2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609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609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609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538588789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609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609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609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header" Target="header4.xml" /><Relationship Id="rId13" Type="http://schemas.openxmlformats.org/officeDocument/2006/relationships/footer" Target="footer4.xml" /><Relationship Id="rId14" Type="http://schemas.openxmlformats.org/officeDocument/2006/relationships/header" Target="header5.xml" /><Relationship Id="rId15" Type="http://schemas.openxmlformats.org/officeDocument/2006/relationships/footer" Target="footer5.xml" /><Relationship Id="rId16" Type="http://schemas.openxmlformats.org/officeDocument/2006/relationships/image" Target="media/image5.jpeg" /><Relationship Id="rId17" Type="http://schemas.openxmlformats.org/officeDocument/2006/relationships/header" Target="header6.xml" /><Relationship Id="rId18" Type="http://schemas.openxmlformats.org/officeDocument/2006/relationships/footer" Target="footer6.xml" /><Relationship Id="rId19" Type="http://schemas.openxmlformats.org/officeDocument/2006/relationships/image" Target="media/image6.png" /><Relationship Id="rId2" Type="http://schemas.openxmlformats.org/officeDocument/2006/relationships/webSettings" Target="webSettings.xml" /><Relationship Id="rId20" Type="http://schemas.openxmlformats.org/officeDocument/2006/relationships/header" Target="header7.xml" /><Relationship Id="rId21" Type="http://schemas.openxmlformats.org/officeDocument/2006/relationships/footer" Target="footer7.xml" /><Relationship Id="rId22" Type="http://schemas.openxmlformats.org/officeDocument/2006/relationships/header" Target="header8.xml" /><Relationship Id="rId23" Type="http://schemas.openxmlformats.org/officeDocument/2006/relationships/footer" Target="footer8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2023-07-25T22:54:39Z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2025-12-03T15:21:00Z</vt:filetime>
  </property>
  <property fmtid="{D5CDD505-2E9C-101B-9397-08002B2CF9AE}" pid="3" name="CRO">
    <vt:lpwstr>wqlLaW5nc29mdCBQREYgdG8gV1BTIDExNQ</vt:lpwstr>
  </property>
</Properties>
</file>