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61" w:lineRule="auto"/>
      </w:pPr>
    </w:p>
    <w:p>
      <w:pPr>
        <w:pStyle w:val="BodyText"/>
        <w:spacing w:line="261" w:lineRule="auto"/>
      </w:pPr>
    </w:p>
    <w:p>
      <w:pPr>
        <w:pStyle w:val="BodyText"/>
        <w:spacing w:line="261" w:lineRule="auto"/>
      </w:pPr>
    </w:p>
    <w:p>
      <w:pPr>
        <w:pStyle w:val="BodyText"/>
        <w:spacing w:line="261" w:lineRule="auto"/>
      </w:pPr>
    </w:p>
    <w:p>
      <w:pPr>
        <w:pStyle w:val="BodyText"/>
        <w:spacing w:line="261" w:lineRule="auto"/>
      </w:pPr>
    </w:p>
    <w:p>
      <w:pPr>
        <w:pStyle w:val="BodyText"/>
        <w:spacing w:line="262" w:lineRule="auto"/>
      </w:pPr>
    </w:p>
    <w:p>
      <w:pPr>
        <w:pStyle w:val="BodyText"/>
        <w:spacing w:line="262" w:lineRule="auto"/>
      </w:pPr>
    </w:p>
    <w:p>
      <w:pPr>
        <w:pStyle w:val="BodyText"/>
        <w:spacing w:line="262" w:lineRule="auto"/>
      </w:pPr>
    </w:p>
    <w:p>
      <w:pPr>
        <w:pStyle w:val="BodyText"/>
        <w:spacing w:line="262" w:lineRule="auto"/>
      </w:pPr>
    </w:p>
    <w:p>
      <w:pPr>
        <w:pStyle w:val="BodyText"/>
        <w:spacing w:line="262" w:lineRule="auto"/>
      </w:pPr>
    </w:p>
    <w:p>
      <w:pPr>
        <w:pStyle w:val="BodyText"/>
        <w:spacing w:line="262" w:lineRule="auto"/>
      </w:pPr>
    </w:p>
    <w:p>
      <w:pPr>
        <w:spacing w:before="234" w:line="218" w:lineRule="auto"/>
        <w:ind w:left="2132"/>
        <w:outlineLvl w:val="0"/>
        <w:rPr>
          <w:rFonts w:ascii="FangSong" w:eastAsia="FangSong" w:hAnsi="FangSong" w:cs="FangSong"/>
          <w:sz w:val="72"/>
          <w:szCs w:val="72"/>
        </w:rPr>
      </w:pPr>
      <w:r>
        <w:rPr>
          <w:rFonts w:ascii="FangSong" w:eastAsia="FangSong" w:hAnsi="FangSong" w:cs="FangSong"/>
          <w:b/>
          <w:bCs/>
          <w:spacing w:val="-29"/>
          <w:sz w:val="72"/>
          <w:szCs w:val="72"/>
        </w:rPr>
        <w:t>内部审核程序</w:t>
      </w:r>
    </w:p>
    <w:p>
      <w:pPr>
        <w:pStyle w:val="BodyText"/>
        <w:spacing w:line="306" w:lineRule="auto"/>
      </w:pPr>
    </w:p>
    <w:p>
      <w:pPr>
        <w:spacing w:before="91" w:line="219" w:lineRule="auto"/>
        <w:ind w:left="2143"/>
        <w:rPr>
          <w:rFonts w:ascii="FangSong" w:eastAsia="FangSong" w:hAnsi="FangSong" w:cs="FangSong"/>
          <w:sz w:val="28"/>
          <w:szCs w:val="28"/>
        </w:rPr>
      </w:pPr>
      <w:r>
        <w:rPr>
          <w:rFonts w:ascii="FangSong" w:eastAsia="FangSong" w:hAnsi="FangSong" w:cs="FangSong"/>
          <w:b/>
          <w:bCs/>
          <w:spacing w:val="-3"/>
          <w:sz w:val="28"/>
          <w:szCs w:val="28"/>
        </w:rPr>
        <w:t>（文件编号：YNTD-ITSS-07-01）</w:t>
      </w: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spacing w:before="101" w:line="223" w:lineRule="auto"/>
        <w:ind w:left="1636"/>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855" w:right="1785" w:bottom="1711" w:left="1785" w:header="803" w:footer="993" w:gutter="0"/>
          <w:cols w:space="720"/>
        </w:sectPr>
      </w:pPr>
    </w:p>
    <w:p>
      <w:pPr>
        <w:pStyle w:val="BodyText"/>
        <w:spacing w:line="268" w:lineRule="auto"/>
      </w:pPr>
    </w:p>
    <w:p>
      <w:pPr>
        <w:pStyle w:val="BodyText"/>
        <w:spacing w:line="268" w:lineRule="auto"/>
      </w:pPr>
    </w:p>
    <w:p>
      <w:pPr>
        <w:pStyle w:val="BodyText"/>
        <w:spacing w:line="268" w:lineRule="auto"/>
      </w:pPr>
    </w:p>
    <w:p>
      <w:pPr>
        <w:pStyle w:val="BodyText"/>
        <w:spacing w:line="269" w:lineRule="auto"/>
      </w:pPr>
    </w:p>
    <w:p>
      <w:pPr>
        <w:spacing w:before="97" w:line="220" w:lineRule="auto"/>
        <w:ind w:left="3175"/>
        <w:outlineLvl w:val="1"/>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7"/>
        <w:gridCol w:w="881"/>
        <w:gridCol w:w="1274"/>
        <w:gridCol w:w="957"/>
        <w:gridCol w:w="1377"/>
        <w:gridCol w:w="1017"/>
        <w:gridCol w:w="1271"/>
        <w:gridCol w:w="1381"/>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7"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4"/>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9" w:lineRule="auto"/>
              <w:ind w:left="536"/>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2"/>
              <w:rPr>
                <w:sz w:val="24"/>
                <w:szCs w:val="24"/>
              </w:rPr>
            </w:pPr>
            <w:r>
              <w:rPr>
                <w:b/>
                <w:bCs/>
                <w:spacing w:val="-6"/>
                <w:sz w:val="24"/>
                <w:szCs w:val="24"/>
              </w:rPr>
              <w:t>实施</w:t>
            </w:r>
          </w:p>
        </w:tc>
        <w:tc>
          <w:tcPr>
            <w:tcW w:w="1381"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12" w:type="dxa"/>
          <w:tblLayout w:type="fixed"/>
        </w:tblPrEx>
        <w:trPr>
          <w:trHeight w:val="479"/>
        </w:trPr>
        <w:tc>
          <w:tcPr>
            <w:tcW w:w="847"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7" w:line="220" w:lineRule="auto"/>
              <w:ind w:left="192"/>
              <w:rPr>
                <w:sz w:val="24"/>
                <w:szCs w:val="24"/>
              </w:rPr>
            </w:pPr>
            <w:r>
              <w:rPr>
                <w:b/>
                <w:bCs/>
                <w:spacing w:val="-5"/>
                <w:sz w:val="24"/>
                <w:szCs w:val="24"/>
              </w:rPr>
              <w:t>作者</w:t>
            </w:r>
          </w:p>
        </w:tc>
        <w:tc>
          <w:tcPr>
            <w:tcW w:w="1274" w:type="dxa"/>
            <w:shd w:val="clear" w:color="auto" w:fill="D9D9D9"/>
          </w:tcPr>
          <w:p>
            <w:pPr>
              <w:pStyle w:val="TableText"/>
              <w:spacing w:before="177" w:line="220" w:lineRule="auto"/>
              <w:ind w:left="431"/>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88"/>
              <w:rPr>
                <w:sz w:val="24"/>
                <w:szCs w:val="24"/>
              </w:rPr>
            </w:pPr>
            <w:r>
              <w:rPr>
                <w:b/>
                <w:bCs/>
                <w:spacing w:val="-15"/>
                <w:sz w:val="24"/>
                <w:szCs w:val="24"/>
              </w:rPr>
              <w:t>日期</w:t>
            </w:r>
          </w:p>
        </w:tc>
        <w:tc>
          <w:tcPr>
            <w:tcW w:w="1017" w:type="dxa"/>
            <w:shd w:val="clear" w:color="auto" w:fill="D9D9D9"/>
          </w:tcPr>
          <w:p>
            <w:pPr>
              <w:pStyle w:val="TableText"/>
              <w:spacing w:before="176" w:line="221" w:lineRule="auto"/>
              <w:ind w:left="269"/>
              <w:rPr>
                <w:sz w:val="24"/>
                <w:szCs w:val="24"/>
              </w:rPr>
            </w:pPr>
            <w:r>
              <w:rPr>
                <w:b/>
                <w:bCs/>
                <w:spacing w:val="-5"/>
                <w:sz w:val="24"/>
                <w:szCs w:val="24"/>
              </w:rPr>
              <w:t>批准</w:t>
            </w:r>
          </w:p>
        </w:tc>
        <w:tc>
          <w:tcPr>
            <w:tcW w:w="1271" w:type="dxa"/>
            <w:shd w:val="clear" w:color="auto" w:fill="D9D9D9"/>
          </w:tcPr>
          <w:p>
            <w:pPr>
              <w:pStyle w:val="TableText"/>
              <w:spacing w:before="177" w:line="220" w:lineRule="auto"/>
              <w:ind w:left="441"/>
              <w:rPr>
                <w:sz w:val="24"/>
                <w:szCs w:val="24"/>
              </w:rPr>
            </w:pPr>
            <w:r>
              <w:rPr>
                <w:b/>
                <w:bCs/>
                <w:spacing w:val="-15"/>
                <w:sz w:val="24"/>
                <w:szCs w:val="24"/>
              </w:rPr>
              <w:t>日期</w:t>
            </w:r>
          </w:p>
        </w:tc>
        <w:tc>
          <w:tcPr>
            <w:tcW w:w="1381" w:type="dxa"/>
            <w:vMerge/>
            <w:tcBorders>
              <w:top w:val="nil"/>
              <w:right w:val="single" w:sz="10" w:space="0" w:color="000000"/>
            </w:tcBorders>
          </w:tcPr>
          <w:p>
            <w:pPr>
              <w:rPr>
                <w:rFonts w:ascii="Arial"/>
                <w:sz w:val="21"/>
              </w:rPr>
            </w:pPr>
          </w:p>
        </w:tc>
      </w:tr>
      <w:tr>
        <w:tblPrEx>
          <w:tblW w:w="9005" w:type="dxa"/>
          <w:tblInd w:w="12" w:type="dxa"/>
          <w:tblLayout w:type="fixed"/>
        </w:tblPrEx>
        <w:trPr>
          <w:trHeight w:val="651"/>
        </w:trPr>
        <w:tc>
          <w:tcPr>
            <w:tcW w:w="847" w:type="dxa"/>
            <w:tcBorders>
              <w:left w:val="single" w:sz="10" w:space="0" w:color="000000"/>
            </w:tcBorders>
          </w:tcPr>
          <w:p>
            <w:pPr>
              <w:spacing w:before="183"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183" w:line="220" w:lineRule="auto"/>
              <w:ind w:left="161"/>
            </w:pPr>
            <w:r>
              <w:rPr>
                <w:spacing w:val="-2"/>
              </w:rPr>
              <w:t>谢广胜</w:t>
            </w:r>
          </w:p>
        </w:tc>
        <w:tc>
          <w:tcPr>
            <w:tcW w:w="1274" w:type="dxa"/>
          </w:tcPr>
          <w:p>
            <w:pPr>
              <w:spacing w:before="183"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183" w:line="219" w:lineRule="auto"/>
              <w:ind w:left="202"/>
            </w:pPr>
            <w:r>
              <w:rPr>
                <w:spacing w:val="-2"/>
              </w:rPr>
              <w:t>赵建中</w:t>
            </w:r>
          </w:p>
        </w:tc>
        <w:tc>
          <w:tcPr>
            <w:tcW w:w="1377" w:type="dxa"/>
          </w:tcPr>
          <w:p>
            <w:pPr>
              <w:spacing w:before="183" w:line="236" w:lineRule="auto"/>
              <w:ind w:left="237"/>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183" w:line="220" w:lineRule="auto"/>
              <w:ind w:left="243"/>
            </w:pPr>
            <w:r>
              <w:rPr>
                <w:spacing w:val="-3"/>
              </w:rPr>
              <w:t>陆涛</w:t>
            </w:r>
          </w:p>
        </w:tc>
        <w:tc>
          <w:tcPr>
            <w:tcW w:w="1271" w:type="dxa"/>
          </w:tcPr>
          <w:p>
            <w:pPr>
              <w:spacing w:before="183" w:line="236"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1" w:type="dxa"/>
            <w:tcBorders>
              <w:right w:val="single" w:sz="10" w:space="0" w:color="000000"/>
            </w:tcBorders>
          </w:tcPr>
          <w:p>
            <w:pPr>
              <w:pStyle w:val="TableText"/>
              <w:spacing w:before="183" w:line="219" w:lineRule="auto"/>
              <w:ind w:left="424"/>
            </w:pPr>
            <w:r>
              <w:rPr>
                <w:spacing w:val="-2"/>
              </w:rPr>
              <w:t>首次发布</w:t>
            </w:r>
          </w:p>
        </w:tc>
      </w:tr>
      <w:tr>
        <w:tblPrEx>
          <w:tblW w:w="9005" w:type="dxa"/>
          <w:tblInd w:w="12" w:type="dxa"/>
          <w:tblLayout w:type="fixed"/>
        </w:tblPrEx>
        <w:trPr>
          <w:trHeight w:val="434"/>
        </w:trPr>
        <w:tc>
          <w:tcPr>
            <w:tcW w:w="847" w:type="dxa"/>
            <w:tcBorders>
              <w:left w:val="single" w:sz="10" w:space="0" w:color="000000"/>
            </w:tcBorders>
          </w:tcPr>
          <w:p>
            <w:pPr>
              <w:spacing w:before="79"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78" w:line="220" w:lineRule="auto"/>
              <w:ind w:left="161"/>
            </w:pPr>
            <w:r>
              <w:rPr>
                <w:spacing w:val="-2"/>
              </w:rPr>
              <w:t>谢广胜</w:t>
            </w:r>
          </w:p>
        </w:tc>
        <w:tc>
          <w:tcPr>
            <w:tcW w:w="1274" w:type="dxa"/>
          </w:tcPr>
          <w:p>
            <w:pPr>
              <w:spacing w:before="79" w:line="236" w:lineRule="auto"/>
              <w:ind w:left="269"/>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79" w:line="219" w:lineRule="auto"/>
              <w:ind w:left="202"/>
            </w:pPr>
            <w:r>
              <w:rPr>
                <w:spacing w:val="-2"/>
              </w:rPr>
              <w:t>赵建中</w:t>
            </w:r>
          </w:p>
        </w:tc>
        <w:tc>
          <w:tcPr>
            <w:tcW w:w="1377" w:type="dxa"/>
          </w:tcPr>
          <w:p>
            <w:pPr>
              <w:spacing w:before="79" w:line="236"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78" w:line="220" w:lineRule="auto"/>
              <w:ind w:left="243"/>
            </w:pPr>
            <w:r>
              <w:rPr>
                <w:spacing w:val="-3"/>
              </w:rPr>
              <w:t>陆涛</w:t>
            </w:r>
          </w:p>
        </w:tc>
        <w:tc>
          <w:tcPr>
            <w:tcW w:w="1271" w:type="dxa"/>
          </w:tcPr>
          <w:p>
            <w:pPr>
              <w:spacing w:before="79" w:line="236"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1" w:type="dxa"/>
            <w:tcBorders>
              <w:right w:val="single" w:sz="10" w:space="0" w:color="000000"/>
            </w:tcBorders>
          </w:tcPr>
          <w:p>
            <w:pPr>
              <w:pStyle w:val="TableText"/>
              <w:spacing w:before="78" w:line="220" w:lineRule="auto"/>
              <w:ind w:left="601"/>
            </w:pPr>
            <w:r>
              <w:rPr>
                <w:spacing w:val="-4"/>
              </w:rPr>
              <w:t>修改</w:t>
            </w:r>
          </w:p>
        </w:tc>
      </w:tr>
      <w:tr>
        <w:tblPrEx>
          <w:tblW w:w="9005" w:type="dxa"/>
          <w:tblInd w:w="12" w:type="dxa"/>
          <w:tblLayout w:type="fixed"/>
        </w:tblPrEx>
        <w:trPr>
          <w:trHeight w:val="451"/>
        </w:trPr>
        <w:tc>
          <w:tcPr>
            <w:tcW w:w="847" w:type="dxa"/>
            <w:tcBorders>
              <w:left w:val="single" w:sz="10" w:space="0" w:color="000000"/>
              <w:bottom w:val="single" w:sz="10" w:space="0" w:color="000000"/>
            </w:tcBorders>
          </w:tcPr>
          <w:p>
            <w:pPr>
              <w:spacing w:before="81"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81" w:line="220" w:lineRule="auto"/>
              <w:ind w:left="250"/>
            </w:pPr>
            <w:r>
              <w:rPr>
                <w:spacing w:val="-3"/>
              </w:rPr>
              <w:t>杨洁</w:t>
            </w:r>
          </w:p>
        </w:tc>
        <w:tc>
          <w:tcPr>
            <w:tcW w:w="1274" w:type="dxa"/>
            <w:tcBorders>
              <w:bottom w:val="single" w:sz="10" w:space="0" w:color="000000"/>
            </w:tcBorders>
          </w:tcPr>
          <w:p>
            <w:pPr>
              <w:spacing w:before="81"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81" w:line="220" w:lineRule="auto"/>
              <w:ind w:left="294"/>
            </w:pPr>
            <w:r>
              <w:rPr>
                <w:spacing w:val="-3"/>
              </w:rPr>
              <w:t>吴艳</w:t>
            </w:r>
          </w:p>
        </w:tc>
        <w:tc>
          <w:tcPr>
            <w:tcW w:w="1377" w:type="dxa"/>
            <w:tcBorders>
              <w:bottom w:val="single" w:sz="10" w:space="0" w:color="000000"/>
            </w:tcBorders>
          </w:tcPr>
          <w:p>
            <w:pPr>
              <w:spacing w:before="81"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81" w:line="220" w:lineRule="auto"/>
              <w:ind w:left="243"/>
            </w:pPr>
            <w:r>
              <w:rPr>
                <w:spacing w:val="-3"/>
              </w:rPr>
              <w:t>陆涛</w:t>
            </w:r>
          </w:p>
        </w:tc>
        <w:tc>
          <w:tcPr>
            <w:tcW w:w="1271" w:type="dxa"/>
            <w:tcBorders>
              <w:bottom w:val="single" w:sz="10" w:space="0" w:color="000000"/>
            </w:tcBorders>
          </w:tcPr>
          <w:p>
            <w:pPr>
              <w:spacing w:before="81" w:line="236"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1" w:type="dxa"/>
            <w:tcBorders>
              <w:bottom w:val="single" w:sz="10" w:space="0" w:color="000000"/>
              <w:right w:val="single" w:sz="10" w:space="0" w:color="000000"/>
            </w:tcBorders>
          </w:tcPr>
          <w:p>
            <w:pPr>
              <w:pStyle w:val="TableText"/>
              <w:spacing w:before="81" w:line="220" w:lineRule="auto"/>
              <w:ind w:left="601"/>
            </w:pPr>
            <w:r>
              <w:rPr>
                <w:spacing w:val="-4"/>
              </w:rPr>
              <w:t>修改</w:t>
            </w:r>
          </w:p>
        </w:tc>
      </w:tr>
    </w:tbl>
    <w:p>
      <w:pPr>
        <w:pStyle w:val="BodyText"/>
      </w:pPr>
    </w:p>
    <w:p>
      <w:pPr>
        <w:sectPr>
          <w:headerReference w:type="default" r:id="rId6"/>
          <w:footerReference w:type="default" r:id="rId7"/>
          <w:pgSz w:w="11907" w:h="16839"/>
          <w:pgMar w:top="1855" w:right="1437" w:bottom="1711" w:left="1438" w:header="803" w:footer="993" w:gutter="0"/>
          <w:cols w:space="720"/>
        </w:sectPr>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9" w:lineRule="auto"/>
      </w:pPr>
    </w:p>
    <w:p>
      <w:pPr>
        <w:pStyle w:val="BodyText"/>
        <w:spacing w:line="249" w:lineRule="auto"/>
      </w:pPr>
    </w:p>
    <w:p>
      <w:pPr>
        <w:pStyle w:val="BodyText"/>
        <w:spacing w:line="249" w:lineRule="auto"/>
      </w:pPr>
    </w:p>
    <w:sdt>
      <w:sdtPr>
        <w:rPr>
          <w:rFonts w:ascii="FangSong" w:eastAsia="FangSong" w:hAnsi="FangSong" w:cs="FangSong"/>
          <w:sz w:val="31"/>
          <w:szCs w:val="31"/>
        </w:rPr>
        <w:id w:val="1454526774"/>
        <w:docPartObj>
          <w:docPartGallery w:val="Table of Contents"/>
          <w:docPartUnique/>
        </w:docPartObj>
      </w:sdtPr>
      <w:sdtEndPr>
        <w:rPr>
          <w:rFonts w:ascii="Arial" w:eastAsia="Arial" w:hAnsi="Arial" w:cs="Arial"/>
          <w:sz w:val="24"/>
          <w:szCs w:val="24"/>
        </w:rPr>
      </w:sdtEndPr>
      <w:sdtContent>
        <w:p>
          <w:pPr>
            <w:spacing w:before="101" w:line="224" w:lineRule="auto"/>
            <w:ind w:left="3843"/>
            <w:rPr>
              <w:rFonts w:ascii="FangSong" w:eastAsia="FangSong" w:hAnsi="FangSong" w:cs="FangSong"/>
              <w:sz w:val="31"/>
              <w:szCs w:val="31"/>
            </w:rPr>
          </w:pPr>
          <w:r>
            <w:rPr>
              <w:rFonts w:ascii="FangSong" w:eastAsia="FangSong" w:hAnsi="FangSong" w:cs="FangSong"/>
              <w:b/>
              <w:bCs/>
              <w:spacing w:val="-38"/>
              <w:sz w:val="31"/>
              <w:szCs w:val="31"/>
            </w:rPr>
            <w:t>目</w:t>
          </w:r>
          <w:r>
            <w:rPr>
              <w:rFonts w:ascii="FangSong" w:eastAsia="FangSong" w:hAnsi="FangSong" w:cs="FangSong"/>
              <w:spacing w:val="41"/>
              <w:sz w:val="31"/>
              <w:szCs w:val="31"/>
            </w:rPr>
            <w:t xml:space="preserve"> </w:t>
          </w:r>
          <w:r>
            <w:rPr>
              <w:rFonts w:ascii="FangSong" w:eastAsia="FangSong" w:hAnsi="FangSong" w:cs="FangSong"/>
              <w:b/>
              <w:bCs/>
              <w:spacing w:val="-38"/>
              <w:sz w:val="31"/>
              <w:szCs w:val="31"/>
            </w:rPr>
            <w:t>录</w:t>
          </w:r>
        </w:p>
        <w:p>
          <w:pPr>
            <w:pStyle w:val="BodyText"/>
            <w:spacing w:line="446" w:lineRule="auto"/>
          </w:pPr>
        </w:p>
        <w:p>
          <w:pPr>
            <w:pStyle w:val="BodyText"/>
            <w:tabs>
              <w:tab w:val="right" w:leader="dot" w:pos="8315"/>
            </w:tabs>
            <w:spacing w:before="78" w:line="197" w:lineRule="auto"/>
            <w:ind w:left="40"/>
            <w:rPr>
              <w:sz w:val="24"/>
              <w:szCs w:val="24"/>
            </w:rPr>
          </w:pPr>
          <w:r>
            <w:fldChar w:fldCharType="begin"/>
          </w:r>
          <w:r>
            <w:instrText xml:space="preserve"> HYPERLINK \l "bookmark1" </w:instrText>
          </w:r>
          <w:r>
            <w:fldChar w:fldCharType="separate"/>
          </w:r>
          <w:r>
            <w:rPr>
              <w:spacing w:val="-8"/>
              <w:sz w:val="24"/>
              <w:szCs w:val="24"/>
            </w:rPr>
            <w:t>1.</w:t>
          </w:r>
          <w:r>
            <w:rPr>
              <w:rFonts w:ascii="FangSong" w:eastAsia="FangSong" w:hAnsi="FangSong" w:cs="FangSong"/>
              <w:b/>
              <w:bCs/>
              <w:spacing w:val="-8"/>
              <w:sz w:val="24"/>
              <w:szCs w:val="24"/>
            </w:rPr>
            <w:t>概述</w:t>
          </w:r>
          <w:r>
            <w:rPr>
              <w:rFonts w:ascii="FangSong" w:eastAsia="FangSong" w:hAnsi="FangSong" w:cs="FangSong"/>
              <w:b/>
              <w:bCs/>
              <w:sz w:val="24"/>
              <w:szCs w:val="24"/>
            </w:rPr>
            <w:tab/>
          </w:r>
          <w:r>
            <w:rPr>
              <w:spacing w:val="22"/>
              <w:sz w:val="24"/>
              <w:szCs w:val="24"/>
            </w:rPr>
            <w:t>4</w:t>
          </w:r>
          <w:r>
            <w:fldChar w:fldCharType="end"/>
          </w:r>
        </w:p>
        <w:p>
          <w:pPr>
            <w:pStyle w:val="BodyText"/>
            <w:tabs>
              <w:tab w:val="right" w:leader="dot" w:pos="8315"/>
            </w:tabs>
            <w:spacing w:before="55" w:line="197" w:lineRule="auto"/>
            <w:ind w:left="460"/>
            <w:rPr>
              <w:sz w:val="24"/>
              <w:szCs w:val="24"/>
            </w:rPr>
          </w:pPr>
          <w:r>
            <w:fldChar w:fldCharType="begin"/>
          </w:r>
          <w:r>
            <w:instrText xml:space="preserve"> HYPERLINK \l "bookmark2" </w:instrText>
          </w:r>
          <w:r>
            <w:fldChar w:fldCharType="separate"/>
          </w:r>
          <w:r>
            <w:rPr>
              <w:spacing w:val="-14"/>
              <w:sz w:val="24"/>
              <w:szCs w:val="24"/>
            </w:rPr>
            <w:t xml:space="preserve">1.1  </w:t>
          </w:r>
          <w:r>
            <w:rPr>
              <w:rFonts w:ascii="FangSong" w:eastAsia="FangSong" w:hAnsi="FangSong" w:cs="FangSong"/>
              <w:spacing w:val="-14"/>
              <w:sz w:val="24"/>
              <w:szCs w:val="24"/>
            </w:rPr>
            <w:t>目的</w:t>
          </w:r>
          <w:r>
            <w:rPr>
              <w:rFonts w:ascii="FangSong" w:eastAsia="FangSong" w:hAnsi="FangSong" w:cs="FangSong"/>
              <w:spacing w:val="-36"/>
              <w:sz w:val="24"/>
              <w:szCs w:val="24"/>
            </w:rPr>
            <w:t xml:space="preserve"> </w:t>
          </w:r>
          <w:r>
            <w:rPr>
              <w:rFonts w:ascii="FangSong" w:eastAsia="FangSong" w:hAnsi="FangSong" w:cs="FangSong"/>
              <w:sz w:val="24"/>
              <w:szCs w:val="24"/>
            </w:rPr>
            <w:tab/>
          </w:r>
          <w:r>
            <w:rPr>
              <w:spacing w:val="22"/>
              <w:sz w:val="24"/>
              <w:szCs w:val="24"/>
            </w:rPr>
            <w:t>4</w:t>
          </w:r>
          <w:r>
            <w:fldChar w:fldCharType="end"/>
          </w:r>
        </w:p>
        <w:p>
          <w:pPr>
            <w:pStyle w:val="BodyText"/>
            <w:tabs>
              <w:tab w:val="right" w:leader="dot" w:pos="8315"/>
            </w:tabs>
            <w:spacing w:before="55" w:line="197" w:lineRule="auto"/>
            <w:ind w:left="460"/>
            <w:rPr>
              <w:sz w:val="24"/>
              <w:szCs w:val="24"/>
            </w:rPr>
          </w:pPr>
          <w:r>
            <w:fldChar w:fldCharType="begin"/>
          </w:r>
          <w:r>
            <w:instrText xml:space="preserve"> HYPERLINK \l "bookmark3" </w:instrText>
          </w:r>
          <w:r>
            <w:fldChar w:fldCharType="separate"/>
          </w:r>
          <w:r>
            <w:rPr>
              <w:spacing w:val="-4"/>
              <w:sz w:val="24"/>
              <w:szCs w:val="24"/>
            </w:rPr>
            <w:t xml:space="preserve">1.2 </w:t>
          </w:r>
          <w:r>
            <w:rPr>
              <w:rFonts w:ascii="FangSong" w:eastAsia="FangSong" w:hAnsi="FangSong" w:cs="FangSong"/>
              <w:spacing w:val="-4"/>
              <w:sz w:val="24"/>
              <w:szCs w:val="24"/>
            </w:rPr>
            <w:t>适用范围</w:t>
          </w:r>
          <w:r>
            <w:rPr>
              <w:rFonts w:ascii="FangSong" w:eastAsia="FangSong" w:hAnsi="FangSong" w:cs="FangSong"/>
              <w:spacing w:val="-45"/>
              <w:sz w:val="24"/>
              <w:szCs w:val="24"/>
            </w:rPr>
            <w:t xml:space="preserve"> </w:t>
          </w:r>
          <w:r>
            <w:rPr>
              <w:rFonts w:ascii="FangSong" w:eastAsia="FangSong" w:hAnsi="FangSong" w:cs="FangSong"/>
              <w:sz w:val="24"/>
              <w:szCs w:val="24"/>
            </w:rPr>
            <w:tab/>
          </w:r>
          <w:r>
            <w:rPr>
              <w:spacing w:val="23"/>
              <w:sz w:val="24"/>
              <w:szCs w:val="24"/>
            </w:rPr>
            <w:t>4</w:t>
          </w:r>
          <w:r>
            <w:fldChar w:fldCharType="end"/>
          </w:r>
        </w:p>
        <w:p>
          <w:pPr>
            <w:pStyle w:val="BodyText"/>
            <w:tabs>
              <w:tab w:val="right" w:leader="dot" w:pos="8315"/>
            </w:tabs>
            <w:spacing w:before="56" w:line="197" w:lineRule="auto"/>
            <w:ind w:left="460"/>
            <w:rPr>
              <w:sz w:val="24"/>
              <w:szCs w:val="24"/>
            </w:rPr>
          </w:pPr>
          <w:r>
            <w:fldChar w:fldCharType="begin"/>
          </w:r>
          <w:r>
            <w:instrText xml:space="preserve"> HYPERLINK \l "bookmark4" </w:instrText>
          </w:r>
          <w:r>
            <w:fldChar w:fldCharType="separate"/>
          </w:r>
          <w:r>
            <w:rPr>
              <w:spacing w:val="-9"/>
              <w:sz w:val="24"/>
              <w:szCs w:val="24"/>
            </w:rPr>
            <w:t>1.3</w:t>
          </w:r>
          <w:r>
            <w:rPr>
              <w:spacing w:val="13"/>
              <w:sz w:val="24"/>
              <w:szCs w:val="24"/>
            </w:rPr>
            <w:t xml:space="preserve"> </w:t>
          </w:r>
          <w:r>
            <w:rPr>
              <w:rFonts w:ascii="FangSong" w:eastAsia="FangSong" w:hAnsi="FangSong" w:cs="FangSong"/>
              <w:spacing w:val="-9"/>
              <w:sz w:val="24"/>
              <w:szCs w:val="24"/>
            </w:rPr>
            <w:t>职责</w:t>
          </w:r>
          <w:r>
            <w:rPr>
              <w:rFonts w:ascii="FangSong" w:eastAsia="FangSong" w:hAnsi="FangSong" w:cs="FangSong"/>
              <w:spacing w:val="-36"/>
              <w:sz w:val="24"/>
              <w:szCs w:val="24"/>
            </w:rPr>
            <w:t xml:space="preserve"> </w:t>
          </w:r>
          <w:r>
            <w:rPr>
              <w:rFonts w:ascii="FangSong" w:eastAsia="FangSong" w:hAnsi="FangSong" w:cs="FangSong"/>
              <w:sz w:val="24"/>
              <w:szCs w:val="24"/>
            </w:rPr>
            <w:tab/>
          </w:r>
          <w:r>
            <w:rPr>
              <w:spacing w:val="22"/>
              <w:sz w:val="24"/>
              <w:szCs w:val="24"/>
            </w:rPr>
            <w:t>4</w:t>
          </w:r>
          <w:r>
            <w:fldChar w:fldCharType="end"/>
          </w:r>
        </w:p>
        <w:p>
          <w:pPr>
            <w:pStyle w:val="BodyText"/>
            <w:tabs>
              <w:tab w:val="right" w:leader="dot" w:pos="8315"/>
            </w:tabs>
            <w:spacing w:before="56" w:line="197" w:lineRule="auto"/>
            <w:ind w:left="20"/>
            <w:rPr>
              <w:sz w:val="24"/>
              <w:szCs w:val="24"/>
            </w:rPr>
          </w:pPr>
          <w:r>
            <w:fldChar w:fldCharType="begin"/>
          </w:r>
          <w:r>
            <w:instrText xml:space="preserve"> HYPERLINK \l "bookmark5" </w:instrText>
          </w:r>
          <w:r>
            <w:fldChar w:fldCharType="separate"/>
          </w:r>
          <w:r>
            <w:rPr>
              <w:b/>
              <w:bCs/>
              <w:spacing w:val="-2"/>
              <w:sz w:val="24"/>
              <w:szCs w:val="24"/>
            </w:rPr>
            <w:t>2.</w:t>
          </w:r>
          <w:r>
            <w:rPr>
              <w:rFonts w:ascii="FangSong" w:eastAsia="FangSong" w:hAnsi="FangSong" w:cs="FangSong"/>
              <w:b/>
              <w:bCs/>
              <w:spacing w:val="-2"/>
              <w:sz w:val="24"/>
              <w:szCs w:val="24"/>
            </w:rPr>
            <w:t>制定年度内审计划</w:t>
          </w:r>
          <w:r>
            <w:rPr>
              <w:rFonts w:ascii="FangSong" w:eastAsia="FangSong" w:hAnsi="FangSong" w:cs="FangSong"/>
              <w:spacing w:val="-61"/>
              <w:sz w:val="24"/>
              <w:szCs w:val="24"/>
            </w:rPr>
            <w:t xml:space="preserve"> </w:t>
          </w:r>
          <w:r>
            <w:rPr>
              <w:rFonts w:ascii="FangSong" w:eastAsia="FangSong" w:hAnsi="FangSong" w:cs="FangSong"/>
              <w:sz w:val="24"/>
              <w:szCs w:val="24"/>
            </w:rPr>
            <w:tab/>
          </w:r>
          <w:r>
            <w:rPr>
              <w:spacing w:val="23"/>
              <w:sz w:val="24"/>
              <w:szCs w:val="24"/>
            </w:rPr>
            <w:t>4</w:t>
          </w:r>
          <w:r>
            <w:fldChar w:fldCharType="end"/>
          </w:r>
        </w:p>
        <w:p>
          <w:pPr>
            <w:pStyle w:val="BodyText"/>
            <w:tabs>
              <w:tab w:val="right" w:leader="dot" w:pos="8315"/>
            </w:tabs>
            <w:spacing w:before="56" w:line="197" w:lineRule="auto"/>
            <w:ind w:left="23"/>
            <w:rPr>
              <w:sz w:val="24"/>
              <w:szCs w:val="24"/>
            </w:rPr>
          </w:pPr>
          <w:r>
            <w:fldChar w:fldCharType="begin"/>
          </w:r>
          <w:r>
            <w:instrText xml:space="preserve"> HYPERLINK \l "bookmark6" </w:instrText>
          </w:r>
          <w:r>
            <w:fldChar w:fldCharType="separate"/>
          </w:r>
          <w:r>
            <w:rPr>
              <w:b/>
              <w:bCs/>
              <w:spacing w:val="-3"/>
              <w:sz w:val="24"/>
              <w:szCs w:val="24"/>
            </w:rPr>
            <w:t>3.</w:t>
          </w:r>
          <w:r>
            <w:rPr>
              <w:rFonts w:ascii="FangSong" w:eastAsia="FangSong" w:hAnsi="FangSong" w:cs="FangSong"/>
              <w:b/>
              <w:bCs/>
              <w:spacing w:val="-3"/>
              <w:sz w:val="24"/>
              <w:szCs w:val="24"/>
            </w:rPr>
            <w:t>内审流程</w:t>
          </w:r>
          <w:r>
            <w:rPr>
              <w:rFonts w:ascii="FangSong" w:eastAsia="FangSong" w:hAnsi="FangSong" w:cs="FangSong"/>
              <w:spacing w:val="-37"/>
              <w:sz w:val="24"/>
              <w:szCs w:val="24"/>
            </w:rPr>
            <w:t xml:space="preserve"> </w:t>
          </w:r>
          <w:r>
            <w:rPr>
              <w:rFonts w:ascii="FangSong" w:eastAsia="FangSong" w:hAnsi="FangSong" w:cs="FangSong"/>
              <w:sz w:val="24"/>
              <w:szCs w:val="24"/>
            </w:rPr>
            <w:tab/>
          </w:r>
          <w:r>
            <w:rPr>
              <w:spacing w:val="22"/>
              <w:sz w:val="24"/>
              <w:szCs w:val="24"/>
            </w:rPr>
            <w:t>5</w:t>
          </w:r>
          <w:r>
            <w:fldChar w:fldCharType="end"/>
          </w:r>
        </w:p>
        <w:p>
          <w:pPr>
            <w:pStyle w:val="BodyText"/>
            <w:tabs>
              <w:tab w:val="right" w:leader="dot" w:pos="8315"/>
            </w:tabs>
            <w:spacing w:before="56" w:line="197" w:lineRule="auto"/>
            <w:ind w:left="444"/>
            <w:rPr>
              <w:sz w:val="24"/>
              <w:szCs w:val="24"/>
            </w:rPr>
          </w:pPr>
          <w:r>
            <w:fldChar w:fldCharType="begin"/>
          </w:r>
          <w:r>
            <w:instrText xml:space="preserve"> HYPERLINK \l "bookmark7" </w:instrText>
          </w:r>
          <w:r>
            <w:fldChar w:fldCharType="separate"/>
          </w:r>
          <w:r>
            <w:rPr>
              <w:spacing w:val="-5"/>
              <w:sz w:val="24"/>
              <w:szCs w:val="24"/>
            </w:rPr>
            <w:t>3.1</w:t>
          </w:r>
          <w:r>
            <w:rPr>
              <w:spacing w:val="19"/>
              <w:sz w:val="24"/>
              <w:szCs w:val="24"/>
            </w:rPr>
            <w:t xml:space="preserve"> </w:t>
          </w:r>
          <w:r>
            <w:rPr>
              <w:rFonts w:ascii="FangSong" w:eastAsia="FangSong" w:hAnsi="FangSong" w:cs="FangSong"/>
              <w:spacing w:val="-5"/>
              <w:sz w:val="24"/>
              <w:szCs w:val="24"/>
            </w:rPr>
            <w:t>启动内审</w:t>
          </w:r>
          <w:r>
            <w:rPr>
              <w:rFonts w:ascii="FangSong" w:eastAsia="FangSong" w:hAnsi="FangSong" w:cs="FangSong"/>
              <w:spacing w:val="-45"/>
              <w:sz w:val="24"/>
              <w:szCs w:val="24"/>
            </w:rPr>
            <w:t xml:space="preserve"> </w:t>
          </w:r>
          <w:r>
            <w:rPr>
              <w:rFonts w:ascii="FangSong" w:eastAsia="FangSong" w:hAnsi="FangSong" w:cs="FangSong"/>
              <w:sz w:val="24"/>
              <w:szCs w:val="24"/>
            </w:rPr>
            <w:tab/>
          </w:r>
          <w:r>
            <w:rPr>
              <w:spacing w:val="23"/>
              <w:sz w:val="24"/>
              <w:szCs w:val="24"/>
            </w:rPr>
            <w:t>5</w:t>
          </w:r>
          <w:r>
            <w:fldChar w:fldCharType="end"/>
          </w:r>
        </w:p>
        <w:p>
          <w:pPr>
            <w:pStyle w:val="BodyText"/>
            <w:tabs>
              <w:tab w:val="right" w:leader="dot" w:pos="8315"/>
            </w:tabs>
            <w:spacing w:before="56" w:line="197" w:lineRule="auto"/>
            <w:ind w:left="864"/>
            <w:rPr>
              <w:sz w:val="24"/>
              <w:szCs w:val="24"/>
            </w:rPr>
          </w:pPr>
          <w:r>
            <w:fldChar w:fldCharType="begin"/>
          </w:r>
          <w:r>
            <w:instrText xml:space="preserve"> HYPERLINK \l "bookmark8" </w:instrText>
          </w:r>
          <w:r>
            <w:fldChar w:fldCharType="separate"/>
          </w:r>
          <w:r>
            <w:rPr>
              <w:spacing w:val="-2"/>
              <w:sz w:val="24"/>
              <w:szCs w:val="24"/>
            </w:rPr>
            <w:t xml:space="preserve">3.1.1 </w:t>
          </w:r>
          <w:r>
            <w:rPr>
              <w:rFonts w:ascii="FangSong" w:eastAsia="FangSong" w:hAnsi="FangSong" w:cs="FangSong"/>
              <w:spacing w:val="-2"/>
              <w:sz w:val="24"/>
              <w:szCs w:val="24"/>
            </w:rPr>
            <w:t>确定内审组成员</w:t>
          </w:r>
          <w:r>
            <w:rPr>
              <w:rFonts w:ascii="FangSong" w:eastAsia="FangSong" w:hAnsi="FangSong" w:cs="FangSong"/>
              <w:spacing w:val="-31"/>
              <w:sz w:val="24"/>
              <w:szCs w:val="24"/>
            </w:rPr>
            <w:t xml:space="preserve"> </w:t>
          </w:r>
          <w:r>
            <w:rPr>
              <w:rFonts w:ascii="FangSong" w:eastAsia="FangSong" w:hAnsi="FangSong" w:cs="FangSong"/>
              <w:sz w:val="24"/>
              <w:szCs w:val="24"/>
            </w:rPr>
            <w:tab/>
          </w:r>
          <w:r>
            <w:rPr>
              <w:spacing w:val="22"/>
              <w:sz w:val="24"/>
              <w:szCs w:val="24"/>
            </w:rPr>
            <w:t>5</w:t>
          </w:r>
          <w:r>
            <w:fldChar w:fldCharType="end"/>
          </w:r>
        </w:p>
        <w:p>
          <w:pPr>
            <w:pStyle w:val="BodyText"/>
            <w:tabs>
              <w:tab w:val="right" w:leader="dot" w:pos="8315"/>
            </w:tabs>
            <w:spacing w:before="56" w:line="197" w:lineRule="auto"/>
            <w:ind w:left="864"/>
            <w:rPr>
              <w:sz w:val="24"/>
              <w:szCs w:val="24"/>
            </w:rPr>
          </w:pPr>
          <w:r>
            <w:fldChar w:fldCharType="begin"/>
          </w:r>
          <w:r>
            <w:instrText xml:space="preserve"> HYPERLINK \l "bookmark9" </w:instrText>
          </w:r>
          <w:r>
            <w:fldChar w:fldCharType="separate"/>
          </w:r>
          <w:r>
            <w:rPr>
              <w:spacing w:val="-2"/>
              <w:sz w:val="24"/>
              <w:szCs w:val="24"/>
            </w:rPr>
            <w:t xml:space="preserve">3.1.2 </w:t>
          </w:r>
          <w:r>
            <w:rPr>
              <w:rFonts w:ascii="FangSong" w:eastAsia="FangSong" w:hAnsi="FangSong" w:cs="FangSong"/>
              <w:spacing w:val="-2"/>
              <w:sz w:val="24"/>
              <w:szCs w:val="24"/>
            </w:rPr>
            <w:t>准备内审计划</w:t>
          </w:r>
          <w:r>
            <w:rPr>
              <w:rFonts w:ascii="FangSong" w:eastAsia="FangSong" w:hAnsi="FangSong" w:cs="FangSong"/>
              <w:sz w:val="24"/>
              <w:szCs w:val="24"/>
            </w:rPr>
            <w:tab/>
          </w:r>
          <w:r>
            <w:rPr>
              <w:spacing w:val="22"/>
              <w:sz w:val="24"/>
              <w:szCs w:val="24"/>
            </w:rPr>
            <w:t>5</w:t>
          </w:r>
          <w:r>
            <w:fldChar w:fldCharType="end"/>
          </w:r>
        </w:p>
        <w:p>
          <w:pPr>
            <w:pStyle w:val="BodyText"/>
            <w:tabs>
              <w:tab w:val="right" w:leader="dot" w:pos="8315"/>
            </w:tabs>
            <w:spacing w:before="56" w:line="197" w:lineRule="auto"/>
            <w:ind w:left="864"/>
            <w:rPr>
              <w:sz w:val="24"/>
              <w:szCs w:val="24"/>
            </w:rPr>
          </w:pPr>
          <w:r>
            <w:fldChar w:fldCharType="begin"/>
          </w:r>
          <w:r>
            <w:instrText xml:space="preserve"> HYPERLINK \l "bookmark10" </w:instrText>
          </w:r>
          <w:r>
            <w:fldChar w:fldCharType="separate"/>
          </w:r>
          <w:r>
            <w:rPr>
              <w:spacing w:val="-2"/>
              <w:sz w:val="24"/>
              <w:szCs w:val="24"/>
            </w:rPr>
            <w:t xml:space="preserve">3.1.3 </w:t>
          </w:r>
          <w:r>
            <w:rPr>
              <w:rFonts w:ascii="FangSong" w:eastAsia="FangSong" w:hAnsi="FangSong" w:cs="FangSong"/>
              <w:spacing w:val="-2"/>
              <w:sz w:val="24"/>
              <w:szCs w:val="24"/>
            </w:rPr>
            <w:t>通知被审核部门</w:t>
          </w:r>
          <w:r>
            <w:rPr>
              <w:rFonts w:ascii="FangSong" w:eastAsia="FangSong" w:hAnsi="FangSong" w:cs="FangSong"/>
              <w:spacing w:val="-31"/>
              <w:sz w:val="24"/>
              <w:szCs w:val="24"/>
            </w:rPr>
            <w:t xml:space="preserve"> </w:t>
          </w:r>
          <w:r>
            <w:rPr>
              <w:rFonts w:ascii="FangSong" w:eastAsia="FangSong" w:hAnsi="FangSong" w:cs="FangSong"/>
              <w:sz w:val="24"/>
              <w:szCs w:val="24"/>
            </w:rPr>
            <w:tab/>
          </w:r>
          <w:r>
            <w:rPr>
              <w:spacing w:val="22"/>
              <w:sz w:val="24"/>
              <w:szCs w:val="24"/>
            </w:rPr>
            <w:t>5</w:t>
          </w:r>
          <w:r>
            <w:fldChar w:fldCharType="end"/>
          </w:r>
        </w:p>
        <w:p>
          <w:pPr>
            <w:pStyle w:val="BodyText"/>
            <w:tabs>
              <w:tab w:val="right" w:leader="dot" w:pos="8315"/>
            </w:tabs>
            <w:spacing w:before="56" w:line="197" w:lineRule="auto"/>
            <w:ind w:left="864"/>
            <w:rPr>
              <w:sz w:val="24"/>
              <w:szCs w:val="24"/>
            </w:rPr>
          </w:pPr>
          <w:r>
            <w:fldChar w:fldCharType="begin"/>
          </w:r>
          <w:r>
            <w:instrText xml:space="preserve"> HYPERLINK \l "bookmark11" </w:instrText>
          </w:r>
          <w:r>
            <w:fldChar w:fldCharType="separate"/>
          </w:r>
          <w:r>
            <w:rPr>
              <w:spacing w:val="-2"/>
              <w:sz w:val="24"/>
              <w:szCs w:val="24"/>
            </w:rPr>
            <w:t xml:space="preserve">3.1.4 </w:t>
          </w:r>
          <w:r>
            <w:rPr>
              <w:rFonts w:ascii="FangSong" w:eastAsia="FangSong" w:hAnsi="FangSong" w:cs="FangSong"/>
              <w:spacing w:val="-2"/>
              <w:sz w:val="24"/>
              <w:szCs w:val="24"/>
            </w:rPr>
            <w:t>被审核部门回复</w:t>
          </w:r>
          <w:r>
            <w:rPr>
              <w:rFonts w:ascii="FangSong" w:eastAsia="FangSong" w:hAnsi="FangSong" w:cs="FangSong"/>
              <w:spacing w:val="-31"/>
              <w:sz w:val="24"/>
              <w:szCs w:val="24"/>
            </w:rPr>
            <w:t xml:space="preserve"> </w:t>
          </w:r>
          <w:r>
            <w:rPr>
              <w:rFonts w:ascii="FangSong" w:eastAsia="FangSong" w:hAnsi="FangSong" w:cs="FangSong"/>
              <w:sz w:val="24"/>
              <w:szCs w:val="24"/>
            </w:rPr>
            <w:tab/>
          </w:r>
          <w:r>
            <w:rPr>
              <w:spacing w:val="22"/>
              <w:sz w:val="24"/>
              <w:szCs w:val="24"/>
            </w:rPr>
            <w:t>5</w:t>
          </w:r>
          <w:r>
            <w:fldChar w:fldCharType="end"/>
          </w:r>
        </w:p>
        <w:p>
          <w:pPr>
            <w:pStyle w:val="BodyText"/>
            <w:tabs>
              <w:tab w:val="right" w:leader="dot" w:pos="8315"/>
            </w:tabs>
            <w:spacing w:before="56" w:line="197" w:lineRule="auto"/>
            <w:ind w:left="550"/>
            <w:rPr>
              <w:sz w:val="24"/>
              <w:szCs w:val="24"/>
            </w:rPr>
          </w:pPr>
          <w:r>
            <w:fldChar w:fldCharType="begin"/>
          </w:r>
          <w:r>
            <w:instrText xml:space="preserve"> HYPERLINK \l "bookmark12" </w:instrText>
          </w:r>
          <w:r>
            <w:fldChar w:fldCharType="separate"/>
          </w:r>
          <w:r>
            <w:rPr>
              <w:spacing w:val="-3"/>
              <w:sz w:val="24"/>
              <w:szCs w:val="24"/>
            </w:rPr>
            <w:t xml:space="preserve">3.2  </w:t>
          </w:r>
          <w:r>
            <w:rPr>
              <w:rFonts w:ascii="FangSong" w:eastAsia="FangSong" w:hAnsi="FangSong" w:cs="FangSong"/>
              <w:spacing w:val="-3"/>
              <w:sz w:val="24"/>
              <w:szCs w:val="24"/>
            </w:rPr>
            <w:t>实施内审</w:t>
          </w:r>
          <w:r>
            <w:rPr>
              <w:rFonts w:ascii="FangSong" w:eastAsia="FangSong" w:hAnsi="FangSong" w:cs="FangSong"/>
              <w:sz w:val="24"/>
              <w:szCs w:val="24"/>
            </w:rPr>
            <w:tab/>
          </w:r>
          <w:r>
            <w:rPr>
              <w:spacing w:val="23"/>
              <w:sz w:val="24"/>
              <w:szCs w:val="24"/>
            </w:rPr>
            <w:t>5</w:t>
          </w:r>
          <w:r>
            <w:fldChar w:fldCharType="end"/>
          </w:r>
        </w:p>
        <w:p>
          <w:pPr>
            <w:pStyle w:val="BodyText"/>
            <w:tabs>
              <w:tab w:val="right" w:leader="dot" w:pos="8315"/>
            </w:tabs>
            <w:spacing w:before="56" w:line="197" w:lineRule="auto"/>
            <w:ind w:left="864"/>
            <w:rPr>
              <w:sz w:val="24"/>
              <w:szCs w:val="24"/>
            </w:rPr>
          </w:pPr>
          <w:r>
            <w:fldChar w:fldCharType="begin"/>
          </w:r>
          <w:r>
            <w:instrText xml:space="preserve"> HYPERLINK \l "bookmark13" </w:instrText>
          </w:r>
          <w:r>
            <w:fldChar w:fldCharType="separate"/>
          </w:r>
          <w:r>
            <w:rPr>
              <w:spacing w:val="-4"/>
              <w:sz w:val="24"/>
              <w:szCs w:val="24"/>
            </w:rPr>
            <w:t>3.2.1</w:t>
          </w:r>
          <w:r>
            <w:rPr>
              <w:spacing w:val="19"/>
              <w:sz w:val="24"/>
              <w:szCs w:val="24"/>
            </w:rPr>
            <w:t xml:space="preserve"> </w:t>
          </w:r>
          <w:r>
            <w:rPr>
              <w:rFonts w:ascii="FangSong" w:eastAsia="FangSong" w:hAnsi="FangSong" w:cs="FangSong"/>
              <w:spacing w:val="-4"/>
              <w:sz w:val="24"/>
              <w:szCs w:val="24"/>
            </w:rPr>
            <w:t>首次会议</w:t>
          </w:r>
          <w:r>
            <w:rPr>
              <w:rFonts w:ascii="FangSong" w:eastAsia="FangSong" w:hAnsi="FangSong" w:cs="FangSong"/>
              <w:spacing w:val="-59"/>
              <w:sz w:val="24"/>
              <w:szCs w:val="24"/>
            </w:rPr>
            <w:t xml:space="preserve"> </w:t>
          </w:r>
          <w:r>
            <w:rPr>
              <w:rFonts w:ascii="FangSong" w:eastAsia="FangSong" w:hAnsi="FangSong" w:cs="FangSong"/>
              <w:sz w:val="24"/>
              <w:szCs w:val="24"/>
            </w:rPr>
            <w:tab/>
          </w:r>
          <w:r>
            <w:fldChar w:fldCharType="end"/>
          </w:r>
          <w:r>
            <w:rPr>
              <w:spacing w:val="23"/>
              <w:sz w:val="24"/>
              <w:szCs w:val="24"/>
            </w:rPr>
            <w:t>5</w:t>
          </w:r>
        </w:p>
        <w:p>
          <w:pPr>
            <w:pStyle w:val="BodyText"/>
            <w:tabs>
              <w:tab w:val="right" w:leader="dot" w:pos="8315"/>
            </w:tabs>
            <w:spacing w:before="56" w:line="197" w:lineRule="auto"/>
            <w:ind w:left="864"/>
            <w:rPr>
              <w:sz w:val="24"/>
              <w:szCs w:val="24"/>
            </w:rPr>
          </w:pPr>
          <w:r>
            <w:fldChar w:fldCharType="begin"/>
          </w:r>
          <w:r>
            <w:instrText xml:space="preserve"> HYPERLINK \l "bookmark14" </w:instrText>
          </w:r>
          <w:r>
            <w:fldChar w:fldCharType="separate"/>
          </w:r>
          <w:r>
            <w:rPr>
              <w:spacing w:val="-2"/>
              <w:sz w:val="24"/>
              <w:szCs w:val="24"/>
            </w:rPr>
            <w:t xml:space="preserve">3.2.2 </w:t>
          </w:r>
          <w:r>
            <w:rPr>
              <w:rFonts w:ascii="FangSong" w:eastAsia="FangSong" w:hAnsi="FangSong" w:cs="FangSong"/>
              <w:spacing w:val="-2"/>
              <w:sz w:val="24"/>
              <w:szCs w:val="24"/>
            </w:rPr>
            <w:t>执行内审</w:t>
          </w:r>
          <w:r>
            <w:rPr>
              <w:rFonts w:ascii="FangSong" w:eastAsia="FangSong" w:hAnsi="FangSong" w:cs="FangSong"/>
              <w:spacing w:val="-56"/>
              <w:sz w:val="24"/>
              <w:szCs w:val="24"/>
            </w:rPr>
            <w:t xml:space="preserve"> </w:t>
          </w:r>
          <w:r>
            <w:rPr>
              <w:rFonts w:ascii="FangSong" w:eastAsia="FangSong" w:hAnsi="FangSong" w:cs="FangSong"/>
              <w:sz w:val="24"/>
              <w:szCs w:val="24"/>
            </w:rPr>
            <w:tab/>
          </w:r>
          <w:r>
            <w:fldChar w:fldCharType="end"/>
          </w:r>
          <w:r>
            <w:rPr>
              <w:spacing w:val="23"/>
              <w:sz w:val="24"/>
              <w:szCs w:val="24"/>
            </w:rPr>
            <w:t>5</w:t>
          </w:r>
        </w:p>
        <w:p>
          <w:pPr>
            <w:pStyle w:val="BodyText"/>
            <w:tabs>
              <w:tab w:val="right" w:leader="dot" w:pos="8315"/>
            </w:tabs>
            <w:spacing w:before="56" w:line="197" w:lineRule="auto"/>
            <w:ind w:left="864"/>
            <w:rPr>
              <w:sz w:val="24"/>
              <w:szCs w:val="24"/>
            </w:rPr>
          </w:pPr>
          <w:r>
            <w:fldChar w:fldCharType="begin"/>
          </w:r>
          <w:r>
            <w:instrText xml:space="preserve"> HYPERLINK \l "bookmark15" </w:instrText>
          </w:r>
          <w:r>
            <w:fldChar w:fldCharType="separate"/>
          </w:r>
          <w:r>
            <w:rPr>
              <w:spacing w:val="-6"/>
              <w:sz w:val="24"/>
              <w:szCs w:val="24"/>
            </w:rPr>
            <w:t>3.2.3</w:t>
          </w:r>
          <w:r>
            <w:rPr>
              <w:spacing w:val="43"/>
              <w:sz w:val="24"/>
              <w:szCs w:val="24"/>
            </w:rPr>
            <w:t xml:space="preserve"> </w:t>
          </w:r>
          <w:r>
            <w:rPr>
              <w:rFonts w:ascii="FangSong" w:eastAsia="FangSong" w:hAnsi="FangSong" w:cs="FangSong"/>
              <w:spacing w:val="-6"/>
              <w:sz w:val="24"/>
              <w:szCs w:val="24"/>
            </w:rPr>
            <w:t>内审组会议</w:t>
          </w:r>
          <w:r>
            <w:rPr>
              <w:rFonts w:ascii="FangSong" w:eastAsia="FangSong" w:hAnsi="FangSong" w:cs="FangSong"/>
              <w:sz w:val="24"/>
              <w:szCs w:val="24"/>
            </w:rPr>
            <w:tab/>
          </w:r>
          <w:r>
            <w:fldChar w:fldCharType="end"/>
          </w:r>
          <w:r>
            <w:rPr>
              <w:spacing w:val="23"/>
              <w:sz w:val="24"/>
              <w:szCs w:val="24"/>
            </w:rPr>
            <w:t>5</w:t>
          </w:r>
        </w:p>
        <w:p>
          <w:pPr>
            <w:pStyle w:val="BodyText"/>
            <w:tabs>
              <w:tab w:val="right" w:leader="dot" w:pos="8315"/>
            </w:tabs>
            <w:spacing w:before="56" w:line="197" w:lineRule="auto"/>
            <w:ind w:left="864"/>
            <w:rPr>
              <w:sz w:val="24"/>
              <w:szCs w:val="24"/>
            </w:rPr>
          </w:pPr>
          <w:r>
            <w:fldChar w:fldCharType="begin"/>
          </w:r>
          <w:r>
            <w:instrText xml:space="preserve"> HYPERLINK \l "bookmark16" </w:instrText>
          </w:r>
          <w:r>
            <w:fldChar w:fldCharType="separate"/>
          </w:r>
          <w:r>
            <w:rPr>
              <w:spacing w:val="-2"/>
              <w:sz w:val="24"/>
              <w:szCs w:val="24"/>
            </w:rPr>
            <w:t xml:space="preserve">3.2.4 </w:t>
          </w:r>
          <w:r>
            <w:rPr>
              <w:rFonts w:ascii="FangSong" w:eastAsia="FangSong" w:hAnsi="FangSong" w:cs="FangSong"/>
              <w:spacing w:val="-2"/>
              <w:sz w:val="24"/>
              <w:szCs w:val="24"/>
            </w:rPr>
            <w:t>末次会议</w:t>
          </w:r>
          <w:r>
            <w:rPr>
              <w:rFonts w:ascii="FangSong" w:eastAsia="FangSong" w:hAnsi="FangSong" w:cs="FangSong"/>
              <w:spacing w:val="-56"/>
              <w:sz w:val="24"/>
              <w:szCs w:val="24"/>
            </w:rPr>
            <w:t xml:space="preserve"> </w:t>
          </w:r>
          <w:r>
            <w:rPr>
              <w:rFonts w:ascii="FangSong" w:eastAsia="FangSong" w:hAnsi="FangSong" w:cs="FangSong"/>
              <w:sz w:val="24"/>
              <w:szCs w:val="24"/>
            </w:rPr>
            <w:tab/>
          </w:r>
          <w:r>
            <w:fldChar w:fldCharType="end"/>
          </w:r>
          <w:r>
            <w:rPr>
              <w:spacing w:val="23"/>
              <w:sz w:val="24"/>
              <w:szCs w:val="24"/>
            </w:rPr>
            <w:t>5</w:t>
          </w:r>
        </w:p>
        <w:p>
          <w:pPr>
            <w:pStyle w:val="BodyText"/>
            <w:tabs>
              <w:tab w:val="right" w:leader="dot" w:pos="8315"/>
            </w:tabs>
            <w:spacing w:before="55" w:line="197" w:lineRule="auto"/>
            <w:ind w:left="444"/>
            <w:rPr>
              <w:sz w:val="24"/>
              <w:szCs w:val="24"/>
            </w:rPr>
          </w:pPr>
          <w:r>
            <w:fldChar w:fldCharType="begin"/>
          </w:r>
          <w:r>
            <w:instrText xml:space="preserve"> HYPERLINK \l "bookmark17" </w:instrText>
          </w:r>
          <w:r>
            <w:fldChar w:fldCharType="separate"/>
          </w:r>
          <w:r>
            <w:rPr>
              <w:spacing w:val="-3"/>
              <w:sz w:val="24"/>
              <w:szCs w:val="24"/>
            </w:rPr>
            <w:t xml:space="preserve">3.3  </w:t>
          </w:r>
          <w:r>
            <w:rPr>
              <w:rFonts w:ascii="FangSong" w:eastAsia="FangSong" w:hAnsi="FangSong" w:cs="FangSong"/>
              <w:spacing w:val="-3"/>
              <w:sz w:val="24"/>
              <w:szCs w:val="24"/>
            </w:rPr>
            <w:t>结束审核</w:t>
          </w:r>
          <w:r>
            <w:rPr>
              <w:rFonts w:ascii="FangSong" w:eastAsia="FangSong" w:hAnsi="FangSong" w:cs="FangSong"/>
              <w:spacing w:val="-34"/>
              <w:sz w:val="24"/>
              <w:szCs w:val="24"/>
            </w:rPr>
            <w:t xml:space="preserve"> </w:t>
          </w:r>
          <w:r>
            <w:rPr>
              <w:rFonts w:ascii="FangSong" w:eastAsia="FangSong" w:hAnsi="FangSong" w:cs="FangSong"/>
              <w:sz w:val="24"/>
              <w:szCs w:val="24"/>
            </w:rPr>
            <w:tab/>
          </w:r>
          <w:r>
            <w:rPr>
              <w:spacing w:val="23"/>
              <w:sz w:val="24"/>
              <w:szCs w:val="24"/>
            </w:rPr>
            <w:t>6</w:t>
          </w:r>
          <w:r>
            <w:fldChar w:fldCharType="end"/>
          </w:r>
        </w:p>
        <w:p>
          <w:pPr>
            <w:pStyle w:val="BodyText"/>
            <w:tabs>
              <w:tab w:val="right" w:leader="dot" w:pos="8315"/>
            </w:tabs>
            <w:spacing w:before="56" w:line="197" w:lineRule="auto"/>
            <w:ind w:left="19"/>
            <w:rPr>
              <w:sz w:val="24"/>
              <w:szCs w:val="24"/>
            </w:rPr>
          </w:pPr>
          <w:r>
            <w:fldChar w:fldCharType="begin"/>
          </w:r>
          <w:r>
            <w:instrText xml:space="preserve"> HYPERLINK \l "bookmark18" </w:instrText>
          </w:r>
          <w:r>
            <w:fldChar w:fldCharType="separate"/>
          </w:r>
          <w:r>
            <w:rPr>
              <w:b/>
              <w:bCs/>
              <w:spacing w:val="-2"/>
              <w:sz w:val="24"/>
              <w:szCs w:val="24"/>
            </w:rPr>
            <w:t>4.</w:t>
          </w:r>
          <w:r>
            <w:rPr>
              <w:rFonts w:ascii="FangSong" w:eastAsia="FangSong" w:hAnsi="FangSong" w:cs="FangSong"/>
              <w:b/>
              <w:bCs/>
              <w:spacing w:val="-2"/>
              <w:sz w:val="24"/>
              <w:szCs w:val="24"/>
            </w:rPr>
            <w:t>内审员要求</w:t>
          </w:r>
          <w:r>
            <w:rPr>
              <w:rFonts w:ascii="FangSong" w:eastAsia="FangSong" w:hAnsi="FangSong" w:cs="FangSong"/>
              <w:b/>
              <w:bCs/>
              <w:sz w:val="24"/>
              <w:szCs w:val="24"/>
            </w:rPr>
            <w:tab/>
          </w:r>
          <w:r>
            <w:rPr>
              <w:spacing w:val="22"/>
              <w:sz w:val="24"/>
              <w:szCs w:val="24"/>
            </w:rPr>
            <w:t>6</w:t>
          </w:r>
          <w:r>
            <w:fldChar w:fldCharType="end"/>
          </w:r>
        </w:p>
        <w:p>
          <w:pPr>
            <w:pStyle w:val="BodyText"/>
            <w:tabs>
              <w:tab w:val="right" w:leader="dot" w:pos="8315"/>
            </w:tabs>
            <w:spacing w:before="56" w:line="230" w:lineRule="auto"/>
            <w:ind w:left="25"/>
            <w:rPr>
              <w:sz w:val="24"/>
              <w:szCs w:val="24"/>
            </w:rPr>
          </w:pPr>
          <w:r>
            <w:fldChar w:fldCharType="begin"/>
          </w:r>
          <w:r>
            <w:instrText xml:space="preserve"> HYPERLINK \l "bookmark19" </w:instrText>
          </w:r>
          <w:r>
            <w:fldChar w:fldCharType="separate"/>
          </w:r>
          <w:r>
            <w:rPr>
              <w:b/>
              <w:bCs/>
              <w:spacing w:val="-3"/>
              <w:sz w:val="24"/>
              <w:szCs w:val="24"/>
            </w:rPr>
            <w:t>5.</w:t>
          </w:r>
          <w:r>
            <w:rPr>
              <w:rFonts w:ascii="FangSong" w:eastAsia="FangSong" w:hAnsi="FangSong" w:cs="FangSong"/>
              <w:b/>
              <w:bCs/>
              <w:spacing w:val="-3"/>
              <w:sz w:val="24"/>
              <w:szCs w:val="24"/>
            </w:rPr>
            <w:t>相关文件</w:t>
          </w:r>
          <w:r>
            <w:rPr>
              <w:rFonts w:ascii="FangSong" w:eastAsia="FangSong" w:hAnsi="FangSong" w:cs="FangSong"/>
              <w:spacing w:val="-38"/>
              <w:sz w:val="24"/>
              <w:szCs w:val="24"/>
            </w:rPr>
            <w:t xml:space="preserve"> </w:t>
          </w:r>
          <w:r>
            <w:rPr>
              <w:rFonts w:ascii="FangSong" w:eastAsia="FangSong" w:hAnsi="FangSong" w:cs="FangSong"/>
              <w:sz w:val="24"/>
              <w:szCs w:val="24"/>
            </w:rPr>
            <w:tab/>
          </w:r>
          <w:r>
            <w:rPr>
              <w:spacing w:val="22"/>
              <w:sz w:val="24"/>
              <w:szCs w:val="24"/>
            </w:rPr>
            <w:t>7</w:t>
          </w:r>
          <w:r>
            <w:fldChar w:fldCharType="end"/>
          </w:r>
        </w:p>
      </w:sdtContent>
    </w:sdt>
    <w:p>
      <w:pPr>
        <w:spacing w:line="230" w:lineRule="auto"/>
        <w:rPr>
          <w:sz w:val="24"/>
          <w:szCs w:val="24"/>
        </w:rPr>
        <w:sectPr>
          <w:headerReference w:type="default" r:id="rId8"/>
          <w:footerReference w:type="default" r:id="rId9"/>
          <w:pgSz w:w="11907" w:h="16839"/>
          <w:pgMar w:top="1855" w:right="1785" w:bottom="1711" w:left="1785" w:header="803" w:footer="993" w:gutter="0"/>
          <w:cols w:space="720"/>
        </w:sectPr>
      </w:pPr>
    </w:p>
    <w:p>
      <w:pPr>
        <w:pStyle w:val="BodyText"/>
      </w:pPr>
    </w:p>
    <w:p>
      <w:pPr>
        <w:spacing w:before="101" w:line="238" w:lineRule="auto"/>
        <w:ind w:left="51"/>
        <w:outlineLvl w:val="0"/>
        <w:rPr>
          <w:rFonts w:ascii="SimHei" w:eastAsia="SimHei" w:hAnsi="SimHei" w:cs="SimHei"/>
          <w:sz w:val="31"/>
          <w:szCs w:val="31"/>
        </w:rPr>
      </w:pPr>
      <w:bookmarkStart w:id="0" w:name="bookmark20"/>
      <w:bookmarkEnd w:id="0"/>
      <w:r>
        <w:rPr>
          <w:rFonts w:ascii="Times New Roman" w:eastAsia="Times New Roman" w:hAnsi="Times New Roman" w:cs="Times New Roman"/>
          <w:spacing w:val="-3"/>
          <w:sz w:val="31"/>
          <w:szCs w:val="31"/>
        </w:rPr>
        <w:t>1.</w:t>
      </w:r>
      <w:r>
        <w:rPr>
          <w:rFonts w:ascii="SimHei" w:eastAsia="SimHei" w:hAnsi="SimHei" w:cs="SimHei"/>
          <w:spacing w:val="-3"/>
          <w:sz w:val="31"/>
          <w:szCs w:val="31"/>
        </w:rPr>
        <w:t>概述</w:t>
      </w:r>
    </w:p>
    <w:p>
      <w:pPr>
        <w:pStyle w:val="BodyText"/>
        <w:spacing w:line="351" w:lineRule="auto"/>
      </w:pPr>
    </w:p>
    <w:p>
      <w:pPr>
        <w:pStyle w:val="BodyText"/>
        <w:spacing w:before="91" w:line="235" w:lineRule="auto"/>
        <w:ind w:left="36"/>
        <w:outlineLvl w:val="1"/>
        <w:rPr>
          <w:rFonts w:ascii="FangSong" w:eastAsia="FangSong" w:hAnsi="FangSong" w:cs="FangSong"/>
          <w:sz w:val="28"/>
          <w:szCs w:val="28"/>
        </w:rPr>
      </w:pPr>
      <w:bookmarkStart w:id="1" w:name="bookmark1"/>
      <w:bookmarkEnd w:id="1"/>
      <w:bookmarkStart w:id="2" w:name="bookmark2"/>
      <w:bookmarkEnd w:id="2"/>
      <w:r>
        <w:rPr>
          <w:b/>
          <w:bCs/>
          <w:spacing w:val="-12"/>
          <w:sz w:val="28"/>
          <w:szCs w:val="28"/>
        </w:rPr>
        <w:t>1.1</w:t>
      </w:r>
      <w:r>
        <w:rPr>
          <w:b/>
          <w:bCs/>
          <w:spacing w:val="58"/>
          <w:sz w:val="28"/>
          <w:szCs w:val="28"/>
        </w:rPr>
        <w:t xml:space="preserve"> </w:t>
      </w:r>
      <w:r>
        <w:rPr>
          <w:rFonts w:ascii="FangSong" w:eastAsia="FangSong" w:hAnsi="FangSong" w:cs="FangSong"/>
          <w:b/>
          <w:bCs/>
          <w:spacing w:val="-12"/>
          <w:sz w:val="28"/>
          <w:szCs w:val="28"/>
        </w:rPr>
        <w:t>目的</w:t>
      </w:r>
    </w:p>
    <w:p>
      <w:pPr>
        <w:pStyle w:val="BodyText"/>
        <w:spacing w:line="275" w:lineRule="auto"/>
      </w:pPr>
    </w:p>
    <w:p>
      <w:pPr>
        <w:spacing w:before="78" w:line="216" w:lineRule="auto"/>
        <w:ind w:left="515"/>
        <w:rPr>
          <w:rFonts w:ascii="FangSong" w:eastAsia="FangSong" w:hAnsi="FangSong" w:cs="FangSong"/>
          <w:sz w:val="24"/>
          <w:szCs w:val="24"/>
        </w:rPr>
      </w:pPr>
      <w:r>
        <w:rPr>
          <w:rFonts w:ascii="FangSong" w:eastAsia="FangSong" w:hAnsi="FangSong" w:cs="FangSong"/>
          <w:spacing w:val="-2"/>
          <w:sz w:val="24"/>
          <w:szCs w:val="24"/>
        </w:rPr>
        <w:t>通过规范内部审核机制，确保体系的符合性和有效性，并得到持续改进。</w:t>
      </w:r>
    </w:p>
    <w:p>
      <w:pPr>
        <w:pStyle w:val="BodyText"/>
        <w:spacing w:line="383" w:lineRule="auto"/>
      </w:pPr>
    </w:p>
    <w:p>
      <w:pPr>
        <w:pStyle w:val="BodyText"/>
        <w:spacing w:before="91" w:line="232" w:lineRule="auto"/>
        <w:ind w:left="36"/>
        <w:outlineLvl w:val="1"/>
        <w:rPr>
          <w:rFonts w:ascii="FangSong" w:eastAsia="FangSong" w:hAnsi="FangSong" w:cs="FangSong"/>
          <w:sz w:val="28"/>
          <w:szCs w:val="28"/>
        </w:rPr>
      </w:pPr>
      <w:bookmarkStart w:id="3" w:name="bookmark3"/>
      <w:bookmarkEnd w:id="3"/>
      <w:r>
        <w:rPr>
          <w:b/>
          <w:bCs/>
          <w:spacing w:val="-5"/>
          <w:sz w:val="28"/>
          <w:szCs w:val="28"/>
        </w:rPr>
        <w:t xml:space="preserve">1.2 </w:t>
      </w:r>
      <w:r>
        <w:rPr>
          <w:rFonts w:ascii="FangSong" w:eastAsia="FangSong" w:hAnsi="FangSong" w:cs="FangSong"/>
          <w:b/>
          <w:bCs/>
          <w:spacing w:val="-5"/>
          <w:sz w:val="28"/>
          <w:szCs w:val="28"/>
        </w:rPr>
        <w:t>适用范围</w:t>
      </w:r>
    </w:p>
    <w:p>
      <w:pPr>
        <w:pStyle w:val="BodyText"/>
        <w:spacing w:line="281" w:lineRule="auto"/>
      </w:pPr>
    </w:p>
    <w:p>
      <w:pPr>
        <w:spacing w:before="78" w:line="217" w:lineRule="auto"/>
        <w:ind w:left="509"/>
        <w:rPr>
          <w:rFonts w:ascii="FangSong" w:eastAsia="FangSong" w:hAnsi="FangSong" w:cs="FangSong"/>
          <w:sz w:val="24"/>
          <w:szCs w:val="24"/>
        </w:rPr>
      </w:pPr>
      <w:r>
        <w:rPr>
          <w:rFonts w:ascii="FangSong" w:eastAsia="FangSong" w:hAnsi="FangSong" w:cs="FangSong"/>
          <w:spacing w:val="-3"/>
          <w:sz w:val="24"/>
          <w:szCs w:val="24"/>
        </w:rPr>
        <w:t>适用于本公司运维管理体系内部的审核。</w:t>
      </w:r>
    </w:p>
    <w:p>
      <w:pPr>
        <w:pStyle w:val="BodyText"/>
        <w:spacing w:line="380" w:lineRule="auto"/>
      </w:pPr>
    </w:p>
    <w:p>
      <w:pPr>
        <w:pStyle w:val="BodyText"/>
        <w:spacing w:before="91" w:line="234" w:lineRule="auto"/>
        <w:ind w:left="36"/>
        <w:outlineLvl w:val="1"/>
        <w:rPr>
          <w:rFonts w:ascii="FangSong" w:eastAsia="FangSong" w:hAnsi="FangSong" w:cs="FangSong"/>
          <w:sz w:val="28"/>
          <w:szCs w:val="28"/>
        </w:rPr>
      </w:pPr>
      <w:bookmarkStart w:id="4" w:name="bookmark4"/>
      <w:bookmarkEnd w:id="4"/>
      <w:r>
        <w:rPr>
          <w:b/>
          <w:bCs/>
          <w:spacing w:val="-7"/>
          <w:sz w:val="28"/>
          <w:szCs w:val="28"/>
        </w:rPr>
        <w:t>1.3</w:t>
      </w:r>
      <w:r>
        <w:rPr>
          <w:b/>
          <w:bCs/>
          <w:spacing w:val="8"/>
          <w:sz w:val="28"/>
          <w:szCs w:val="28"/>
        </w:rPr>
        <w:t xml:space="preserve"> </w:t>
      </w:r>
      <w:r>
        <w:rPr>
          <w:rFonts w:ascii="FangSong" w:eastAsia="FangSong" w:hAnsi="FangSong" w:cs="FangSong"/>
          <w:b/>
          <w:bCs/>
          <w:spacing w:val="-7"/>
          <w:sz w:val="28"/>
          <w:szCs w:val="28"/>
        </w:rPr>
        <w:t>职责</w:t>
      </w:r>
    </w:p>
    <w:p>
      <w:pPr>
        <w:pStyle w:val="BodyText"/>
        <w:spacing w:line="277" w:lineRule="auto"/>
      </w:pPr>
    </w:p>
    <w:p>
      <w:pPr>
        <w:spacing w:before="78" w:line="217" w:lineRule="auto"/>
        <w:ind w:left="520"/>
        <w:rPr>
          <w:rFonts w:ascii="FangSong" w:eastAsia="FangSong" w:hAnsi="FangSong" w:cs="FangSong"/>
          <w:sz w:val="24"/>
          <w:szCs w:val="24"/>
        </w:rPr>
      </w:pPr>
      <w:r>
        <w:rPr>
          <w:rFonts w:ascii="FangSong" w:eastAsia="FangSong" w:hAnsi="FangSong" w:cs="FangSong"/>
          <w:spacing w:val="-3"/>
          <w:sz w:val="24"/>
          <w:szCs w:val="24"/>
        </w:rPr>
        <w:t>总经理：负责年度审核计划的批准，任命内部审核员。</w:t>
      </w:r>
    </w:p>
    <w:p>
      <w:pPr>
        <w:spacing w:before="307" w:line="360" w:lineRule="auto"/>
        <w:ind w:left="34" w:right="13" w:firstLine="489"/>
        <w:rPr>
          <w:rFonts w:ascii="FangSong" w:eastAsia="FangSong" w:hAnsi="FangSong" w:cs="FangSong"/>
          <w:sz w:val="24"/>
          <w:szCs w:val="24"/>
        </w:rPr>
      </w:pPr>
      <w:r>
        <w:rPr>
          <w:rFonts w:ascii="FangSong" w:eastAsia="FangSong" w:hAnsi="FangSong" w:cs="FangSong"/>
          <w:spacing w:val="-4"/>
          <w:sz w:val="24"/>
          <w:szCs w:val="24"/>
        </w:rPr>
        <w:t>管理者代表：负责审核年度审核计划，任命审核组长，确定审核组成员，组</w:t>
      </w:r>
      <w:r>
        <w:rPr>
          <w:rFonts w:ascii="FangSong" w:eastAsia="FangSong" w:hAnsi="FangSong" w:cs="FangSong"/>
          <w:spacing w:val="-3"/>
          <w:sz w:val="24"/>
          <w:szCs w:val="24"/>
        </w:rPr>
        <w:t>织落实纠正措施，并向总经理汇报内部审核情况。</w:t>
      </w:r>
    </w:p>
    <w:p>
      <w:pPr>
        <w:spacing w:before="121" w:line="360" w:lineRule="auto"/>
        <w:ind w:left="29" w:right="13" w:firstLine="483"/>
        <w:rPr>
          <w:rFonts w:ascii="FangSong" w:eastAsia="FangSong" w:hAnsi="FangSong" w:cs="FangSong"/>
          <w:sz w:val="24"/>
          <w:szCs w:val="24"/>
        </w:rPr>
      </w:pPr>
      <w:r>
        <w:rPr>
          <w:rFonts w:ascii="FangSong" w:eastAsia="FangSong" w:hAnsi="FangSong" w:cs="FangSong"/>
          <w:spacing w:val="-3"/>
          <w:sz w:val="24"/>
          <w:szCs w:val="24"/>
        </w:rPr>
        <w:t>综合管理部质量组：管理组负责编制年度审</w:t>
      </w:r>
      <w:r>
        <w:rPr>
          <w:rFonts w:ascii="FangSong" w:eastAsia="FangSong" w:hAnsi="FangSong" w:cs="FangSong"/>
          <w:spacing w:val="-4"/>
          <w:sz w:val="24"/>
          <w:szCs w:val="24"/>
        </w:rPr>
        <w:t>核计划、实施计划，负责内部审</w:t>
      </w:r>
      <w:r>
        <w:rPr>
          <w:rFonts w:ascii="FangSong" w:eastAsia="FangSong" w:hAnsi="FangSong" w:cs="FangSong"/>
          <w:spacing w:val="-2"/>
          <w:sz w:val="24"/>
          <w:szCs w:val="24"/>
        </w:rPr>
        <w:t>核资料的保管。协助组织对审核员的培训、聘任等工作。</w:t>
      </w:r>
    </w:p>
    <w:p>
      <w:pPr>
        <w:spacing w:before="120" w:line="361" w:lineRule="auto"/>
        <w:ind w:left="32" w:right="13" w:firstLine="496"/>
        <w:rPr>
          <w:rFonts w:ascii="FangSong" w:eastAsia="FangSong" w:hAnsi="FangSong" w:cs="FangSong"/>
          <w:sz w:val="24"/>
          <w:szCs w:val="24"/>
        </w:rPr>
      </w:pPr>
      <w:r>
        <w:rPr>
          <w:rFonts w:ascii="FangSong" w:eastAsia="FangSong" w:hAnsi="FangSong" w:cs="FangSong"/>
          <w:spacing w:val="-4"/>
          <w:sz w:val="24"/>
          <w:szCs w:val="24"/>
        </w:rPr>
        <w:t>审核组长：负责组织实施现场审核、编制内部审核报告，验证纠正措施的效</w:t>
      </w:r>
      <w:r>
        <w:rPr>
          <w:rFonts w:ascii="FangSong" w:eastAsia="FangSong" w:hAnsi="FangSong" w:cs="FangSong"/>
          <w:spacing w:val="-3"/>
          <w:sz w:val="24"/>
          <w:szCs w:val="24"/>
        </w:rPr>
        <w:t>果、整理现场审核形成的全部记录。</w:t>
      </w:r>
    </w:p>
    <w:p>
      <w:pPr>
        <w:spacing w:before="328" w:line="239" w:lineRule="auto"/>
        <w:ind w:left="21"/>
        <w:outlineLvl w:val="0"/>
        <w:rPr>
          <w:rFonts w:ascii="SimHei" w:eastAsia="SimHei" w:hAnsi="SimHei" w:cs="SimHei"/>
          <w:sz w:val="31"/>
          <w:szCs w:val="31"/>
        </w:rPr>
      </w:pPr>
      <w:bookmarkStart w:id="5" w:name="bookmark5"/>
      <w:bookmarkEnd w:id="5"/>
      <w:r>
        <w:rPr>
          <w:rFonts w:ascii="Times New Roman" w:eastAsia="Times New Roman" w:hAnsi="Times New Roman" w:cs="Times New Roman"/>
          <w:spacing w:val="8"/>
          <w:sz w:val="31"/>
          <w:szCs w:val="31"/>
        </w:rPr>
        <w:t>2.</w:t>
      </w:r>
      <w:r>
        <w:rPr>
          <w:rFonts w:ascii="SimHei" w:eastAsia="SimHei" w:hAnsi="SimHei" w:cs="SimHei"/>
          <w:spacing w:val="8"/>
          <w:sz w:val="31"/>
          <w:szCs w:val="31"/>
        </w:rPr>
        <w:t>制定年度内审计划</w:t>
      </w:r>
    </w:p>
    <w:p>
      <w:pPr>
        <w:pStyle w:val="BodyText"/>
        <w:spacing w:line="337" w:lineRule="auto"/>
      </w:pPr>
    </w:p>
    <w:p>
      <w:pPr>
        <w:spacing w:before="79" w:line="360" w:lineRule="auto"/>
        <w:ind w:left="32" w:right="13" w:firstLine="480"/>
        <w:rPr>
          <w:rFonts w:ascii="FangSong" w:eastAsia="FangSong" w:hAnsi="FangSong" w:cs="FangSong"/>
          <w:sz w:val="24"/>
          <w:szCs w:val="24"/>
        </w:rPr>
      </w:pPr>
      <w:r>
        <w:rPr>
          <w:rFonts w:ascii="FangSong" w:eastAsia="FangSong" w:hAnsi="FangSong" w:cs="FangSong"/>
          <w:spacing w:val="-1"/>
          <w:sz w:val="24"/>
          <w:szCs w:val="24"/>
        </w:rPr>
        <w:t>综合管理部质量组于内审实施前，编制内审计划，记录于《年度内审计划</w:t>
      </w:r>
      <w:r>
        <w:rPr>
          <w:rFonts w:ascii="FangSong" w:eastAsia="FangSong" w:hAnsi="FangSong" w:cs="FangSong"/>
          <w:spacing w:val="-3"/>
          <w:sz w:val="24"/>
          <w:szCs w:val="24"/>
        </w:rPr>
        <w:t>表》，提交至管理者代表审批，审批通过后的年度计划将下发至</w:t>
      </w:r>
      <w:r>
        <w:rPr>
          <w:rFonts w:ascii="FangSong" w:eastAsia="FangSong" w:hAnsi="FangSong" w:cs="FangSong"/>
          <w:spacing w:val="-4"/>
          <w:sz w:val="24"/>
          <w:szCs w:val="24"/>
        </w:rPr>
        <w:t>各部门作为下一</w:t>
      </w:r>
      <w:r>
        <w:rPr>
          <w:rFonts w:ascii="FangSong" w:eastAsia="FangSong" w:hAnsi="FangSong" w:cs="FangSong"/>
          <w:spacing w:val="-5"/>
          <w:sz w:val="24"/>
          <w:szCs w:val="24"/>
        </w:rPr>
        <w:t>年内审工作安排指导。</w:t>
      </w:r>
    </w:p>
    <w:p>
      <w:pPr>
        <w:spacing w:before="119" w:line="361" w:lineRule="auto"/>
        <w:ind w:left="32" w:right="209" w:firstLine="482"/>
        <w:rPr>
          <w:rFonts w:ascii="FangSong" w:eastAsia="FangSong" w:hAnsi="FangSong" w:cs="FangSong"/>
          <w:sz w:val="24"/>
          <w:szCs w:val="24"/>
        </w:rPr>
      </w:pPr>
      <w:r>
        <w:rPr>
          <w:rFonts w:ascii="FangSong" w:eastAsia="FangSong" w:hAnsi="FangSong" w:cs="FangSong"/>
          <w:spacing w:val="-2"/>
          <w:sz w:val="24"/>
          <w:szCs w:val="24"/>
        </w:rPr>
        <w:t>年度内审计划必须包括管理体系所涉及的所有过程和部</w:t>
      </w:r>
      <w:r>
        <w:rPr>
          <w:rFonts w:ascii="FangSong" w:eastAsia="FangSong" w:hAnsi="FangSong" w:cs="FangSong"/>
          <w:spacing w:val="-3"/>
          <w:sz w:val="24"/>
          <w:szCs w:val="24"/>
        </w:rPr>
        <w:t>门，一般情况下，</w:t>
      </w:r>
      <w:r>
        <w:rPr>
          <w:rFonts w:ascii="FangSong" w:eastAsia="FangSong" w:hAnsi="FangSong" w:cs="FangSong"/>
          <w:spacing w:val="-2"/>
          <w:sz w:val="24"/>
          <w:szCs w:val="24"/>
        </w:rPr>
        <w:t>对各部门的内部审核每年不少于一次。</w:t>
      </w:r>
    </w:p>
    <w:p>
      <w:pPr>
        <w:spacing w:line="361" w:lineRule="auto"/>
        <w:rPr>
          <w:rFonts w:ascii="FangSong" w:eastAsia="FangSong" w:hAnsi="FangSong" w:cs="FangSong"/>
          <w:sz w:val="24"/>
          <w:szCs w:val="24"/>
        </w:rPr>
        <w:sectPr>
          <w:footerReference w:type="default" r:id="rId10"/>
          <w:pgSz w:w="11907" w:h="16839"/>
          <w:pgMar w:top="1855" w:right="1785" w:bottom="1711" w:left="1785" w:header="803" w:footer="993" w:gutter="0"/>
          <w:cols w:space="720"/>
        </w:sectPr>
      </w:pPr>
    </w:p>
    <w:p>
      <w:pPr>
        <w:pStyle w:val="BodyText"/>
      </w:pPr>
    </w:p>
    <w:p>
      <w:pPr>
        <w:spacing w:before="101" w:line="238" w:lineRule="auto"/>
        <w:ind w:left="27"/>
        <w:outlineLvl w:val="0"/>
        <w:rPr>
          <w:rFonts w:ascii="SimHei" w:eastAsia="SimHei" w:hAnsi="SimHei" w:cs="SimHei"/>
          <w:sz w:val="31"/>
          <w:szCs w:val="31"/>
        </w:rPr>
      </w:pPr>
      <w:bookmarkStart w:id="6" w:name="bookmark21"/>
      <w:bookmarkEnd w:id="6"/>
      <w:r>
        <w:rPr>
          <w:rFonts w:ascii="Times New Roman" w:eastAsia="Times New Roman" w:hAnsi="Times New Roman" w:cs="Times New Roman"/>
          <w:spacing w:val="5"/>
          <w:sz w:val="31"/>
          <w:szCs w:val="31"/>
        </w:rPr>
        <w:t>3.</w:t>
      </w:r>
      <w:r>
        <w:rPr>
          <w:rFonts w:ascii="SimHei" w:eastAsia="SimHei" w:hAnsi="SimHei" w:cs="SimHei"/>
          <w:spacing w:val="5"/>
          <w:sz w:val="31"/>
          <w:szCs w:val="31"/>
        </w:rPr>
        <w:t>内审流程</w:t>
      </w:r>
    </w:p>
    <w:p>
      <w:pPr>
        <w:pStyle w:val="BodyText"/>
        <w:spacing w:line="308" w:lineRule="auto"/>
      </w:pPr>
    </w:p>
    <w:p>
      <w:pPr>
        <w:pStyle w:val="BodyText"/>
        <w:spacing w:before="101" w:line="237" w:lineRule="auto"/>
        <w:ind w:left="26"/>
        <w:outlineLvl w:val="1"/>
        <w:rPr>
          <w:rFonts w:ascii="FangSong" w:eastAsia="FangSong" w:hAnsi="FangSong" w:cs="FangSong"/>
          <w:sz w:val="31"/>
          <w:szCs w:val="31"/>
        </w:rPr>
      </w:pPr>
      <w:bookmarkStart w:id="7" w:name="bookmark6"/>
      <w:bookmarkEnd w:id="7"/>
      <w:bookmarkStart w:id="8" w:name="bookmark7"/>
      <w:bookmarkEnd w:id="8"/>
      <w:bookmarkStart w:id="9" w:name="bookmark8"/>
      <w:bookmarkEnd w:id="9"/>
      <w:bookmarkStart w:id="10" w:name="bookmark9"/>
      <w:bookmarkEnd w:id="10"/>
      <w:bookmarkStart w:id="11" w:name="bookmark10"/>
      <w:bookmarkEnd w:id="11"/>
      <w:bookmarkStart w:id="12" w:name="bookmark11"/>
      <w:bookmarkEnd w:id="12"/>
      <w:bookmarkStart w:id="13" w:name="bookmark13"/>
      <w:bookmarkEnd w:id="13"/>
      <w:bookmarkStart w:id="14" w:name="bookmark14"/>
      <w:bookmarkEnd w:id="14"/>
      <w:bookmarkStart w:id="15" w:name="bookmark15"/>
      <w:bookmarkEnd w:id="15"/>
      <w:bookmarkStart w:id="16" w:name="bookmark16"/>
      <w:bookmarkEnd w:id="16"/>
      <w:r>
        <w:rPr>
          <w:b/>
          <w:bCs/>
          <w:spacing w:val="1"/>
          <w:sz w:val="31"/>
          <w:szCs w:val="31"/>
        </w:rPr>
        <w:t>3.1</w:t>
      </w:r>
      <w:r>
        <w:rPr>
          <w:b/>
          <w:bCs/>
          <w:spacing w:val="19"/>
          <w:sz w:val="31"/>
          <w:szCs w:val="31"/>
        </w:rPr>
        <w:t xml:space="preserve"> </w:t>
      </w:r>
      <w:r>
        <w:rPr>
          <w:rFonts w:ascii="FangSong" w:eastAsia="FangSong" w:hAnsi="FangSong" w:cs="FangSong"/>
          <w:b/>
          <w:bCs/>
          <w:spacing w:val="1"/>
          <w:sz w:val="31"/>
          <w:szCs w:val="31"/>
        </w:rPr>
        <w:t>启动内审</w:t>
      </w:r>
    </w:p>
    <w:p>
      <w:pPr>
        <w:pStyle w:val="BodyText"/>
        <w:spacing w:line="281" w:lineRule="auto"/>
      </w:pPr>
    </w:p>
    <w:p>
      <w:pPr>
        <w:pStyle w:val="BodyText"/>
        <w:spacing w:before="101" w:line="237" w:lineRule="auto"/>
        <w:ind w:left="26"/>
        <w:outlineLvl w:val="2"/>
        <w:rPr>
          <w:rFonts w:ascii="FangSong" w:eastAsia="FangSong" w:hAnsi="FangSong" w:cs="FangSong"/>
          <w:sz w:val="31"/>
          <w:szCs w:val="31"/>
        </w:rPr>
      </w:pPr>
      <w:bookmarkStart w:id="17" w:name="bookmark22"/>
      <w:bookmarkEnd w:id="17"/>
      <w:r>
        <w:rPr>
          <w:b/>
          <w:bCs/>
          <w:spacing w:val="3"/>
          <w:sz w:val="31"/>
          <w:szCs w:val="31"/>
        </w:rPr>
        <w:t>3.1.1</w:t>
      </w:r>
      <w:r>
        <w:rPr>
          <w:b/>
          <w:bCs/>
          <w:spacing w:val="71"/>
          <w:sz w:val="31"/>
          <w:szCs w:val="31"/>
        </w:rPr>
        <w:t xml:space="preserve"> </w:t>
      </w:r>
      <w:r>
        <w:rPr>
          <w:rFonts w:ascii="FangSong" w:eastAsia="FangSong" w:hAnsi="FangSong" w:cs="FangSong"/>
          <w:b/>
          <w:bCs/>
          <w:spacing w:val="3"/>
          <w:sz w:val="31"/>
          <w:szCs w:val="31"/>
        </w:rPr>
        <w:t>确定内审组成员</w:t>
      </w:r>
    </w:p>
    <w:p>
      <w:pPr>
        <w:spacing w:before="308" w:line="362" w:lineRule="auto"/>
        <w:ind w:left="33" w:right="327" w:firstLine="481"/>
        <w:rPr>
          <w:rFonts w:ascii="FangSong" w:eastAsia="FangSong" w:hAnsi="FangSong" w:cs="FangSong"/>
          <w:sz w:val="24"/>
          <w:szCs w:val="24"/>
        </w:rPr>
      </w:pPr>
      <w:r>
        <w:rPr>
          <w:rFonts w:ascii="FangSong" w:eastAsia="FangSong" w:hAnsi="FangSong" w:cs="FangSong"/>
          <w:spacing w:val="-1"/>
          <w:sz w:val="24"/>
          <w:szCs w:val="24"/>
        </w:rPr>
        <w:t>任命内审组组长，通常情况下，质理管理部负责人担任内审组组长；选择</w:t>
      </w:r>
      <w:r>
        <w:rPr>
          <w:rFonts w:ascii="FangSong" w:eastAsia="FangSong" w:hAnsi="FangSong" w:cs="FangSong"/>
          <w:spacing w:val="-4"/>
          <w:sz w:val="24"/>
          <w:szCs w:val="24"/>
        </w:rPr>
        <w:t>具有内审员资格的人组成内审组。</w:t>
      </w:r>
    </w:p>
    <w:p>
      <w:pPr>
        <w:pStyle w:val="BodyText"/>
        <w:spacing w:before="152" w:line="237" w:lineRule="auto"/>
        <w:ind w:left="26"/>
        <w:outlineLvl w:val="2"/>
        <w:rPr>
          <w:rFonts w:ascii="FangSong" w:eastAsia="FangSong" w:hAnsi="FangSong" w:cs="FangSong"/>
          <w:sz w:val="31"/>
          <w:szCs w:val="31"/>
        </w:rPr>
      </w:pPr>
      <w:bookmarkStart w:id="18" w:name="bookmark23"/>
      <w:bookmarkEnd w:id="18"/>
      <w:r>
        <w:rPr>
          <w:b/>
          <w:bCs/>
          <w:spacing w:val="2"/>
          <w:sz w:val="31"/>
          <w:szCs w:val="31"/>
        </w:rPr>
        <w:t>3.1.2</w:t>
      </w:r>
      <w:r>
        <w:rPr>
          <w:b/>
          <w:bCs/>
          <w:spacing w:val="76"/>
          <w:sz w:val="31"/>
          <w:szCs w:val="31"/>
        </w:rPr>
        <w:t xml:space="preserve"> </w:t>
      </w:r>
      <w:r>
        <w:rPr>
          <w:rFonts w:ascii="FangSong" w:eastAsia="FangSong" w:hAnsi="FangSong" w:cs="FangSong"/>
          <w:b/>
          <w:bCs/>
          <w:spacing w:val="2"/>
          <w:sz w:val="31"/>
          <w:szCs w:val="31"/>
        </w:rPr>
        <w:t>准备内审计划</w:t>
      </w:r>
    </w:p>
    <w:p>
      <w:pPr>
        <w:spacing w:before="310" w:line="360" w:lineRule="auto"/>
        <w:ind w:left="32" w:right="217" w:firstLine="483"/>
        <w:rPr>
          <w:rFonts w:ascii="FangSong" w:eastAsia="FangSong" w:hAnsi="FangSong" w:cs="FangSong"/>
          <w:sz w:val="24"/>
          <w:szCs w:val="24"/>
        </w:rPr>
      </w:pPr>
      <w:r>
        <w:rPr>
          <w:rFonts w:ascii="FangSong" w:eastAsia="FangSong" w:hAnsi="FangSong" w:cs="FangSong"/>
          <w:spacing w:val="-5"/>
          <w:sz w:val="24"/>
          <w:szCs w:val="24"/>
        </w:rPr>
        <w:t>将审核目的、审核部门、会议地点和审核时间安排等记录于《年度内审计划</w:t>
      </w:r>
      <w:r>
        <w:rPr>
          <w:rFonts w:ascii="FangSong" w:eastAsia="FangSong" w:hAnsi="FangSong" w:cs="FangSong"/>
          <w:spacing w:val="-2"/>
          <w:sz w:val="24"/>
          <w:szCs w:val="24"/>
        </w:rPr>
        <w:t>表》，将关键指标、审核要点等记录于《内审检查表》。</w:t>
      </w:r>
    </w:p>
    <w:p>
      <w:pPr>
        <w:pStyle w:val="BodyText"/>
        <w:spacing w:before="157" w:line="236" w:lineRule="auto"/>
        <w:ind w:left="26"/>
        <w:outlineLvl w:val="2"/>
        <w:rPr>
          <w:rFonts w:ascii="FangSong" w:eastAsia="FangSong" w:hAnsi="FangSong" w:cs="FangSong"/>
          <w:sz w:val="31"/>
          <w:szCs w:val="31"/>
        </w:rPr>
      </w:pPr>
      <w:bookmarkStart w:id="19" w:name="bookmark24"/>
      <w:bookmarkEnd w:id="19"/>
      <w:r>
        <w:rPr>
          <w:b/>
          <w:bCs/>
          <w:spacing w:val="3"/>
          <w:sz w:val="31"/>
          <w:szCs w:val="31"/>
        </w:rPr>
        <w:t>3.1.3</w:t>
      </w:r>
      <w:r>
        <w:rPr>
          <w:b/>
          <w:bCs/>
          <w:spacing w:val="71"/>
          <w:sz w:val="31"/>
          <w:szCs w:val="31"/>
        </w:rPr>
        <w:t xml:space="preserve"> </w:t>
      </w:r>
      <w:r>
        <w:rPr>
          <w:rFonts w:ascii="FangSong" w:eastAsia="FangSong" w:hAnsi="FangSong" w:cs="FangSong"/>
          <w:b/>
          <w:bCs/>
          <w:spacing w:val="3"/>
          <w:sz w:val="31"/>
          <w:szCs w:val="31"/>
        </w:rPr>
        <w:t>通知被审核部门</w:t>
      </w:r>
    </w:p>
    <w:p>
      <w:pPr>
        <w:spacing w:before="311" w:line="360" w:lineRule="auto"/>
        <w:ind w:left="59" w:firstLine="484"/>
        <w:rPr>
          <w:rFonts w:ascii="FangSong" w:eastAsia="FangSong" w:hAnsi="FangSong" w:cs="FangSong"/>
          <w:sz w:val="24"/>
          <w:szCs w:val="24"/>
        </w:rPr>
      </w:pPr>
      <w:r>
        <w:rPr>
          <w:rFonts w:ascii="FangSong" w:eastAsia="FangSong" w:hAnsi="FangSong" w:cs="FangSong"/>
          <w:spacing w:val="1"/>
          <w:sz w:val="24"/>
          <w:szCs w:val="24"/>
        </w:rPr>
        <w:t>内审组应至少提前三天向被审核部门发出内审通知，说明审核时间和重点，</w:t>
      </w:r>
      <w:r>
        <w:rPr>
          <w:rFonts w:ascii="FangSong" w:eastAsia="FangSong" w:hAnsi="FangSong" w:cs="FangSong"/>
          <w:spacing w:val="-5"/>
          <w:sz w:val="24"/>
          <w:szCs w:val="24"/>
        </w:rPr>
        <w:t>内审通知应附带《年度内审计划表》、《审核安排计划表》和《内审检查表》。</w:t>
      </w:r>
    </w:p>
    <w:p>
      <w:pPr>
        <w:pStyle w:val="BodyText"/>
        <w:spacing w:before="157" w:line="236" w:lineRule="auto"/>
        <w:ind w:left="26"/>
        <w:outlineLvl w:val="2"/>
        <w:rPr>
          <w:rFonts w:ascii="FangSong" w:eastAsia="FangSong" w:hAnsi="FangSong" w:cs="FangSong"/>
          <w:sz w:val="31"/>
          <w:szCs w:val="31"/>
        </w:rPr>
      </w:pPr>
      <w:bookmarkStart w:id="20" w:name="bookmark25"/>
      <w:bookmarkEnd w:id="20"/>
      <w:r>
        <w:rPr>
          <w:b/>
          <w:bCs/>
          <w:spacing w:val="3"/>
          <w:sz w:val="31"/>
          <w:szCs w:val="31"/>
        </w:rPr>
        <w:t>3.1.4</w:t>
      </w:r>
      <w:r>
        <w:rPr>
          <w:b/>
          <w:bCs/>
          <w:spacing w:val="71"/>
          <w:sz w:val="31"/>
          <w:szCs w:val="31"/>
        </w:rPr>
        <w:t xml:space="preserve"> </w:t>
      </w:r>
      <w:r>
        <w:rPr>
          <w:rFonts w:ascii="FangSong" w:eastAsia="FangSong" w:hAnsi="FangSong" w:cs="FangSong"/>
          <w:b/>
          <w:bCs/>
          <w:spacing w:val="3"/>
          <w:sz w:val="31"/>
          <w:szCs w:val="31"/>
        </w:rPr>
        <w:t>被审核部门回复</w:t>
      </w:r>
    </w:p>
    <w:p>
      <w:pPr>
        <w:spacing w:before="311" w:line="360" w:lineRule="auto"/>
        <w:ind w:left="30" w:right="329" w:firstLine="484"/>
        <w:jc w:val="both"/>
        <w:rPr>
          <w:rFonts w:ascii="FangSong" w:eastAsia="FangSong" w:hAnsi="FangSong" w:cs="FangSong"/>
          <w:sz w:val="24"/>
          <w:szCs w:val="24"/>
        </w:rPr>
      </w:pPr>
      <w:r>
        <w:rPr>
          <w:rFonts w:ascii="FangSong" w:eastAsia="FangSong" w:hAnsi="FangSong" w:cs="FangSong"/>
          <w:spacing w:val="-1"/>
          <w:sz w:val="24"/>
          <w:szCs w:val="24"/>
        </w:rPr>
        <w:t>被审核部门接到内审通知后，如果对内审通知的内容有异议，可在两天之</w:t>
      </w:r>
      <w:r>
        <w:rPr>
          <w:rFonts w:ascii="FangSong" w:eastAsia="FangSong" w:hAnsi="FangSong" w:cs="FangSong"/>
          <w:spacing w:val="-1"/>
          <w:sz w:val="24"/>
          <w:szCs w:val="24"/>
        </w:rPr>
        <w:t>内通知内审组，双方经过协商达成一致后可对内审计划另行安排。被审核部门</w:t>
      </w:r>
      <w:r>
        <w:rPr>
          <w:rFonts w:ascii="FangSong" w:eastAsia="FangSong" w:hAnsi="FangSong" w:cs="FangSong"/>
          <w:spacing w:val="-2"/>
          <w:sz w:val="24"/>
          <w:szCs w:val="24"/>
        </w:rPr>
        <w:t>应做好必要的准备工作并指定至少一名陪同人员协助内审。</w:t>
      </w:r>
    </w:p>
    <w:p>
      <w:pPr>
        <w:spacing w:before="320"/>
        <w:ind w:left="29"/>
        <w:outlineLvl w:val="1"/>
        <w:rPr>
          <w:rFonts w:ascii="SimSun" w:eastAsia="SimSun" w:hAnsi="SimSun" w:cs="SimSun"/>
          <w:sz w:val="28"/>
          <w:szCs w:val="28"/>
        </w:rPr>
      </w:pPr>
      <w:bookmarkStart w:id="21" w:name="bookmark12"/>
      <w:bookmarkEnd w:id="21"/>
      <w:r>
        <w:rPr>
          <w:rFonts w:ascii="Calibri Light" w:eastAsia="Calibri Light" w:hAnsi="Calibri Light" w:cs="Calibri Light"/>
          <w:b/>
          <w:bCs/>
          <w:spacing w:val="-8"/>
          <w:sz w:val="28"/>
          <w:szCs w:val="28"/>
        </w:rPr>
        <w:t>3.2</w:t>
      </w:r>
      <w:r>
        <w:rPr>
          <w:rFonts w:ascii="Calibri Light" w:eastAsia="Calibri Light" w:hAnsi="Calibri Light" w:cs="Calibri Light"/>
          <w:spacing w:val="2"/>
          <w:sz w:val="28"/>
          <w:szCs w:val="28"/>
        </w:rPr>
        <w:t xml:space="preserve">      </w:t>
      </w:r>
      <w:r>
        <w:rPr>
          <w:rFonts w:ascii="SimSun" w:eastAsia="SimSun" w:hAnsi="SimSun" w:cs="SimSun"/>
          <w:b/>
          <w:bCs/>
          <w:spacing w:val="-8"/>
          <w:sz w:val="28"/>
          <w:szCs w:val="28"/>
        </w:rPr>
        <w:t>实施内审</w:t>
      </w:r>
    </w:p>
    <w:p>
      <w:pPr>
        <w:pStyle w:val="BodyText"/>
        <w:spacing w:line="395" w:lineRule="auto"/>
      </w:pPr>
    </w:p>
    <w:p>
      <w:pPr>
        <w:pStyle w:val="BodyText"/>
        <w:spacing w:before="101" w:line="237" w:lineRule="auto"/>
        <w:ind w:left="26"/>
        <w:outlineLvl w:val="2"/>
        <w:rPr>
          <w:rFonts w:ascii="FangSong" w:eastAsia="FangSong" w:hAnsi="FangSong" w:cs="FangSong"/>
          <w:sz w:val="31"/>
          <w:szCs w:val="31"/>
        </w:rPr>
      </w:pPr>
      <w:bookmarkStart w:id="22" w:name="bookmark26"/>
      <w:bookmarkEnd w:id="22"/>
      <w:r>
        <w:rPr>
          <w:b/>
          <w:bCs/>
          <w:spacing w:val="1"/>
          <w:sz w:val="31"/>
          <w:szCs w:val="31"/>
        </w:rPr>
        <w:t>3.2.1</w:t>
      </w:r>
      <w:r>
        <w:rPr>
          <w:b/>
          <w:bCs/>
          <w:spacing w:val="24"/>
          <w:sz w:val="31"/>
          <w:szCs w:val="31"/>
        </w:rPr>
        <w:t xml:space="preserve"> </w:t>
      </w:r>
      <w:r>
        <w:rPr>
          <w:rFonts w:ascii="FangSong" w:eastAsia="FangSong" w:hAnsi="FangSong" w:cs="FangSong"/>
          <w:b/>
          <w:bCs/>
          <w:spacing w:val="1"/>
          <w:sz w:val="31"/>
          <w:szCs w:val="31"/>
        </w:rPr>
        <w:t>首次会议</w:t>
      </w:r>
    </w:p>
    <w:p>
      <w:pPr>
        <w:spacing w:before="309" w:line="361" w:lineRule="auto"/>
        <w:ind w:left="27" w:right="329" w:firstLine="516"/>
        <w:rPr>
          <w:rFonts w:ascii="FangSong" w:eastAsia="FangSong" w:hAnsi="FangSong" w:cs="FangSong"/>
          <w:sz w:val="24"/>
          <w:szCs w:val="24"/>
        </w:rPr>
      </w:pPr>
      <w:r>
        <w:rPr>
          <w:rFonts w:ascii="FangSong" w:eastAsia="FangSong" w:hAnsi="FangSong" w:cs="FangSong"/>
          <w:spacing w:val="-2"/>
          <w:sz w:val="24"/>
          <w:szCs w:val="24"/>
        </w:rPr>
        <w:t>内审组组长主持召开首次会议，向被审核部门说明本次内审目的、具体安</w:t>
      </w:r>
      <w:r>
        <w:rPr>
          <w:rFonts w:ascii="FangSong" w:eastAsia="FangSong" w:hAnsi="FangSong" w:cs="FangSong"/>
          <w:spacing w:val="-6"/>
          <w:sz w:val="24"/>
          <w:szCs w:val="24"/>
        </w:rPr>
        <w:t>排和注意事项。</w:t>
      </w:r>
    </w:p>
    <w:p>
      <w:pPr>
        <w:pStyle w:val="BodyText"/>
        <w:spacing w:before="155" w:line="235" w:lineRule="auto"/>
        <w:ind w:left="26"/>
        <w:outlineLvl w:val="2"/>
        <w:rPr>
          <w:rFonts w:ascii="FangSong" w:eastAsia="FangSong" w:hAnsi="FangSong" w:cs="FangSong"/>
          <w:sz w:val="31"/>
          <w:szCs w:val="31"/>
        </w:rPr>
      </w:pPr>
      <w:bookmarkStart w:id="23" w:name="bookmark27"/>
      <w:bookmarkEnd w:id="23"/>
      <w:r>
        <w:rPr>
          <w:b/>
          <w:bCs/>
          <w:spacing w:val="3"/>
          <w:sz w:val="31"/>
          <w:szCs w:val="31"/>
        </w:rPr>
        <w:t xml:space="preserve">3.2.2 </w:t>
      </w:r>
      <w:r>
        <w:rPr>
          <w:rFonts w:ascii="FangSong" w:eastAsia="FangSong" w:hAnsi="FangSong" w:cs="FangSong"/>
          <w:b/>
          <w:bCs/>
          <w:spacing w:val="3"/>
          <w:sz w:val="31"/>
          <w:szCs w:val="31"/>
        </w:rPr>
        <w:t>执行内审</w:t>
      </w:r>
    </w:p>
    <w:p>
      <w:pPr>
        <w:spacing w:line="235" w:lineRule="auto"/>
        <w:rPr>
          <w:rFonts w:ascii="FangSong" w:eastAsia="FangSong" w:hAnsi="FangSong" w:cs="FangSong"/>
          <w:sz w:val="31"/>
          <w:szCs w:val="31"/>
        </w:rPr>
        <w:sectPr>
          <w:headerReference w:type="default" r:id="rId11"/>
          <w:footerReference w:type="default" r:id="rId12"/>
          <w:pgSz w:w="11907" w:h="16839"/>
          <w:pgMar w:top="1855" w:right="1611" w:bottom="1711" w:left="1785" w:header="803" w:footer="993" w:gutter="0"/>
          <w:cols w:space="720"/>
        </w:sectPr>
      </w:pPr>
    </w:p>
    <w:p>
      <w:pPr>
        <w:pStyle w:val="BodyText"/>
        <w:spacing w:line="271" w:lineRule="auto"/>
      </w:pPr>
    </w:p>
    <w:p>
      <w:pPr>
        <w:spacing w:before="78" w:line="360" w:lineRule="auto"/>
        <w:ind w:left="30" w:firstLine="492"/>
        <w:rPr>
          <w:rFonts w:ascii="FangSong" w:eastAsia="FangSong" w:hAnsi="FangSong" w:cs="FangSong"/>
          <w:sz w:val="24"/>
          <w:szCs w:val="24"/>
        </w:rPr>
      </w:pPr>
      <w:r>
        <w:rPr>
          <w:rFonts w:ascii="FangSong" w:eastAsia="FangSong" w:hAnsi="FangSong" w:cs="FangSong"/>
          <w:spacing w:val="2"/>
          <w:sz w:val="24"/>
          <w:szCs w:val="24"/>
        </w:rPr>
        <w:t>首次会议后，内审组按照预先设定的审核内容进行审核，并记录所见事实。</w:t>
      </w:r>
      <w:r>
        <w:rPr>
          <w:rFonts w:ascii="FangSong" w:eastAsia="FangSong" w:hAnsi="FangSong" w:cs="FangSong"/>
          <w:spacing w:val="-3"/>
          <w:sz w:val="24"/>
          <w:szCs w:val="24"/>
        </w:rPr>
        <w:t>若发现与规定不符合的现象，应将事实记录于《不符合项报告》中</w:t>
      </w:r>
      <w:r>
        <w:rPr>
          <w:rFonts w:ascii="FangSong" w:eastAsia="FangSong" w:hAnsi="FangSong" w:cs="FangSong"/>
          <w:spacing w:val="-4"/>
          <w:sz w:val="24"/>
          <w:szCs w:val="24"/>
        </w:rPr>
        <w:t>。不符合项应</w:t>
      </w:r>
      <w:r>
        <w:rPr>
          <w:rFonts w:ascii="FangSong" w:eastAsia="FangSong" w:hAnsi="FangSong" w:cs="FangSong"/>
          <w:spacing w:val="-1"/>
          <w:sz w:val="24"/>
          <w:szCs w:val="24"/>
        </w:rPr>
        <w:t>得到被审核部门负责人的确认，以保证不符合项被完全理解，并有利于不符合</w:t>
      </w:r>
    </w:p>
    <w:p>
      <w:pPr>
        <w:spacing w:before="1" w:line="361" w:lineRule="auto"/>
        <w:ind w:left="43" w:right="21" w:hanging="14"/>
        <w:rPr>
          <w:rFonts w:ascii="FangSong" w:eastAsia="FangSong" w:hAnsi="FangSong" w:cs="FangSong"/>
          <w:sz w:val="24"/>
          <w:szCs w:val="24"/>
        </w:rPr>
      </w:pPr>
      <w:r>
        <w:rPr>
          <w:rFonts w:ascii="FangSong" w:eastAsia="FangSong" w:hAnsi="FangSong" w:cs="FangSong"/>
          <w:spacing w:val="2"/>
          <w:sz w:val="24"/>
          <w:szCs w:val="24"/>
        </w:rPr>
        <w:t>现象的纠正。若发现虽然未违反有关规定，但有趋势发展成为不符合项的现象，</w:t>
      </w:r>
      <w:r>
        <w:rPr>
          <w:rFonts w:ascii="FangSong" w:eastAsia="FangSong" w:hAnsi="FangSong" w:cs="FangSong"/>
          <w:spacing w:val="-1"/>
          <w:sz w:val="24"/>
          <w:szCs w:val="24"/>
        </w:rPr>
        <w:t>内审员应将此类现象作为观察项记录并跟踪，以便采取措施积极预防此类现象</w:t>
      </w:r>
      <w:r>
        <w:rPr>
          <w:rFonts w:ascii="FangSong" w:eastAsia="FangSong" w:hAnsi="FangSong" w:cs="FangSong"/>
          <w:sz w:val="24"/>
          <w:szCs w:val="24"/>
        </w:rPr>
        <w:t xml:space="preserve"> </w:t>
      </w:r>
      <w:r>
        <w:rPr>
          <w:rFonts w:ascii="FangSong" w:eastAsia="FangSong" w:hAnsi="FangSong" w:cs="FangSong"/>
          <w:spacing w:val="-8"/>
          <w:sz w:val="24"/>
          <w:szCs w:val="24"/>
        </w:rPr>
        <w:t>的进一步发展。</w:t>
      </w:r>
    </w:p>
    <w:p>
      <w:pPr>
        <w:pStyle w:val="BodyText"/>
        <w:spacing w:before="152" w:line="237" w:lineRule="auto"/>
        <w:ind w:left="26"/>
        <w:rPr>
          <w:rFonts w:ascii="FangSong" w:eastAsia="FangSong" w:hAnsi="FangSong" w:cs="FangSong"/>
          <w:sz w:val="31"/>
          <w:szCs w:val="31"/>
        </w:rPr>
      </w:pPr>
      <w:r>
        <w:rPr>
          <w:b/>
          <w:bCs/>
          <w:spacing w:val="-2"/>
          <w:sz w:val="31"/>
          <w:szCs w:val="31"/>
        </w:rPr>
        <w:t>3.2.3</w:t>
      </w:r>
      <w:r>
        <w:rPr>
          <w:b/>
          <w:bCs/>
          <w:spacing w:val="61"/>
          <w:sz w:val="31"/>
          <w:szCs w:val="31"/>
        </w:rPr>
        <w:t xml:space="preserve"> </w:t>
      </w:r>
      <w:r>
        <w:rPr>
          <w:rFonts w:ascii="FangSong" w:eastAsia="FangSong" w:hAnsi="FangSong" w:cs="FangSong"/>
          <w:b/>
          <w:bCs/>
          <w:spacing w:val="-2"/>
          <w:sz w:val="31"/>
          <w:szCs w:val="31"/>
        </w:rPr>
        <w:t>内审组会议</w:t>
      </w:r>
    </w:p>
    <w:p>
      <w:pPr>
        <w:spacing w:before="309" w:line="360" w:lineRule="auto"/>
        <w:ind w:left="32" w:right="15" w:firstLine="480"/>
        <w:rPr>
          <w:rFonts w:ascii="FangSong" w:eastAsia="FangSong" w:hAnsi="FangSong" w:cs="FangSong"/>
          <w:sz w:val="24"/>
          <w:szCs w:val="24"/>
        </w:rPr>
      </w:pPr>
      <w:r>
        <w:rPr>
          <w:rFonts w:ascii="FangSong" w:eastAsia="FangSong" w:hAnsi="FangSong" w:cs="FangSong"/>
          <w:spacing w:val="2"/>
          <w:sz w:val="24"/>
          <w:szCs w:val="24"/>
        </w:rPr>
        <w:t>遇到问题时，内审组召开会议，统一意见；内审结束时，内审组召开会议，</w:t>
      </w:r>
      <w:r>
        <w:rPr>
          <w:rFonts w:ascii="FangSong" w:eastAsia="FangSong" w:hAnsi="FangSong" w:cs="FangSong"/>
          <w:spacing w:val="-2"/>
          <w:sz w:val="24"/>
          <w:szCs w:val="24"/>
        </w:rPr>
        <w:t>对内审的执行和完成情况进行总结，编写内审报告并记录于《内审报告》。</w:t>
      </w:r>
    </w:p>
    <w:p>
      <w:pPr>
        <w:pStyle w:val="BodyText"/>
        <w:spacing w:before="156" w:line="237" w:lineRule="auto"/>
        <w:ind w:left="26"/>
        <w:rPr>
          <w:rFonts w:ascii="FangSong" w:eastAsia="FangSong" w:hAnsi="FangSong" w:cs="FangSong"/>
          <w:sz w:val="31"/>
          <w:szCs w:val="31"/>
        </w:rPr>
      </w:pPr>
      <w:r>
        <w:rPr>
          <w:b/>
          <w:bCs/>
          <w:spacing w:val="3"/>
          <w:sz w:val="31"/>
          <w:szCs w:val="31"/>
        </w:rPr>
        <w:t xml:space="preserve">3.2.4 </w:t>
      </w:r>
      <w:r>
        <w:rPr>
          <w:rFonts w:ascii="FangSong" w:eastAsia="FangSong" w:hAnsi="FangSong" w:cs="FangSong"/>
          <w:b/>
          <w:bCs/>
          <w:spacing w:val="3"/>
          <w:sz w:val="31"/>
          <w:szCs w:val="31"/>
        </w:rPr>
        <w:t>末次会议</w:t>
      </w:r>
    </w:p>
    <w:p>
      <w:pPr>
        <w:spacing w:before="310" w:line="361" w:lineRule="auto"/>
        <w:ind w:left="29" w:right="351" w:firstLine="509"/>
        <w:jc w:val="both"/>
        <w:rPr>
          <w:rFonts w:ascii="FangSong" w:eastAsia="FangSong" w:hAnsi="FangSong" w:cs="FangSong"/>
          <w:sz w:val="24"/>
          <w:szCs w:val="24"/>
        </w:rPr>
      </w:pPr>
      <w:r>
        <w:rPr>
          <w:rFonts w:ascii="FangSong" w:eastAsia="FangSong" w:hAnsi="FangSong" w:cs="FangSong"/>
          <w:spacing w:val="-2"/>
          <w:sz w:val="24"/>
          <w:szCs w:val="24"/>
        </w:rPr>
        <w:t>内审组组长主持召开末次会议，向被审核部门通报此次审核的执行情况，</w:t>
      </w:r>
      <w:r>
        <w:rPr>
          <w:rFonts w:ascii="FangSong" w:eastAsia="FangSong" w:hAnsi="FangSong" w:cs="FangSong"/>
          <w:spacing w:val="-1"/>
          <w:sz w:val="24"/>
          <w:szCs w:val="24"/>
        </w:rPr>
        <w:t>报告内审发现和不符合项的种类和数量。被审核部门若对不符合项有疑义，且</w:t>
      </w:r>
      <w:r>
        <w:rPr>
          <w:rFonts w:ascii="FangSong" w:eastAsia="FangSong" w:hAnsi="FangSong" w:cs="FangSong"/>
          <w:spacing w:val="-3"/>
          <w:sz w:val="24"/>
          <w:szCs w:val="24"/>
        </w:rPr>
        <w:t>双方无法达成共识，可提交至公司管理层裁决。</w:t>
      </w:r>
    </w:p>
    <w:p>
      <w:pPr>
        <w:spacing w:before="316"/>
        <w:ind w:left="29"/>
        <w:rPr>
          <w:rFonts w:ascii="SimSun" w:eastAsia="SimSun" w:hAnsi="SimSun" w:cs="SimSun"/>
          <w:sz w:val="28"/>
          <w:szCs w:val="28"/>
        </w:rPr>
      </w:pPr>
      <w:bookmarkStart w:id="24" w:name="bookmark17"/>
      <w:bookmarkEnd w:id="24"/>
      <w:r>
        <w:rPr>
          <w:rFonts w:ascii="Calibri Light" w:eastAsia="Calibri Light" w:hAnsi="Calibri Light" w:cs="Calibri Light"/>
          <w:b/>
          <w:bCs/>
          <w:spacing w:val="-7"/>
          <w:sz w:val="28"/>
          <w:szCs w:val="28"/>
        </w:rPr>
        <w:t>3.2.5</w:t>
      </w:r>
      <w:r>
        <w:rPr>
          <w:rFonts w:ascii="Calibri Light" w:eastAsia="Calibri Light" w:hAnsi="Calibri Light" w:cs="Calibri Light"/>
          <w:spacing w:val="24"/>
          <w:w w:val="101"/>
          <w:sz w:val="28"/>
          <w:szCs w:val="28"/>
        </w:rPr>
        <w:t xml:space="preserve"> </w:t>
      </w:r>
      <w:r>
        <w:rPr>
          <w:rFonts w:ascii="SimSun" w:eastAsia="SimSun" w:hAnsi="SimSun" w:cs="SimSun"/>
          <w:b/>
          <w:bCs/>
          <w:spacing w:val="-7"/>
          <w:sz w:val="28"/>
          <w:szCs w:val="28"/>
        </w:rPr>
        <w:t>结束审核</w:t>
      </w:r>
    </w:p>
    <w:p>
      <w:pPr>
        <w:pStyle w:val="BodyText"/>
        <w:spacing w:line="376" w:lineRule="auto"/>
      </w:pPr>
    </w:p>
    <w:p>
      <w:pPr>
        <w:spacing w:before="78" w:line="313" w:lineRule="auto"/>
        <w:ind w:left="869" w:right="232" w:hanging="434"/>
        <w:rPr>
          <w:rFonts w:ascii="FangSong" w:eastAsia="FangSong" w:hAnsi="FangSong" w:cs="FangSong"/>
          <w:sz w:val="24"/>
          <w:szCs w:val="24"/>
        </w:rPr>
      </w:pPr>
      <w:r>
        <w:rPr>
          <w:rFonts w:ascii="FangSong" w:eastAsia="FangSong" w:hAnsi="FangSong" w:cs="FangSong"/>
          <w:spacing w:val="-1"/>
          <w:sz w:val="24"/>
          <w:szCs w:val="24"/>
        </w:rPr>
        <w:t>A.</w:t>
      </w:r>
      <w:r>
        <w:rPr>
          <w:rFonts w:ascii="FangSong" w:eastAsia="FangSong" w:hAnsi="FangSong" w:cs="FangSong"/>
          <w:spacing w:val="91"/>
          <w:sz w:val="24"/>
          <w:szCs w:val="24"/>
        </w:rPr>
        <w:t xml:space="preserve"> </w:t>
      </w:r>
      <w:r>
        <w:rPr>
          <w:rFonts w:ascii="FangSong" w:eastAsia="FangSong" w:hAnsi="FangSong" w:cs="FangSong"/>
          <w:spacing w:val="-1"/>
          <w:sz w:val="24"/>
          <w:szCs w:val="24"/>
        </w:rPr>
        <w:t>被审核部门应根据内审报告指出的问题制定切实可行的改进计划，记录</w:t>
      </w:r>
      <w:r>
        <w:rPr>
          <w:rFonts w:ascii="FangSong" w:eastAsia="FangSong" w:hAnsi="FangSong" w:cs="FangSong"/>
          <w:spacing w:val="-1"/>
          <w:sz w:val="24"/>
          <w:szCs w:val="24"/>
        </w:rPr>
        <w:t>于《持续改进计划表》，并在规定时间内将改进计划提交给内审组，并</w:t>
      </w:r>
      <w:r>
        <w:rPr>
          <w:rFonts w:ascii="FangSong" w:eastAsia="FangSong" w:hAnsi="FangSong" w:cs="FangSong"/>
          <w:spacing w:val="-3"/>
          <w:sz w:val="24"/>
          <w:szCs w:val="24"/>
        </w:rPr>
        <w:t>按期按改进计划的要求实施纠正。</w:t>
      </w:r>
    </w:p>
    <w:p>
      <w:pPr>
        <w:spacing w:before="305" w:line="288" w:lineRule="auto"/>
        <w:ind w:left="876" w:right="232" w:hanging="439"/>
        <w:rPr>
          <w:rFonts w:ascii="FangSong" w:eastAsia="FangSong" w:hAnsi="FangSong" w:cs="FangSong"/>
          <w:sz w:val="24"/>
          <w:szCs w:val="24"/>
        </w:rPr>
      </w:pPr>
      <w:r>
        <w:rPr>
          <w:rFonts w:ascii="FangSong" w:eastAsia="FangSong" w:hAnsi="FangSong" w:cs="FangSong"/>
          <w:spacing w:val="-2"/>
          <w:sz w:val="24"/>
          <w:szCs w:val="24"/>
        </w:rPr>
        <w:t>B.</w:t>
      </w:r>
      <w:r>
        <w:rPr>
          <w:rFonts w:ascii="FangSong" w:eastAsia="FangSong" w:hAnsi="FangSong" w:cs="FangSong"/>
          <w:spacing w:val="122"/>
          <w:sz w:val="24"/>
          <w:szCs w:val="24"/>
        </w:rPr>
        <w:t xml:space="preserve"> </w:t>
      </w:r>
      <w:r>
        <w:rPr>
          <w:rFonts w:ascii="FangSong" w:eastAsia="FangSong" w:hAnsi="FangSong" w:cs="FangSong"/>
          <w:spacing w:val="-2"/>
          <w:sz w:val="24"/>
          <w:szCs w:val="24"/>
        </w:rPr>
        <w:t>内审组接受持续改进计划并对被审核部门的改进计划的实施情况进行监</w:t>
      </w:r>
      <w:r>
        <w:rPr>
          <w:rFonts w:ascii="FangSong" w:eastAsia="FangSong" w:hAnsi="FangSong" w:cs="FangSong"/>
          <w:spacing w:val="-3"/>
          <w:sz w:val="24"/>
          <w:szCs w:val="24"/>
        </w:rPr>
        <w:t>督检查，验证其全部有效后，内审全部结束。</w:t>
      </w:r>
    </w:p>
    <w:p>
      <w:pPr>
        <w:spacing w:before="307" w:line="288" w:lineRule="auto"/>
        <w:ind w:left="870" w:right="231" w:hanging="430"/>
        <w:rPr>
          <w:rFonts w:ascii="FangSong" w:eastAsia="FangSong" w:hAnsi="FangSong" w:cs="FangSong"/>
          <w:sz w:val="24"/>
          <w:szCs w:val="24"/>
        </w:rPr>
      </w:pPr>
      <w:r>
        <w:rPr>
          <w:rFonts w:ascii="FangSong" w:eastAsia="FangSong" w:hAnsi="FangSong" w:cs="FangSong"/>
          <w:spacing w:val="-2"/>
          <w:sz w:val="24"/>
          <w:szCs w:val="24"/>
        </w:rPr>
        <w:t>C.</w:t>
      </w:r>
      <w:r>
        <w:rPr>
          <w:rFonts w:ascii="FangSong" w:eastAsia="FangSong" w:hAnsi="FangSong" w:cs="FangSong"/>
          <w:spacing w:val="119"/>
          <w:sz w:val="24"/>
          <w:szCs w:val="24"/>
        </w:rPr>
        <w:t xml:space="preserve"> </w:t>
      </w:r>
      <w:r>
        <w:rPr>
          <w:rFonts w:ascii="FangSong" w:eastAsia="FangSong" w:hAnsi="FangSong" w:cs="FangSong"/>
          <w:spacing w:val="-2"/>
          <w:sz w:val="24"/>
          <w:szCs w:val="24"/>
        </w:rPr>
        <w:t>内审的全部文件和记录由综合管理部质量组存档，以保证记录和报告的</w:t>
      </w:r>
      <w:r>
        <w:rPr>
          <w:rFonts w:ascii="FangSong" w:eastAsia="FangSong" w:hAnsi="FangSong" w:cs="FangSong"/>
          <w:spacing w:val="-10"/>
          <w:sz w:val="24"/>
          <w:szCs w:val="24"/>
        </w:rPr>
        <w:t>保密性。</w:t>
      </w:r>
    </w:p>
    <w:p>
      <w:pPr>
        <w:spacing w:before="308" w:line="216" w:lineRule="auto"/>
        <w:ind w:left="438"/>
        <w:rPr>
          <w:rFonts w:ascii="FangSong" w:eastAsia="FangSong" w:hAnsi="FangSong" w:cs="FangSong"/>
          <w:sz w:val="24"/>
          <w:szCs w:val="24"/>
        </w:rPr>
      </w:pPr>
      <w:r>
        <w:rPr>
          <w:rFonts w:ascii="FangSong" w:eastAsia="FangSong" w:hAnsi="FangSong" w:cs="FangSong"/>
          <w:spacing w:val="-2"/>
          <w:sz w:val="24"/>
          <w:szCs w:val="24"/>
        </w:rPr>
        <w:t>D.</w:t>
      </w:r>
      <w:r>
        <w:rPr>
          <w:rFonts w:ascii="FangSong" w:eastAsia="FangSong" w:hAnsi="FangSong" w:cs="FangSong"/>
          <w:spacing w:val="105"/>
          <w:sz w:val="24"/>
          <w:szCs w:val="24"/>
        </w:rPr>
        <w:t xml:space="preserve"> </w:t>
      </w:r>
      <w:r>
        <w:rPr>
          <w:rFonts w:ascii="FangSong" w:eastAsia="FangSong" w:hAnsi="FangSong" w:cs="FangSong"/>
          <w:spacing w:val="-2"/>
          <w:sz w:val="24"/>
          <w:szCs w:val="24"/>
        </w:rPr>
        <w:t>内审报告和改进计划将作为管理评审的输入之</w:t>
      </w:r>
      <w:r>
        <w:rPr>
          <w:rFonts w:ascii="FangSong" w:eastAsia="FangSong" w:hAnsi="FangSong" w:cs="FangSong"/>
          <w:spacing w:val="-3"/>
          <w:sz w:val="24"/>
          <w:szCs w:val="24"/>
        </w:rPr>
        <w:t>一。</w:t>
      </w:r>
    </w:p>
    <w:p>
      <w:pPr>
        <w:pStyle w:val="BodyText"/>
        <w:spacing w:line="242" w:lineRule="auto"/>
      </w:pPr>
    </w:p>
    <w:p>
      <w:pPr>
        <w:spacing w:before="101" w:line="238" w:lineRule="auto"/>
        <w:ind w:left="19"/>
        <w:outlineLvl w:val="0"/>
        <w:rPr>
          <w:rFonts w:ascii="SimHei" w:eastAsia="SimHei" w:hAnsi="SimHei" w:cs="SimHei"/>
          <w:sz w:val="31"/>
          <w:szCs w:val="31"/>
        </w:rPr>
      </w:pPr>
      <w:bookmarkStart w:id="25" w:name="bookmark18"/>
      <w:bookmarkEnd w:id="25"/>
      <w:r>
        <w:rPr>
          <w:rFonts w:ascii="Times New Roman" w:eastAsia="Times New Roman" w:hAnsi="Times New Roman" w:cs="Times New Roman"/>
          <w:spacing w:val="7"/>
          <w:sz w:val="31"/>
          <w:szCs w:val="31"/>
        </w:rPr>
        <w:t>4.</w:t>
      </w:r>
      <w:r>
        <w:rPr>
          <w:rFonts w:ascii="SimHei" w:eastAsia="SimHei" w:hAnsi="SimHei" w:cs="SimHei"/>
          <w:spacing w:val="7"/>
          <w:sz w:val="31"/>
          <w:szCs w:val="31"/>
        </w:rPr>
        <w:t>内审员要求</w:t>
      </w:r>
    </w:p>
    <w:p>
      <w:pPr>
        <w:spacing w:line="238" w:lineRule="auto"/>
        <w:rPr>
          <w:rFonts w:ascii="SimHei" w:eastAsia="SimHei" w:hAnsi="SimHei" w:cs="SimHei"/>
          <w:sz w:val="31"/>
          <w:szCs w:val="31"/>
        </w:rPr>
        <w:sectPr>
          <w:headerReference w:type="default" r:id="rId13"/>
          <w:footerReference w:type="default" r:id="rId14"/>
          <w:pgSz w:w="11907" w:h="16839"/>
          <w:pgMar w:top="1855" w:right="1593" w:bottom="1711" w:left="1785" w:header="803" w:footer="993" w:gutter="0"/>
          <w:cols w:space="720"/>
        </w:sectPr>
      </w:pPr>
    </w:p>
    <w:p>
      <w:pPr>
        <w:pStyle w:val="BodyText"/>
        <w:spacing w:line="271" w:lineRule="auto"/>
      </w:pPr>
    </w:p>
    <w:p>
      <w:pPr>
        <w:spacing w:before="78" w:line="217" w:lineRule="auto"/>
        <w:ind w:left="435"/>
        <w:rPr>
          <w:rFonts w:ascii="FangSong" w:eastAsia="FangSong" w:hAnsi="FangSong" w:cs="FangSong"/>
          <w:sz w:val="24"/>
          <w:szCs w:val="24"/>
        </w:rPr>
      </w:pPr>
      <w:r>
        <w:rPr>
          <w:rFonts w:ascii="FangSong" w:eastAsia="FangSong" w:hAnsi="FangSong" w:cs="FangSong"/>
          <w:spacing w:val="-3"/>
          <w:sz w:val="24"/>
          <w:szCs w:val="24"/>
        </w:rPr>
        <w:t>A.</w:t>
      </w:r>
      <w:r>
        <w:rPr>
          <w:rFonts w:ascii="FangSong" w:eastAsia="FangSong" w:hAnsi="FangSong" w:cs="FangSong"/>
          <w:spacing w:val="111"/>
          <w:sz w:val="24"/>
          <w:szCs w:val="24"/>
        </w:rPr>
        <w:t xml:space="preserve"> </w:t>
      </w:r>
      <w:r>
        <w:rPr>
          <w:rFonts w:ascii="FangSong" w:eastAsia="FangSong" w:hAnsi="FangSong" w:cs="FangSong"/>
          <w:spacing w:val="-3"/>
          <w:sz w:val="24"/>
          <w:szCs w:val="24"/>
        </w:rPr>
        <w:t>内审员要具有一定审核技能和知识，以保证达到审核目标。</w:t>
      </w:r>
    </w:p>
    <w:p>
      <w:pPr>
        <w:spacing w:before="306" w:line="217" w:lineRule="auto"/>
        <w:ind w:left="437"/>
        <w:rPr>
          <w:rFonts w:ascii="FangSong" w:eastAsia="FangSong" w:hAnsi="FangSong" w:cs="FangSong"/>
          <w:sz w:val="24"/>
          <w:szCs w:val="24"/>
        </w:rPr>
      </w:pPr>
      <w:r>
        <w:rPr>
          <w:rFonts w:ascii="FangSong" w:eastAsia="FangSong" w:hAnsi="FangSong" w:cs="FangSong"/>
          <w:spacing w:val="-4"/>
          <w:sz w:val="24"/>
          <w:szCs w:val="24"/>
        </w:rPr>
        <w:t>B.</w:t>
      </w:r>
      <w:r>
        <w:rPr>
          <w:rFonts w:ascii="FangSong" w:eastAsia="FangSong" w:hAnsi="FangSong" w:cs="FangSong"/>
          <w:spacing w:val="108"/>
          <w:sz w:val="24"/>
          <w:szCs w:val="24"/>
        </w:rPr>
        <w:t xml:space="preserve"> </w:t>
      </w:r>
      <w:r>
        <w:rPr>
          <w:rFonts w:ascii="FangSong" w:eastAsia="FangSong" w:hAnsi="FangSong" w:cs="FangSong"/>
          <w:spacing w:val="-4"/>
          <w:sz w:val="24"/>
          <w:szCs w:val="24"/>
        </w:rPr>
        <w:t>内审员应与被审核部门无直接责任关系。</w:t>
      </w:r>
    </w:p>
    <w:p>
      <w:pPr>
        <w:spacing w:before="305" w:line="216" w:lineRule="auto"/>
        <w:ind w:left="440"/>
        <w:rPr>
          <w:rFonts w:ascii="FangSong" w:eastAsia="FangSong" w:hAnsi="FangSong" w:cs="FangSong"/>
          <w:sz w:val="24"/>
          <w:szCs w:val="24"/>
        </w:rPr>
      </w:pPr>
      <w:r>
        <w:rPr>
          <w:rFonts w:ascii="FangSong" w:eastAsia="FangSong" w:hAnsi="FangSong" w:cs="FangSong"/>
          <w:spacing w:val="-6"/>
          <w:sz w:val="24"/>
          <w:szCs w:val="24"/>
        </w:rPr>
        <w:t>C.</w:t>
      </w:r>
      <w:r>
        <w:rPr>
          <w:rFonts w:ascii="FangSong" w:eastAsia="FangSong" w:hAnsi="FangSong" w:cs="FangSong"/>
          <w:spacing w:val="116"/>
          <w:sz w:val="24"/>
          <w:szCs w:val="24"/>
        </w:rPr>
        <w:t xml:space="preserve"> </w:t>
      </w:r>
      <w:r>
        <w:rPr>
          <w:rFonts w:ascii="FangSong" w:eastAsia="FangSong" w:hAnsi="FangSong" w:cs="FangSong"/>
          <w:spacing w:val="-6"/>
          <w:sz w:val="24"/>
          <w:szCs w:val="24"/>
        </w:rPr>
        <w:t>内审员不能审核自己的工作。</w:t>
      </w:r>
    </w:p>
    <w:p>
      <w:pPr>
        <w:pStyle w:val="BodyText"/>
        <w:spacing w:line="241" w:lineRule="auto"/>
      </w:pPr>
    </w:p>
    <w:p>
      <w:pPr>
        <w:spacing w:before="101" w:line="239" w:lineRule="auto"/>
        <w:ind w:left="29"/>
        <w:outlineLvl w:val="0"/>
        <w:rPr>
          <w:rFonts w:ascii="SimHei" w:eastAsia="SimHei" w:hAnsi="SimHei" w:cs="SimHei"/>
          <w:sz w:val="31"/>
          <w:szCs w:val="31"/>
        </w:rPr>
      </w:pPr>
      <w:bookmarkStart w:id="26" w:name="bookmark19"/>
      <w:bookmarkEnd w:id="26"/>
      <w:r>
        <w:rPr>
          <w:rFonts w:ascii="Times New Roman" w:eastAsia="Times New Roman" w:hAnsi="Times New Roman" w:cs="Times New Roman"/>
          <w:spacing w:val="5"/>
          <w:sz w:val="31"/>
          <w:szCs w:val="31"/>
        </w:rPr>
        <w:t>5.</w:t>
      </w:r>
      <w:r>
        <w:rPr>
          <w:rFonts w:ascii="SimHei" w:eastAsia="SimHei" w:hAnsi="SimHei" w:cs="SimHei"/>
          <w:spacing w:val="5"/>
          <w:sz w:val="31"/>
          <w:szCs w:val="31"/>
        </w:rPr>
        <w:t>相关文件</w:t>
      </w:r>
    </w:p>
    <w:p>
      <w:pPr>
        <w:spacing w:before="186" w:line="218" w:lineRule="auto"/>
        <w:ind w:left="444"/>
        <w:rPr>
          <w:rFonts w:ascii="FangSong" w:eastAsia="FangSong" w:hAnsi="FangSong" w:cs="FangSong"/>
          <w:sz w:val="24"/>
          <w:szCs w:val="24"/>
        </w:rPr>
      </w:pPr>
      <w:r>
        <w:rPr>
          <w:rFonts w:ascii="FangSong" w:eastAsia="FangSong" w:hAnsi="FangSong" w:cs="FangSong"/>
          <w:spacing w:val="-3"/>
          <w:sz w:val="24"/>
          <w:szCs w:val="24"/>
        </w:rPr>
        <w:t>《XX</w:t>
      </w:r>
      <w:r>
        <w:rPr>
          <w:rFonts w:ascii="FangSong" w:eastAsia="FangSong" w:hAnsi="FangSong" w:cs="FangSong"/>
          <w:spacing w:val="-39"/>
          <w:sz w:val="24"/>
          <w:szCs w:val="24"/>
        </w:rPr>
        <w:t xml:space="preserve"> </w:t>
      </w:r>
      <w:r>
        <w:rPr>
          <w:rFonts w:ascii="FangSong" w:eastAsia="FangSong" w:hAnsi="FangSong" w:cs="FangSong"/>
          <w:spacing w:val="-3"/>
          <w:sz w:val="24"/>
          <w:szCs w:val="24"/>
        </w:rPr>
        <w:t>年度年度内审计划表》</w:t>
      </w:r>
    </w:p>
    <w:p>
      <w:pPr>
        <w:spacing w:before="305" w:line="218" w:lineRule="auto"/>
        <w:ind w:left="444"/>
        <w:rPr>
          <w:rFonts w:ascii="FangSong" w:eastAsia="FangSong" w:hAnsi="FangSong" w:cs="FangSong"/>
          <w:sz w:val="24"/>
          <w:szCs w:val="24"/>
        </w:rPr>
      </w:pPr>
      <w:r>
        <w:rPr>
          <w:rFonts w:ascii="FangSong" w:eastAsia="FangSong" w:hAnsi="FangSong" w:cs="FangSong"/>
          <w:spacing w:val="-3"/>
          <w:sz w:val="24"/>
          <w:szCs w:val="24"/>
        </w:rPr>
        <w:t>《XX</w:t>
      </w:r>
      <w:r>
        <w:rPr>
          <w:rFonts w:ascii="FangSong" w:eastAsia="FangSong" w:hAnsi="FangSong" w:cs="FangSong"/>
          <w:spacing w:val="-39"/>
          <w:sz w:val="24"/>
          <w:szCs w:val="24"/>
        </w:rPr>
        <w:t xml:space="preserve"> </w:t>
      </w:r>
      <w:r>
        <w:rPr>
          <w:rFonts w:ascii="FangSong" w:eastAsia="FangSong" w:hAnsi="FangSong" w:cs="FangSong"/>
          <w:spacing w:val="-3"/>
          <w:sz w:val="24"/>
          <w:szCs w:val="24"/>
        </w:rPr>
        <w:t>年度审核安排计划表》</w:t>
      </w:r>
    </w:p>
    <w:p>
      <w:pPr>
        <w:spacing w:before="304" w:line="216" w:lineRule="auto"/>
        <w:ind w:left="444"/>
        <w:rPr>
          <w:rFonts w:ascii="FangSong" w:eastAsia="FangSong" w:hAnsi="FangSong" w:cs="FangSong"/>
          <w:sz w:val="24"/>
          <w:szCs w:val="24"/>
        </w:rPr>
      </w:pPr>
      <w:r>
        <w:rPr>
          <w:rFonts w:ascii="FangSong" w:eastAsia="FangSong" w:hAnsi="FangSong" w:cs="FangSong"/>
          <w:spacing w:val="-3"/>
          <w:sz w:val="24"/>
          <w:szCs w:val="24"/>
        </w:rPr>
        <w:t>《内审检查表》</w:t>
      </w:r>
    </w:p>
    <w:p>
      <w:pPr>
        <w:spacing w:before="307" w:line="218" w:lineRule="auto"/>
        <w:ind w:left="444"/>
        <w:rPr>
          <w:rFonts w:ascii="FangSong" w:eastAsia="FangSong" w:hAnsi="FangSong" w:cs="FangSong"/>
          <w:sz w:val="24"/>
          <w:szCs w:val="24"/>
        </w:rPr>
      </w:pPr>
      <w:r>
        <w:rPr>
          <w:rFonts w:ascii="FangSong" w:eastAsia="FangSong" w:hAnsi="FangSong" w:cs="FangSong"/>
          <w:spacing w:val="-3"/>
          <w:sz w:val="24"/>
          <w:szCs w:val="24"/>
        </w:rPr>
        <w:t>《内审报告》</w:t>
      </w:r>
    </w:p>
    <w:p>
      <w:pPr>
        <w:spacing w:before="304" w:line="217" w:lineRule="auto"/>
        <w:ind w:left="444"/>
        <w:rPr>
          <w:rFonts w:ascii="FangSong" w:eastAsia="FangSong" w:hAnsi="FangSong" w:cs="FangSong"/>
          <w:sz w:val="24"/>
          <w:szCs w:val="24"/>
        </w:rPr>
      </w:pPr>
      <w:r>
        <w:rPr>
          <w:rFonts w:ascii="FangSong" w:eastAsia="FangSong" w:hAnsi="FangSong" w:cs="FangSong"/>
          <w:spacing w:val="-3"/>
          <w:sz w:val="24"/>
          <w:szCs w:val="24"/>
        </w:rPr>
        <w:t>《不符合项报告》</w:t>
      </w:r>
    </w:p>
    <w:p>
      <w:pPr>
        <w:spacing w:before="307" w:line="218" w:lineRule="auto"/>
        <w:ind w:left="444"/>
        <w:rPr>
          <w:rFonts w:ascii="FangSong" w:eastAsia="FangSong" w:hAnsi="FangSong" w:cs="FangSong"/>
          <w:sz w:val="24"/>
          <w:szCs w:val="24"/>
        </w:rPr>
      </w:pPr>
      <w:r>
        <w:rPr>
          <w:rFonts w:ascii="FangSong" w:eastAsia="FangSong" w:hAnsi="FangSong" w:cs="FangSong"/>
          <w:spacing w:val="-2"/>
          <w:sz w:val="24"/>
          <w:szCs w:val="24"/>
        </w:rPr>
        <w:t>《持续改进计划表》</w:t>
      </w:r>
    </w:p>
    <w:sectPr>
      <w:headerReference w:type="default" r:id="rId15"/>
      <w:footerReference w:type="default" r:id="rId16"/>
      <w:pgSz w:w="11907" w:h="16839"/>
      <w:pgMar w:top="1855" w:right="1785" w:bottom="1711" w:left="1785" w:header="803" w:footer="99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Calibri Light">
    <w:panose1 w:val="020F0302020204030204"/>
    <w:charset w:val="00"/>
    <w:family w:val="auto"/>
    <w:pitch w:val="variable"/>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97" w:lineRule="auto"/>
      <w:ind w:left="4136"/>
      <w:rPr>
        <w:rFonts w:ascii="Calibri" w:eastAsia="Calibri" w:hAnsi="Calibri" w:cs="Calibri"/>
        <w:sz w:val="18"/>
        <w:szCs w:val="18"/>
      </w:rPr>
    </w:pPr>
    <w:r>
      <w:rPr>
        <w:rFonts w:ascii="Calibri" w:eastAsia="Calibri" w:hAnsi="Calibri" w:cs="Calibri"/>
        <w:sz w:val="18"/>
        <w:szCs w:val="18"/>
      </w:rPr>
      <w:t>1</w:t>
    </w:r>
  </w:p>
  <w:p>
    <w:pPr>
      <w:spacing w:line="527" w:lineRule="exact"/>
      <w:ind w:firstLine="14"/>
    </w:pPr>
    <w:r>
      <w:rPr>
        <w:position w:val="-10"/>
      </w:rPr>
      <w:drawing>
        <wp:inline distT="0" distB="0" distL="0" distR="0">
          <wp:extent cx="1464182" cy="335152"/>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64182" cy="335152"/>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97" w:lineRule="auto"/>
      <w:ind w:left="4479"/>
      <w:rPr>
        <w:rFonts w:ascii="Calibri" w:eastAsia="Calibri" w:hAnsi="Calibri" w:cs="Calibri"/>
        <w:sz w:val="18"/>
        <w:szCs w:val="18"/>
      </w:rPr>
    </w:pPr>
    <w:r>
      <w:rPr>
        <w:rFonts w:ascii="Calibri" w:eastAsia="Calibri" w:hAnsi="Calibri" w:cs="Calibri"/>
        <w:sz w:val="18"/>
        <w:szCs w:val="18"/>
      </w:rPr>
      <w:t>2</w:t>
    </w:r>
  </w:p>
  <w:p>
    <w:pPr>
      <w:spacing w:line="527" w:lineRule="exact"/>
      <w:ind w:firstLine="361"/>
    </w:pPr>
    <w:r>
      <w:rPr>
        <w:position w:val="-10"/>
      </w:rPr>
      <w:drawing>
        <wp:inline distT="0" distB="0" distL="0" distR="0">
          <wp:extent cx="1464182" cy="335152"/>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64182" cy="335152"/>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97" w:lineRule="auto"/>
      <w:ind w:left="4130"/>
      <w:rPr>
        <w:rFonts w:ascii="Calibri" w:eastAsia="Calibri" w:hAnsi="Calibri" w:cs="Calibri"/>
        <w:sz w:val="18"/>
        <w:szCs w:val="18"/>
      </w:rPr>
    </w:pPr>
    <w:r>
      <w:rPr>
        <w:rFonts w:ascii="Calibri" w:eastAsia="Calibri" w:hAnsi="Calibri" w:cs="Calibri"/>
        <w:sz w:val="18"/>
        <w:szCs w:val="18"/>
      </w:rPr>
      <w:t>3</w:t>
    </w:r>
  </w:p>
  <w:p>
    <w:pPr>
      <w:spacing w:line="527" w:lineRule="exact"/>
      <w:ind w:firstLine="14"/>
    </w:pPr>
    <w:r>
      <w:rPr>
        <w:position w:val="-10"/>
      </w:rPr>
      <w:drawing>
        <wp:inline distT="0" distB="0" distL="0" distR="0">
          <wp:extent cx="1464182" cy="335152"/>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1464182" cy="335152"/>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97" w:lineRule="auto"/>
      <w:ind w:left="4125"/>
      <w:rPr>
        <w:rFonts w:ascii="Calibri" w:eastAsia="Calibri" w:hAnsi="Calibri" w:cs="Calibri"/>
        <w:sz w:val="18"/>
        <w:szCs w:val="18"/>
      </w:rPr>
    </w:pPr>
    <w:r>
      <w:rPr>
        <w:rFonts w:ascii="Calibri" w:eastAsia="Calibri" w:hAnsi="Calibri" w:cs="Calibri"/>
        <w:sz w:val="18"/>
        <w:szCs w:val="18"/>
      </w:rPr>
      <w:t>4</w:t>
    </w:r>
  </w:p>
  <w:p>
    <w:pPr>
      <w:spacing w:line="527" w:lineRule="exact"/>
      <w:ind w:firstLine="14"/>
    </w:pPr>
    <w:r>
      <w:rPr>
        <w:position w:val="-10"/>
      </w:rPr>
      <w:drawing>
        <wp:inline distT="0" distB="0" distL="0" distR="0">
          <wp:extent cx="1464182" cy="335152"/>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464182" cy="335152"/>
                  </a:xfrm>
                  <a:prstGeom prst="rect">
                    <a:avLst/>
                  </a:prstGeom>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97" w:lineRule="auto"/>
      <w:ind w:left="4130"/>
      <w:rPr>
        <w:rFonts w:ascii="Calibri" w:eastAsia="Calibri" w:hAnsi="Calibri" w:cs="Calibri"/>
        <w:sz w:val="18"/>
        <w:szCs w:val="18"/>
      </w:rPr>
    </w:pPr>
    <w:r>
      <w:rPr>
        <w:rFonts w:ascii="Calibri" w:eastAsia="Calibri" w:hAnsi="Calibri" w:cs="Calibri"/>
        <w:sz w:val="18"/>
        <w:szCs w:val="18"/>
      </w:rPr>
      <w:t>5</w:t>
    </w:r>
  </w:p>
  <w:p>
    <w:pPr>
      <w:spacing w:line="527" w:lineRule="exact"/>
      <w:ind w:firstLine="14"/>
    </w:pPr>
    <w:r>
      <w:rPr>
        <w:position w:val="-10"/>
      </w:rPr>
      <w:drawing>
        <wp:inline distT="0" distB="0" distL="0" distR="0">
          <wp:extent cx="1464182" cy="335152"/>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64182" cy="335152"/>
                  </a:xfrm>
                  <a:prstGeom prst="rect">
                    <a:avLst/>
                  </a:prstGeom>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97" w:lineRule="auto"/>
      <w:ind w:left="4130"/>
      <w:rPr>
        <w:rFonts w:ascii="Calibri" w:eastAsia="Calibri" w:hAnsi="Calibri" w:cs="Calibri"/>
        <w:sz w:val="18"/>
        <w:szCs w:val="18"/>
      </w:rPr>
    </w:pPr>
    <w:r>
      <w:rPr>
        <w:rFonts w:ascii="Calibri" w:eastAsia="Calibri" w:hAnsi="Calibri" w:cs="Calibri"/>
        <w:sz w:val="18"/>
        <w:szCs w:val="18"/>
      </w:rPr>
      <w:t>6</w:t>
    </w:r>
  </w:p>
  <w:p>
    <w:pPr>
      <w:spacing w:line="527" w:lineRule="exact"/>
      <w:ind w:firstLine="14"/>
    </w:pPr>
    <w:r>
      <w:rPr>
        <w:position w:val="-10"/>
      </w:rPr>
      <w:drawing>
        <wp:inline distT="0" distB="0" distL="0" distR="0">
          <wp:extent cx="1464182" cy="335152"/>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464182" cy="335152"/>
                  </a:xfrm>
                  <a:prstGeom prst="rect">
                    <a:avLst/>
                  </a:prstGeom>
                </pic:spPr>
              </pic:pic>
            </a:graphicData>
          </a:graphic>
        </wp:inline>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97" w:lineRule="auto"/>
      <w:ind w:left="4130"/>
      <w:rPr>
        <w:rFonts w:ascii="Calibri" w:eastAsia="Calibri" w:hAnsi="Calibri" w:cs="Calibri"/>
        <w:sz w:val="18"/>
        <w:szCs w:val="18"/>
      </w:rPr>
    </w:pPr>
    <w:r>
      <w:rPr>
        <w:rFonts w:ascii="Calibri" w:eastAsia="Calibri" w:hAnsi="Calibri" w:cs="Calibri"/>
        <w:sz w:val="18"/>
        <w:szCs w:val="18"/>
      </w:rPr>
      <w:t>7</w:t>
    </w:r>
  </w:p>
  <w:p>
    <w:pPr>
      <w:spacing w:line="527" w:lineRule="exact"/>
      <w:ind w:firstLine="14"/>
    </w:pPr>
    <w:r>
      <w:rPr>
        <w:position w:val="-10"/>
      </w:rPr>
      <w:drawing>
        <wp:inline distT="0" distB="0" distL="0" distR="0">
          <wp:extent cx="1464182" cy="335152"/>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464182" cy="335152"/>
                  </a:xfrm>
                  <a:prstGeom prst="rect">
                    <a:avLst/>
                  </a:prstGeom>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8240" behindDoc="0" locked="0" layoutInCell="0" allowOverlap="1">
          <wp:simplePos x="0" y="0"/>
          <wp:positionH relativeFrom="page">
            <wp:posOffset>1209675</wp:posOffset>
          </wp:positionH>
          <wp:positionV relativeFrom="page">
            <wp:posOffset>541019</wp:posOffset>
          </wp:positionV>
          <wp:extent cx="851306" cy="58928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1306" cy="589280"/>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26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1312" behindDoc="0" locked="0" layoutInCell="0" allowOverlap="1">
          <wp:simplePos x="0" y="0"/>
          <wp:positionH relativeFrom="page">
            <wp:posOffset>1209675</wp:posOffset>
          </wp:positionH>
          <wp:positionV relativeFrom="page">
            <wp:posOffset>541019</wp:posOffset>
          </wp:positionV>
          <wp:extent cx="851306" cy="58928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1306" cy="589280"/>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13"/>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1209675</wp:posOffset>
          </wp:positionH>
          <wp:positionV relativeFrom="page">
            <wp:posOffset>541019</wp:posOffset>
          </wp:positionV>
          <wp:extent cx="851306" cy="589280"/>
          <wp:effectExtent l="0" t="0" r="0" b="0"/>
          <wp:wrapNone/>
          <wp:docPr id="52424329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1306" cy="589280"/>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26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2336" behindDoc="0" locked="0" layoutInCell="0" allowOverlap="1">
          <wp:simplePos x="0" y="0"/>
          <wp:positionH relativeFrom="page">
            <wp:posOffset>1209675</wp:posOffset>
          </wp:positionH>
          <wp:positionV relativeFrom="page">
            <wp:posOffset>541019</wp:posOffset>
          </wp:positionV>
          <wp:extent cx="851306" cy="58928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1306" cy="589280"/>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26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3360" behindDoc="0" locked="0" layoutInCell="0" allowOverlap="1">
          <wp:simplePos x="0" y="0"/>
          <wp:positionH relativeFrom="page">
            <wp:posOffset>1209675</wp:posOffset>
          </wp:positionH>
          <wp:positionV relativeFrom="page">
            <wp:posOffset>541019</wp:posOffset>
          </wp:positionV>
          <wp:extent cx="851306" cy="58928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851306" cy="589280"/>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26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0288" behindDoc="0" locked="0" layoutInCell="0" allowOverlap="1">
          <wp:simplePos x="0" y="0"/>
          <wp:positionH relativeFrom="page">
            <wp:posOffset>1209675</wp:posOffset>
          </wp:positionH>
          <wp:positionV relativeFrom="page">
            <wp:posOffset>541019</wp:posOffset>
          </wp:positionV>
          <wp:extent cx="851306" cy="589280"/>
          <wp:effectExtent l="0" t="0" r="0" b="0"/>
          <wp:wrapNone/>
          <wp:docPr id="59511680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1306" cy="589280"/>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26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header" Target="header5.xml" /><Relationship Id="rId14" Type="http://schemas.openxmlformats.org/officeDocument/2006/relationships/footer" Target="footer6.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0</cp:revision>
  <dcterms:created xsi:type="dcterms:W3CDTF">2023-07-25T23:01:10Z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2025-12-03T15:20:58Z</vt:filetime>
  </property>
  <property fmtid="{D5CDD505-2E9C-101B-9397-08002B2CF9AE}" pid="3" name="CRO">
    <vt:lpwstr>wqlLaW5nc29mdCBQREYgdG8gV1BTIDExNQ</vt:lpwstr>
  </property>
</Properties>
</file>