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234" w:line="217" w:lineRule="auto"/>
        <w:ind w:left="1327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2"/>
          <w:sz w:val="72"/>
          <w:szCs w:val="72"/>
        </w:rPr>
        <w:t>运维服务内审报告</w:t>
      </w:r>
    </w:p>
    <w:p>
      <w:pPr>
        <w:pStyle w:val="BodyText"/>
        <w:spacing w:line="310" w:lineRule="auto"/>
      </w:pPr>
    </w:p>
    <w:p>
      <w:pPr>
        <w:spacing w:before="91" w:line="232" w:lineRule="auto"/>
        <w:ind w:left="263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（YNTD-ITSS-07-01-05）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712" w:left="1785" w:header="803" w:footer="992" w:gutter="0"/>
          <w:cols w:space="720"/>
        </w:sectPr>
      </w:pPr>
    </w:p>
    <w:p>
      <w:pPr>
        <w:spacing w:before="140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5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</w:pPr>
            <w:r>
              <w:rPr>
                <w:b/>
                <w:bCs/>
                <w:spacing w:val="-5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6" w:lineRule="auto"/>
              <w:ind w:left="536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</w:pPr>
            <w:r>
              <w:rPr>
                <w:b/>
                <w:bCs/>
                <w:spacing w:val="-6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2"/>
            </w:pPr>
            <w:r>
              <w:rPr>
                <w:b/>
                <w:bCs/>
                <w:spacing w:val="-6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</w:pPr>
            <w:r>
              <w:rPr>
                <w:b/>
                <w:bCs/>
                <w:spacing w:val="-5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192"/>
            </w:pPr>
            <w:r>
              <w:rPr>
                <w:b/>
                <w:bCs/>
                <w:spacing w:val="-5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3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244"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88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269"/>
            </w:pPr>
            <w:r>
              <w:rPr>
                <w:b/>
                <w:bCs/>
                <w:spacing w:val="-5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4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447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79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2023.1.17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8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2023.1.17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3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2023.1.17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0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712" w:left="1438" w:header="803" w:footer="992" w:gutter="0"/>
          <w:cols w:space="720"/>
        </w:sectPr>
      </w:pPr>
    </w:p>
    <w:tbl>
      <w:tblPr>
        <w:tblStyle w:val="TableNormal"/>
        <w:tblW w:w="9712" w:type="dxa"/>
        <w:tblInd w:w="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712"/>
      </w:tblGrid>
      <w:tr>
        <w:tblPrEx>
          <w:tblW w:w="9712" w:type="dxa"/>
          <w:tblInd w:w="1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3"/>
        </w:trPr>
        <w:tc>
          <w:tcPr>
            <w:tcW w:w="9712" w:type="dxa"/>
          </w:tcPr>
          <w:p>
            <w:pPr>
              <w:spacing w:before="177" w:line="219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"/>
                <w:sz w:val="28"/>
                <w:szCs w:val="28"/>
              </w:rPr>
              <w:t>一、审核目的：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确保体系的符合性和有效性，并得到持续改进.</w:t>
            </w:r>
          </w:p>
        </w:tc>
      </w:tr>
      <w:tr>
        <w:tblPrEx>
          <w:tblW w:w="9712" w:type="dxa"/>
          <w:tblInd w:w="16" w:type="dxa"/>
          <w:tblLayout w:type="fixed"/>
        </w:tblPrEx>
        <w:trPr>
          <w:trHeight w:val="1096"/>
        </w:trPr>
        <w:tc>
          <w:tcPr>
            <w:tcW w:w="9712" w:type="dxa"/>
          </w:tcPr>
          <w:p>
            <w:pPr>
              <w:spacing w:before="173" w:line="219" w:lineRule="auto"/>
              <w:ind w:left="1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8"/>
                <w:szCs w:val="28"/>
              </w:rPr>
              <w:t>二、审核范围：</w:t>
            </w:r>
          </w:p>
          <w:p>
            <w:pPr>
              <w:spacing w:before="234" w:line="217" w:lineRule="auto"/>
              <w:ind w:left="1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公司</w:t>
            </w:r>
            <w:r>
              <w:rPr>
                <w:rFonts w:ascii="FangSong" w:eastAsia="FangSong" w:hAnsi="FangSong" w:cs="FangSong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体系标准覆盖的相关部门及活动</w:t>
            </w:r>
          </w:p>
        </w:tc>
      </w:tr>
      <w:tr>
        <w:tblPrEx>
          <w:tblW w:w="9712" w:type="dxa"/>
          <w:tblInd w:w="16" w:type="dxa"/>
          <w:tblLayout w:type="fixed"/>
        </w:tblPrEx>
        <w:trPr>
          <w:trHeight w:val="2500"/>
        </w:trPr>
        <w:tc>
          <w:tcPr>
            <w:tcW w:w="9712" w:type="dxa"/>
          </w:tcPr>
          <w:p>
            <w:pPr>
              <w:spacing w:before="174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8"/>
                <w:szCs w:val="28"/>
              </w:rPr>
              <w:t>三、审核依据：</w:t>
            </w:r>
          </w:p>
          <w:p>
            <w:pPr>
              <w:spacing w:before="234" w:line="360" w:lineRule="auto"/>
              <w:ind w:left="538" w:right="359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《信息技术服务</w:t>
            </w:r>
            <w:r>
              <w:rPr>
                <w:rFonts w:ascii="FangSong" w:eastAsia="FangSong" w:hAnsi="FangSong" w:cs="FangSong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运行维护服务能力成熟度模型》三级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《年度运维服务能力指标体系》</w:t>
            </w:r>
          </w:p>
          <w:p>
            <w:pPr>
              <w:spacing w:line="217" w:lineRule="auto"/>
              <w:ind w:left="66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公司</w:t>
            </w:r>
            <w:r>
              <w:rPr>
                <w:rFonts w:ascii="FangSong" w:eastAsia="FangSong" w:hAnsi="FangSong" w:cs="FangSong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管理制度及相关制度</w:t>
            </w:r>
          </w:p>
          <w:p>
            <w:pPr>
              <w:spacing w:before="185" w:line="217" w:lineRule="auto"/>
              <w:ind w:left="7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相适用的法律法规等</w:t>
            </w:r>
          </w:p>
        </w:tc>
      </w:tr>
      <w:tr>
        <w:tblPrEx>
          <w:tblW w:w="9712" w:type="dxa"/>
          <w:tblInd w:w="16" w:type="dxa"/>
          <w:tblLayout w:type="fixed"/>
        </w:tblPrEx>
        <w:trPr>
          <w:trHeight w:val="1096"/>
        </w:trPr>
        <w:tc>
          <w:tcPr>
            <w:tcW w:w="9712" w:type="dxa"/>
          </w:tcPr>
          <w:p>
            <w:pPr>
              <w:spacing w:before="175" w:line="219" w:lineRule="auto"/>
              <w:ind w:lef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四、审核日期：</w:t>
            </w:r>
          </w:p>
          <w:p>
            <w:pPr>
              <w:spacing w:before="233" w:line="218" w:lineRule="auto"/>
              <w:ind w:left="8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时间安排：2023</w:t>
            </w:r>
            <w:r>
              <w:rPr>
                <w:rFonts w:ascii="FangSong" w:eastAsia="FangSong" w:hAnsi="FangSong" w:cs="FangSong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日至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2023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2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日</w:t>
            </w:r>
          </w:p>
        </w:tc>
      </w:tr>
      <w:tr>
        <w:tblPrEx>
          <w:tblW w:w="9712" w:type="dxa"/>
          <w:tblInd w:w="16" w:type="dxa"/>
          <w:tblLayout w:type="fixed"/>
        </w:tblPrEx>
        <w:trPr>
          <w:trHeight w:val="2500"/>
        </w:trPr>
        <w:tc>
          <w:tcPr>
            <w:tcW w:w="9712" w:type="dxa"/>
          </w:tcPr>
          <w:p>
            <w:pPr>
              <w:spacing w:before="175" w:line="219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五、审核组成员</w:t>
            </w:r>
          </w:p>
          <w:p>
            <w:pPr>
              <w:spacing w:before="233" w:line="217" w:lineRule="auto"/>
              <w:ind w:left="57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内审组长：吴艳</w:t>
            </w:r>
          </w:p>
          <w:p>
            <w:pPr>
              <w:spacing w:before="186" w:line="360" w:lineRule="auto"/>
              <w:ind w:left="1322" w:right="149" w:hanging="77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部门：通信部、信息部、综合管理部（质量管理组、物资管理组）、营销部、总经部、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研发部</w:t>
            </w:r>
          </w:p>
          <w:p>
            <w:pPr>
              <w:spacing w:line="217" w:lineRule="auto"/>
              <w:ind w:left="56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审核组员：A</w:t>
            </w:r>
            <w:r>
              <w:rPr>
                <w:rFonts w:ascii="FangSong" w:eastAsia="FangSong" w:hAnsi="FangSong" w:cs="FangSong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组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许莹、罗超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B</w:t>
            </w:r>
            <w:r>
              <w:rPr>
                <w:rFonts w:ascii="FangSong" w:eastAsia="FangSong" w:hAnsi="FangSong" w:cs="FangSong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组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李彦、周丽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 xml:space="preserve"> 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C</w:t>
            </w:r>
            <w:r>
              <w:rPr>
                <w:rFonts w:ascii="FangSong" w:eastAsia="FangSong" w:hAnsi="FangSong" w:cs="FangSong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组</w:t>
            </w:r>
            <w:r>
              <w:rPr>
                <w:rFonts w:ascii="FangSong" w:eastAsia="FangSong" w:hAnsi="FangSong" w:cs="FangSong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卢肖依、胡刚</w:t>
            </w:r>
          </w:p>
        </w:tc>
      </w:tr>
      <w:tr>
        <w:tblPrEx>
          <w:tblW w:w="9712" w:type="dxa"/>
          <w:tblInd w:w="16" w:type="dxa"/>
          <w:tblLayout w:type="fixed"/>
        </w:tblPrEx>
        <w:trPr>
          <w:trHeight w:val="4372"/>
        </w:trPr>
        <w:tc>
          <w:tcPr>
            <w:tcW w:w="9712" w:type="dxa"/>
          </w:tcPr>
          <w:p>
            <w:pPr>
              <w:spacing w:before="179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8"/>
                <w:szCs w:val="28"/>
              </w:rPr>
              <w:t>六、审核过程综述：</w:t>
            </w:r>
          </w:p>
          <w:p>
            <w:pPr>
              <w:spacing w:before="234" w:line="360" w:lineRule="auto"/>
              <w:ind w:left="126" w:right="108" w:firstLine="443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我公司于</w:t>
            </w:r>
            <w:r>
              <w:rPr>
                <w:rFonts w:ascii="FangSong" w:eastAsia="FangSong" w:hAnsi="FangSong" w:cs="FangSong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2023</w:t>
            </w:r>
            <w:r>
              <w:rPr>
                <w:rFonts w:ascii="FangSong" w:eastAsia="FangSong" w:hAnsi="FangSong" w:cs="FangSong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日</w:t>
            </w:r>
            <w:r>
              <w:rPr>
                <w:rFonts w:ascii="FangSong" w:eastAsia="FangSong" w:hAnsi="FangSong" w:cs="FangSong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至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2023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2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日由综合管理部质量管理组组织审核成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员对本公司运维服务管理体系运行进行内部审核，对</w:t>
            </w: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本公司的所有涉及运维的各相关部门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进行现场抽查及采取验证的方式。</w:t>
            </w:r>
          </w:p>
          <w:p>
            <w:pPr>
              <w:spacing w:before="2" w:line="359" w:lineRule="auto"/>
              <w:ind w:left="125" w:right="172" w:firstLine="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通过此次公司内部审核，各相关部门和个人能认真对待、积极配合，</w:t>
            </w:r>
            <w:r>
              <w:rPr>
                <w:rFonts w:ascii="FangSong" w:eastAsia="FangSong" w:hAnsi="FangSong" w:cs="FangSong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内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审过程实施顺利，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取证较为全面、客观。在审核过程中发现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项不合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格项：</w:t>
            </w:r>
          </w:p>
          <w:p>
            <w:pPr>
              <w:spacing w:line="327" w:lineRule="auto"/>
              <w:ind w:left="121" w:right="126" w:firstLine="4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现场检查信息部&lt;国网湖南信通公司2022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年桌面设备运维服务项目&gt;，未见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10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月《沟通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记录》，不符合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通用要求的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5.3b</w:t>
            </w:r>
            <w:r>
              <w:rPr>
                <w:rFonts w:ascii="FangSong" w:eastAsia="FangSong" w:hAnsi="FangSong" w:cs="FangSong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的要求，建立与需方有效的沟通渠道，如定期访谈、</w:t>
            </w:r>
            <w:r>
              <w:rPr>
                <w:rFonts w:ascii="FangSong" w:eastAsia="FangSong" w:hAnsi="FangSong" w:cs="FangSong"/>
                <w:spacing w:val="-13"/>
                <w:sz w:val="24"/>
                <w:szCs w:val="24"/>
              </w:rPr>
              <w:t>邮件等；</w:t>
            </w:r>
          </w:p>
        </w:tc>
      </w:tr>
      <w:tr>
        <w:tblPrEx>
          <w:tblW w:w="9712" w:type="dxa"/>
          <w:tblInd w:w="16" w:type="dxa"/>
          <w:tblLayout w:type="fixed"/>
        </w:tblPrEx>
        <w:trPr>
          <w:trHeight w:val="981"/>
        </w:trPr>
        <w:tc>
          <w:tcPr>
            <w:tcW w:w="9712" w:type="dxa"/>
          </w:tcPr>
          <w:p>
            <w:pPr>
              <w:spacing w:before="181" w:line="218" w:lineRule="auto"/>
              <w:ind w:left="1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2"/>
                <w:sz w:val="28"/>
                <w:szCs w:val="28"/>
              </w:rPr>
              <w:t>七、不合格项统计与分析</w:t>
            </w:r>
            <w:r>
              <w:rPr>
                <w:rFonts w:ascii="FangSong" w:eastAsia="FangSong" w:hAnsi="FangSong" w:cs="FangSong"/>
                <w:spacing w:val="2"/>
                <w:sz w:val="28"/>
                <w:szCs w:val="28"/>
              </w:rPr>
              <w:t>（</w:t>
            </w: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包括：数量、严重程度、特定部门优缺点、</w:t>
            </w:r>
            <w:r>
              <w:rPr>
                <w:rFonts w:ascii="FangSong" w:eastAsia="FangSong" w:hAnsi="FangSong" w:cs="FangSong"/>
                <w:spacing w:val="1"/>
                <w:sz w:val="24"/>
                <w:szCs w:val="24"/>
              </w:rPr>
              <w:t>特定要素执行</w:t>
            </w:r>
          </w:p>
        </w:tc>
      </w:tr>
    </w:tbl>
    <w:p>
      <w:pPr>
        <w:pStyle w:val="BodyText"/>
        <w:spacing w:line="63" w:lineRule="exact"/>
        <w:rPr>
          <w:sz w:val="5"/>
        </w:rPr>
      </w:pPr>
    </w:p>
    <w:p>
      <w:pPr>
        <w:spacing w:line="63" w:lineRule="exact"/>
        <w:rPr>
          <w:sz w:val="5"/>
          <w:szCs w:val="5"/>
        </w:rPr>
        <w:sectPr>
          <w:headerReference w:type="default" r:id="rId8"/>
          <w:footerReference w:type="default" r:id="rId9"/>
          <w:pgSz w:w="11907" w:h="16839"/>
          <w:pgMar w:top="1834" w:right="1094" w:bottom="1712" w:left="1080" w:header="803" w:footer="992" w:gutter="0"/>
          <w:cols w:space="720"/>
        </w:sectPr>
      </w:pPr>
    </w:p>
    <w:tbl>
      <w:tblPr>
        <w:tblStyle w:val="TableNormal"/>
        <w:tblW w:w="9712" w:type="dxa"/>
        <w:tblInd w:w="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863"/>
        <w:gridCol w:w="4849"/>
      </w:tblGrid>
      <w:tr>
        <w:tblPrEx>
          <w:tblW w:w="9712" w:type="dxa"/>
          <w:tblInd w:w="1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976"/>
        </w:trPr>
        <w:tc>
          <w:tcPr>
            <w:tcW w:w="9712" w:type="dxa"/>
            <w:gridSpan w:val="2"/>
          </w:tcPr>
          <w:p>
            <w:pPr>
              <w:spacing w:before="120" w:line="215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情况、存在的主要问题等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）：</w:t>
            </w:r>
          </w:p>
          <w:p>
            <w:pPr>
              <w:spacing w:before="187" w:line="217" w:lineRule="auto"/>
              <w:ind w:left="1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根据相关审核条款审核组共发现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项不合格项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，属一般不合格，有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0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项严重不合格。</w:t>
            </w:r>
          </w:p>
        </w:tc>
      </w:tr>
      <w:tr>
        <w:tblPrEx>
          <w:tblW w:w="9712" w:type="dxa"/>
          <w:tblInd w:w="16" w:type="dxa"/>
          <w:tblLayout w:type="fixed"/>
        </w:tblPrEx>
        <w:trPr>
          <w:trHeight w:val="2771"/>
        </w:trPr>
        <w:tc>
          <w:tcPr>
            <w:tcW w:w="9712" w:type="dxa"/>
            <w:gridSpan w:val="2"/>
          </w:tcPr>
          <w:p>
            <w:pPr>
              <w:spacing w:before="176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八、纠正措施和整改期限：</w:t>
            </w:r>
          </w:p>
          <w:p>
            <w:pPr>
              <w:spacing w:before="235" w:line="215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针对此次内审不合格项，要求在五个工作日内整改完成，并做了以下措施：</w:t>
            </w:r>
          </w:p>
          <w:p>
            <w:pPr>
              <w:spacing w:before="188" w:line="215" w:lineRule="auto"/>
              <w:ind w:left="1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1.要求运维工程师在五内日补充《沟通记录》，按审批流程经批准后，发送客户；</w:t>
            </w:r>
          </w:p>
          <w:p>
            <w:pPr>
              <w:spacing w:before="188" w:line="217" w:lineRule="auto"/>
              <w:jc w:val="right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2.信息部与综合管理部质量管理组共同完成体系文件的培训，主要针对《客户沟通管理制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度》</w:t>
            </w:r>
          </w:p>
        </w:tc>
      </w:tr>
      <w:tr>
        <w:tblPrEx>
          <w:tblW w:w="9712" w:type="dxa"/>
          <w:tblInd w:w="16" w:type="dxa"/>
          <w:tblLayout w:type="fixed"/>
        </w:tblPrEx>
        <w:trPr>
          <w:trHeight w:val="2967"/>
        </w:trPr>
        <w:tc>
          <w:tcPr>
            <w:tcW w:w="9712" w:type="dxa"/>
            <w:gridSpan w:val="2"/>
          </w:tcPr>
          <w:p>
            <w:pPr>
              <w:spacing w:before="175" w:line="367" w:lineRule="auto"/>
              <w:ind w:left="136" w:right="1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1"/>
                <w:sz w:val="28"/>
                <w:szCs w:val="28"/>
              </w:rPr>
              <w:t>九、对质量管理体系的评价</w:t>
            </w:r>
            <w:r>
              <w:rPr>
                <w:rFonts w:ascii="FangSong" w:eastAsia="FangSong" w:hAnsi="FangSong" w:cs="FangSong"/>
                <w:spacing w:val="1"/>
                <w:sz w:val="24"/>
                <w:szCs w:val="24"/>
              </w:rPr>
              <w:t>（包括：文件体系与标准的符合程度、实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施效果、发现和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改进体系运行的机制及措施等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）：</w:t>
            </w:r>
          </w:p>
          <w:p>
            <w:pPr>
              <w:spacing w:line="336" w:lineRule="auto"/>
              <w:ind w:left="123" w:right="123" w:firstLine="4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通过此次审核，证明公司的运维管理体系运作良好，符合年度运维管理规划，各项指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标体系合理，符合公司的实际运行情况。同时证</w:t>
            </w: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明本公司的运维体系对内外部环境具备一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定的适宜性，现有的组织结构、资源配置、指标</w:t>
            </w: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体系被证明是充分的，有效的。希望全体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员工齐心协力、再接再励，为实现公司的质量目标努力。</w:t>
            </w:r>
          </w:p>
        </w:tc>
      </w:tr>
      <w:tr>
        <w:tblPrEx>
          <w:tblW w:w="9712" w:type="dxa"/>
          <w:tblInd w:w="16" w:type="dxa"/>
          <w:tblLayout w:type="fixed"/>
        </w:tblPrEx>
        <w:trPr>
          <w:trHeight w:val="2968"/>
        </w:trPr>
        <w:tc>
          <w:tcPr>
            <w:tcW w:w="9712" w:type="dxa"/>
            <w:gridSpan w:val="2"/>
          </w:tcPr>
          <w:p>
            <w:pPr>
              <w:spacing w:before="177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十、结论：</w:t>
            </w:r>
          </w:p>
          <w:p>
            <w:pPr>
              <w:spacing w:before="233" w:line="217" w:lineRule="auto"/>
              <w:ind w:left="55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此次内审是我公司以</w:t>
            </w:r>
            <w:r>
              <w:rPr>
                <w:rFonts w:ascii="FangSong" w:eastAsia="FangSong" w:hAnsi="FangSong" w:cs="FangSong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通用标准及本公司运维管理制度，根据运维能力管理计划，</w:t>
            </w:r>
          </w:p>
          <w:p>
            <w:pPr>
              <w:spacing w:before="185" w:line="336" w:lineRule="auto"/>
              <w:ind w:left="142" w:right="107" w:hanging="18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截止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2022</w:t>
            </w:r>
            <w:r>
              <w:rPr>
                <w:rFonts w:ascii="FangSong" w:eastAsia="FangSong" w:hAnsi="FangSong" w:cs="FangSong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31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日运维服务管理体系运行情况内审。就审核结果来看，运维体系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得到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了有效实施，公司运维服务体系能达到</w:t>
            </w:r>
            <w:r>
              <w:rPr>
                <w:rFonts w:ascii="FangSong" w:eastAsia="FangSong" w:hAnsi="FangSong" w:cs="FangSong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ITSS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通用标准要求，且公司的运维管理体系符合公</w:t>
            </w: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司的运维能力管理计划，运行实施保持了适宜性、有效性。综合管理部质量管理组在内审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中的不合格项已经监督过程的整改，并已经完成更新。</w:t>
            </w:r>
          </w:p>
        </w:tc>
      </w:tr>
      <w:tr>
        <w:tblPrEx>
          <w:tblW w:w="9712" w:type="dxa"/>
          <w:tblInd w:w="16" w:type="dxa"/>
          <w:tblLayout w:type="fixed"/>
        </w:tblPrEx>
        <w:trPr>
          <w:trHeight w:val="847"/>
        </w:trPr>
        <w:tc>
          <w:tcPr>
            <w:tcW w:w="4863" w:type="dxa"/>
          </w:tcPr>
          <w:p>
            <w:pPr>
              <w:spacing w:before="178" w:line="218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4"/>
                <w:sz w:val="28"/>
                <w:szCs w:val="28"/>
              </w:rPr>
              <w:t>编制人：许莹</w:t>
            </w:r>
          </w:p>
        </w:tc>
        <w:tc>
          <w:tcPr>
            <w:tcW w:w="4849" w:type="dxa"/>
          </w:tcPr>
          <w:p>
            <w:pPr>
              <w:spacing w:before="179" w:line="217" w:lineRule="auto"/>
              <w:ind w:left="1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审批人：吴艳</w:t>
            </w:r>
          </w:p>
        </w:tc>
      </w:tr>
    </w:tbl>
    <w:p>
      <w:pPr>
        <w:pStyle w:val="BodyText"/>
      </w:pPr>
    </w:p>
    <w:sectPr>
      <w:pgSz w:w="11907" w:h="16839"/>
      <w:pgMar w:top="1834" w:right="1094" w:bottom="1712" w:left="1080" w:header="803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36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6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1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753109</wp:posOffset>
          </wp:positionH>
          <wp:positionV relativeFrom="page">
            <wp:posOffset>541020</wp:posOffset>
          </wp:positionV>
          <wp:extent cx="855979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79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25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内审计划</dc:title>
  <dc:creator>admin</dc:creator>
  <cp:revision>0</cp:revision>
  <dcterms:created xsi:type="dcterms:W3CDTF">2023-07-25T23:03:45Z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2025-12-03T15:20:58Z</vt:filetime>
  </property>
  <property fmtid="{D5CDD505-2E9C-101B-9397-08002B2CF9AE}" pid="3" name="CRO">
    <vt:lpwstr>wqlLaW5nc29mdCBQREYgdG8gV1BTIDExNQ</vt:lpwstr>
  </property>
</Properties>
</file>