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spacing w:before="234" w:line="218" w:lineRule="auto"/>
        <w:ind w:left="2084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21"/>
          <w:sz w:val="72"/>
          <w:szCs w:val="72"/>
        </w:rPr>
        <w:t>管理评审程序</w:t>
      </w:r>
    </w:p>
    <w:p>
      <w:pPr>
        <w:spacing w:before="326" w:line="232" w:lineRule="auto"/>
        <w:ind w:left="284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（YNTD-ITSS-07-02）</w:t>
      </w: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spacing w:before="100" w:line="223" w:lineRule="auto"/>
        <w:ind w:left="163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855" w:right="1785" w:bottom="1980" w:left="1785" w:header="803" w:footer="1164" w:gutter="0"/>
          <w:cols w:space="720"/>
        </w:sectPr>
      </w:pPr>
    </w:p>
    <w:p>
      <w:pPr>
        <w:pStyle w:val="BodyText"/>
        <w:spacing w:line="253" w:lineRule="auto"/>
      </w:pPr>
    </w:p>
    <w:p>
      <w:pPr>
        <w:pStyle w:val="BodyText"/>
        <w:spacing w:line="254" w:lineRule="auto"/>
      </w:pPr>
    </w:p>
    <w:p>
      <w:pPr>
        <w:spacing w:before="98" w:line="220" w:lineRule="auto"/>
        <w:ind w:left="3175"/>
        <w:outlineLvl w:val="1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19"/>
      </w:pPr>
    </w:p>
    <w:tbl>
      <w:tblPr>
        <w:tblStyle w:val="TableNormal"/>
        <w:tblW w:w="9005" w:type="dxa"/>
        <w:tblInd w:w="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7"/>
        <w:gridCol w:w="881"/>
        <w:gridCol w:w="1274"/>
        <w:gridCol w:w="957"/>
        <w:gridCol w:w="1377"/>
        <w:gridCol w:w="1017"/>
        <w:gridCol w:w="1271"/>
        <w:gridCol w:w="1381"/>
      </w:tblGrid>
      <w:tr>
        <w:tblPrEx>
          <w:tblW w:w="9005" w:type="dxa"/>
          <w:tblInd w:w="1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88"/>
        </w:trPr>
        <w:tc>
          <w:tcPr>
            <w:tcW w:w="847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174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28" w:lineRule="auto"/>
              <w:ind w:left="536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</w:rPr>
              <w:t>/</w:t>
            </w:r>
            <w:r>
              <w:rPr>
                <w:b/>
                <w:bCs/>
                <w:spacing w:val="-4"/>
                <w:sz w:val="24"/>
                <w:szCs w:val="2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19" w:lineRule="auto"/>
              <w:ind w:left="927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20" w:lineRule="auto"/>
              <w:ind w:left="912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1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217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82"/>
        </w:trPr>
        <w:tc>
          <w:tcPr>
            <w:tcW w:w="847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pStyle w:val="TableText"/>
              <w:spacing w:before="180" w:line="220" w:lineRule="auto"/>
              <w:ind w:left="19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TableText"/>
              <w:spacing w:before="180" w:line="220" w:lineRule="auto"/>
              <w:ind w:left="431"/>
              <w:rPr>
                <w:sz w:val="24"/>
                <w:szCs w:val="24"/>
              </w:rPr>
            </w:pPr>
            <w:r>
              <w:rPr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TableText"/>
              <w:spacing w:before="180" w:line="220" w:lineRule="auto"/>
              <w:ind w:left="244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TableText"/>
              <w:spacing w:before="180" w:line="220" w:lineRule="auto"/>
              <w:ind w:left="488"/>
              <w:rPr>
                <w:sz w:val="24"/>
                <w:szCs w:val="24"/>
              </w:rPr>
            </w:pPr>
            <w:r>
              <w:rPr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TableText"/>
              <w:spacing w:before="180" w:line="221" w:lineRule="auto"/>
              <w:ind w:left="269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180" w:line="220" w:lineRule="auto"/>
              <w:ind w:left="441"/>
              <w:rPr>
                <w:sz w:val="24"/>
                <w:szCs w:val="24"/>
              </w:rPr>
            </w:pPr>
            <w:r>
              <w:rPr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1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12" w:type="dxa"/>
          <w:tblLayout w:type="fixed"/>
        </w:tblPrEx>
        <w:trPr>
          <w:trHeight w:val="651"/>
        </w:trPr>
        <w:tc>
          <w:tcPr>
            <w:tcW w:w="847" w:type="dxa"/>
            <w:tcBorders>
              <w:left w:val="single" w:sz="10" w:space="0" w:color="000000"/>
            </w:tcBorders>
          </w:tcPr>
          <w:p>
            <w:pPr>
              <w:spacing w:before="181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spacing w:before="180" w:line="220" w:lineRule="auto"/>
              <w:ind w:left="161"/>
            </w:pPr>
            <w:r>
              <w:rPr>
                <w:spacing w:val="-2"/>
              </w:rPr>
              <w:t>谢广胜</w:t>
            </w:r>
          </w:p>
        </w:tc>
        <w:tc>
          <w:tcPr>
            <w:tcW w:w="1274" w:type="dxa"/>
          </w:tcPr>
          <w:p>
            <w:pPr>
              <w:spacing w:before="181" w:line="236" w:lineRule="auto"/>
              <w:ind w:left="223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2016.12.3</w:t>
            </w:r>
          </w:p>
        </w:tc>
        <w:tc>
          <w:tcPr>
            <w:tcW w:w="957" w:type="dxa"/>
          </w:tcPr>
          <w:p>
            <w:pPr>
              <w:pStyle w:val="TableText"/>
              <w:spacing w:before="180" w:line="219" w:lineRule="auto"/>
              <w:ind w:left="202"/>
            </w:pPr>
            <w:r>
              <w:rPr>
                <w:spacing w:val="-2"/>
              </w:rPr>
              <w:t>赵建中</w:t>
            </w:r>
          </w:p>
        </w:tc>
        <w:tc>
          <w:tcPr>
            <w:tcW w:w="1377" w:type="dxa"/>
          </w:tcPr>
          <w:p>
            <w:pPr>
              <w:spacing w:before="181" w:line="236" w:lineRule="auto"/>
              <w:ind w:left="237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2016.12.23</w:t>
            </w:r>
          </w:p>
        </w:tc>
        <w:tc>
          <w:tcPr>
            <w:tcW w:w="1017" w:type="dxa"/>
          </w:tcPr>
          <w:p>
            <w:pPr>
              <w:pStyle w:val="TableText"/>
              <w:spacing w:before="180" w:line="220" w:lineRule="auto"/>
              <w:ind w:left="243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>
            <w:pPr>
              <w:spacing w:before="181" w:line="236" w:lineRule="auto"/>
              <w:ind w:left="27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2025.1.7</w:t>
            </w:r>
          </w:p>
        </w:tc>
        <w:tc>
          <w:tcPr>
            <w:tcW w:w="1381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180" w:line="219" w:lineRule="auto"/>
              <w:ind w:left="424"/>
            </w:pPr>
            <w:r>
              <w:rPr>
                <w:spacing w:val="-2"/>
              </w:rPr>
              <w:t>首次发布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32"/>
        </w:trPr>
        <w:tc>
          <w:tcPr>
            <w:tcW w:w="847" w:type="dxa"/>
            <w:tcBorders>
              <w:left w:val="single" w:sz="10" w:space="0" w:color="000000"/>
            </w:tcBorders>
          </w:tcPr>
          <w:p>
            <w:pPr>
              <w:spacing w:before="77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V1.1</w:t>
            </w:r>
          </w:p>
        </w:tc>
        <w:tc>
          <w:tcPr>
            <w:tcW w:w="881" w:type="dxa"/>
          </w:tcPr>
          <w:p>
            <w:pPr>
              <w:pStyle w:val="TableText"/>
              <w:spacing w:before="76" w:line="220" w:lineRule="auto"/>
              <w:ind w:left="161"/>
            </w:pPr>
            <w:r>
              <w:rPr>
                <w:spacing w:val="-2"/>
              </w:rPr>
              <w:t>谢广胜</w:t>
            </w:r>
          </w:p>
        </w:tc>
        <w:tc>
          <w:tcPr>
            <w:tcW w:w="1274" w:type="dxa"/>
          </w:tcPr>
          <w:p>
            <w:pPr>
              <w:spacing w:before="77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2020.1.6</w:t>
            </w:r>
          </w:p>
        </w:tc>
        <w:tc>
          <w:tcPr>
            <w:tcW w:w="957" w:type="dxa"/>
          </w:tcPr>
          <w:p>
            <w:pPr>
              <w:pStyle w:val="TableText"/>
              <w:spacing w:before="77" w:line="219" w:lineRule="auto"/>
              <w:ind w:left="202"/>
            </w:pPr>
            <w:r>
              <w:rPr>
                <w:spacing w:val="-2"/>
              </w:rPr>
              <w:t>赵建中</w:t>
            </w:r>
          </w:p>
        </w:tc>
        <w:tc>
          <w:tcPr>
            <w:tcW w:w="1377" w:type="dxa"/>
          </w:tcPr>
          <w:p>
            <w:pPr>
              <w:spacing w:before="77" w:line="236" w:lineRule="auto"/>
              <w:ind w:left="325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2020.1.8</w:t>
            </w:r>
          </w:p>
        </w:tc>
        <w:tc>
          <w:tcPr>
            <w:tcW w:w="1017" w:type="dxa"/>
          </w:tcPr>
          <w:p>
            <w:pPr>
              <w:pStyle w:val="TableText"/>
              <w:spacing w:before="76" w:line="220" w:lineRule="auto"/>
              <w:ind w:left="243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>
            <w:pPr>
              <w:spacing w:before="77" w:line="236" w:lineRule="auto"/>
              <w:ind w:left="27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2020.1.8</w:t>
            </w:r>
          </w:p>
        </w:tc>
        <w:tc>
          <w:tcPr>
            <w:tcW w:w="1381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76" w:line="220" w:lineRule="auto"/>
              <w:ind w:left="510"/>
            </w:pPr>
            <w:r>
              <w:rPr>
                <w:spacing w:val="-4"/>
              </w:rPr>
              <w:t>修</w:t>
            </w:r>
            <w:r>
              <w:rPr>
                <w:spacing w:val="7"/>
              </w:rPr>
              <w:t xml:space="preserve">  </w:t>
            </w:r>
            <w:r>
              <w:rPr>
                <w:spacing w:val="-4"/>
              </w:rPr>
              <w:t>改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51"/>
        </w:trPr>
        <w:tc>
          <w:tcPr>
            <w:tcW w:w="847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81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V1.2</w:t>
            </w: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81" w:line="220" w:lineRule="auto"/>
              <w:ind w:left="161"/>
            </w:pPr>
            <w:r>
              <w:rPr>
                <w:spacing w:val="-5"/>
              </w:rPr>
              <w:t>杨</w:t>
            </w:r>
            <w:r>
              <w:rPr>
                <w:spacing w:val="6"/>
              </w:rPr>
              <w:t xml:space="preserve">  </w:t>
            </w:r>
            <w:r>
              <w:rPr>
                <w:spacing w:val="-5"/>
              </w:rPr>
              <w:t>洁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spacing w:before="81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2023.1.5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81" w:line="220" w:lineRule="auto"/>
              <w:ind w:left="202"/>
            </w:pPr>
            <w:r>
              <w:rPr>
                <w:spacing w:val="-5"/>
              </w:rPr>
              <w:t>吴</w:t>
            </w:r>
            <w:r>
              <w:rPr>
                <w:spacing w:val="4"/>
              </w:rPr>
              <w:t xml:space="preserve">  </w:t>
            </w:r>
            <w:r>
              <w:rPr>
                <w:spacing w:val="-5"/>
              </w:rPr>
              <w:t>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81" w:line="236" w:lineRule="auto"/>
              <w:ind w:left="325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81" w:line="220" w:lineRule="auto"/>
              <w:ind w:left="243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81" w:line="236" w:lineRule="auto"/>
              <w:ind w:left="27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381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81" w:line="220" w:lineRule="auto"/>
              <w:ind w:left="510"/>
            </w:pPr>
            <w:r>
              <w:rPr>
                <w:spacing w:val="-4"/>
              </w:rPr>
              <w:t>修</w:t>
            </w:r>
            <w:r>
              <w:rPr>
                <w:spacing w:val="7"/>
              </w:rPr>
              <w:t xml:space="preserve">  </w:t>
            </w:r>
            <w:r>
              <w:rPr>
                <w:spacing w:val="-4"/>
              </w:rPr>
              <w:t>改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footerReference w:type="default" r:id="rId7"/>
          <w:pgSz w:w="11907" w:h="16839"/>
          <w:pgMar w:top="1855" w:right="1437" w:bottom="1980" w:left="1438" w:header="803" w:footer="1164" w:gutter="0"/>
          <w:cols w:space="720"/>
        </w:sectPr>
      </w:pPr>
    </w:p>
    <w:p>
      <w:pPr>
        <w:pStyle w:val="BodyText"/>
        <w:spacing w:line="296" w:lineRule="auto"/>
      </w:pPr>
    </w:p>
    <w:p>
      <w:pPr>
        <w:pStyle w:val="BodyText"/>
        <w:spacing w:line="297" w:lineRule="auto"/>
      </w:pPr>
    </w:p>
    <w:p>
      <w:pPr>
        <w:pStyle w:val="BodyText"/>
        <w:spacing w:line="297" w:lineRule="auto"/>
      </w:pPr>
    </w:p>
    <w:sdt>
      <w:sdtPr>
        <w:rPr>
          <w:rFonts w:ascii="SimSun" w:eastAsia="SimSun" w:hAnsi="SimSun" w:cs="SimSun"/>
          <w:sz w:val="31"/>
          <w:szCs w:val="31"/>
        </w:rPr>
        <w:id w:val="1602181174"/>
        <w:docPartObj>
          <w:docPartGallery w:val="Table of Contents"/>
          <w:docPartUnique/>
        </w:docPartObj>
      </w:sdtPr>
      <w:sdtEndPr>
        <w:rPr>
          <w:rFonts w:ascii="FangSong" w:eastAsia="FangSong" w:hAnsi="FangSong" w:cs="FangSong"/>
          <w:sz w:val="28"/>
          <w:szCs w:val="28"/>
        </w:rPr>
      </w:sdtEndPr>
      <w:sdtContent>
        <w:p>
          <w:pPr>
            <w:spacing w:before="100" w:line="227" w:lineRule="auto"/>
            <w:ind w:left="3921"/>
            <w:rPr>
              <w:rFonts w:ascii="SimSun" w:eastAsia="SimSun" w:hAnsi="SimSun" w:cs="SimSun"/>
              <w:sz w:val="31"/>
              <w:szCs w:val="31"/>
            </w:rPr>
          </w:pPr>
          <w:r>
            <w:rPr>
              <w:rFonts w:ascii="SimSun" w:eastAsia="SimSun" w:hAnsi="SimSun" w:cs="SimSun"/>
              <w:spacing w:val="-14"/>
              <w:sz w:val="31"/>
              <w:szCs w:val="31"/>
            </w:rPr>
            <w:t>目录</w:t>
          </w:r>
        </w:p>
        <w:p>
          <w:pPr>
            <w:pStyle w:val="BodyText"/>
            <w:spacing w:line="263" w:lineRule="auto"/>
          </w:pPr>
        </w:p>
        <w:p>
          <w:pPr>
            <w:pStyle w:val="BodyText"/>
            <w:spacing w:line="264" w:lineRule="auto"/>
          </w:pPr>
        </w:p>
        <w:p>
          <w:pPr>
            <w:pStyle w:val="BodyText"/>
            <w:spacing w:line="264" w:lineRule="auto"/>
          </w:pPr>
        </w:p>
        <w:p>
          <w:pPr>
            <w:tabs>
              <w:tab w:val="right" w:leader="dot" w:pos="8314"/>
            </w:tabs>
            <w:spacing w:before="91" w:line="185" w:lineRule="auto"/>
            <w:ind w:left="45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17"/>
              <w:sz w:val="28"/>
              <w:szCs w:val="28"/>
            </w:rPr>
            <w:t>1、目的</w:t>
          </w:r>
          <w:r>
            <w:rPr>
              <w:rFonts w:ascii="FangSong" w:eastAsia="FangSong" w:hAnsi="FangSong" w:cs="FangSong"/>
              <w:spacing w:val="-4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17"/>
              <w:w w:val="122"/>
              <w:sz w:val="28"/>
              <w:szCs w:val="28"/>
            </w:rPr>
            <w:t>4</w:t>
          </w:r>
        </w:p>
        <w:p>
          <w:pPr>
            <w:pStyle w:val="BodyText"/>
            <w:spacing w:line="251" w:lineRule="auto"/>
          </w:pPr>
        </w:p>
        <w:p>
          <w:pPr>
            <w:tabs>
              <w:tab w:val="right" w:leader="dot" w:pos="8314"/>
            </w:tabs>
            <w:spacing w:before="91" w:line="185" w:lineRule="auto"/>
            <w:ind w:left="27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11"/>
              <w:sz w:val="28"/>
              <w:szCs w:val="28"/>
            </w:rPr>
            <w:t>2、适用范围</w:t>
          </w:r>
          <w:r>
            <w:rPr>
              <w:rFonts w:ascii="FangSong" w:eastAsia="FangSong" w:hAnsi="FangSong" w:cs="FangSong"/>
              <w:spacing w:val="-29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17"/>
              <w:w w:val="122"/>
              <w:sz w:val="28"/>
              <w:szCs w:val="28"/>
            </w:rPr>
            <w:t>4</w:t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8314"/>
            </w:tabs>
            <w:spacing w:before="91" w:line="185" w:lineRule="auto"/>
            <w:ind w:left="29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13"/>
              <w:sz w:val="28"/>
              <w:szCs w:val="28"/>
            </w:rPr>
            <w:t>3、职责</w:t>
          </w:r>
          <w:r>
            <w:rPr>
              <w:rFonts w:ascii="FangSong" w:eastAsia="FangSong" w:hAnsi="FangSong" w:cs="FangSong"/>
              <w:spacing w:val="-4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17"/>
              <w:w w:val="122"/>
              <w:sz w:val="28"/>
              <w:szCs w:val="28"/>
            </w:rPr>
            <w:t>4</w:t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8314"/>
            </w:tabs>
            <w:spacing w:before="92" w:line="185" w:lineRule="auto"/>
            <w:ind w:left="2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3"/>
              <w:sz w:val="28"/>
              <w:szCs w:val="28"/>
            </w:rPr>
            <w:t>4、内容与要求</w:t>
          </w:r>
          <w:r>
            <w:rPr>
              <w:rFonts w:ascii="FangSong" w:eastAsia="FangSong" w:hAnsi="FangSong" w:cs="FangSong"/>
              <w:spacing w:val="-69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17"/>
              <w:w w:val="122"/>
              <w:sz w:val="28"/>
              <w:szCs w:val="28"/>
            </w:rPr>
            <w:t>4</w:t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8314"/>
            </w:tabs>
            <w:spacing w:before="92" w:line="185" w:lineRule="auto"/>
            <w:ind w:left="44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>4.1</w:t>
          </w:r>
          <w:r>
            <w:rPr>
              <w:rFonts w:ascii="FangSong" w:eastAsia="FangSong" w:hAnsi="FangSong" w:cs="FangSong"/>
              <w:spacing w:val="3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>管理评审频次</w:t>
          </w:r>
          <w:r>
            <w:rPr>
              <w:rFonts w:ascii="FangSong" w:eastAsia="FangSong" w:hAnsi="FangSong" w:cs="FangSong"/>
              <w:spacing w:val="-5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17"/>
              <w:w w:val="122"/>
              <w:sz w:val="28"/>
              <w:szCs w:val="28"/>
            </w:rPr>
            <w:t>4</w:t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8314"/>
            </w:tabs>
            <w:spacing w:before="92" w:line="185" w:lineRule="auto"/>
            <w:ind w:left="44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4.2</w:t>
          </w:r>
          <w:r>
            <w:rPr>
              <w:rFonts w:ascii="FangSong" w:eastAsia="FangSong" w:hAnsi="FangSong" w:cs="FangSong"/>
              <w:spacing w:val="20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评审输入</w:t>
          </w:r>
          <w:r>
            <w:rPr>
              <w:rFonts w:ascii="FangSong" w:eastAsia="FangSong" w:hAnsi="FangSong" w:cs="FangSong"/>
              <w:spacing w:val="-58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31"/>
              <w:w w:val="112"/>
              <w:sz w:val="28"/>
              <w:szCs w:val="28"/>
            </w:rPr>
            <w:t>5</w:t>
          </w:r>
        </w:p>
        <w:p>
          <w:pPr>
            <w:pStyle w:val="BodyText"/>
            <w:spacing w:line="251" w:lineRule="auto"/>
          </w:pPr>
        </w:p>
        <w:p>
          <w:pPr>
            <w:tabs>
              <w:tab w:val="right" w:leader="dot" w:pos="8314"/>
            </w:tabs>
            <w:spacing w:before="91" w:line="185" w:lineRule="auto"/>
            <w:ind w:left="44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4.3</w:t>
          </w:r>
          <w:r>
            <w:rPr>
              <w:rFonts w:ascii="FangSong" w:eastAsia="FangSong" w:hAnsi="FangSong" w:cs="FangSong"/>
              <w:spacing w:val="20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评审输出</w:t>
          </w:r>
          <w:r>
            <w:rPr>
              <w:rFonts w:ascii="FangSong" w:eastAsia="FangSong" w:hAnsi="FangSong" w:cs="FangSong"/>
              <w:spacing w:val="-58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24"/>
              <w:w w:val="117"/>
              <w:sz w:val="28"/>
              <w:szCs w:val="28"/>
            </w:rPr>
            <w:t>6</w:t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8314"/>
            </w:tabs>
            <w:spacing w:before="92" w:line="185" w:lineRule="auto"/>
            <w:ind w:left="44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4.4</w:t>
          </w:r>
          <w:r>
            <w:rPr>
              <w:rFonts w:ascii="FangSong" w:eastAsia="FangSong" w:hAnsi="FangSong" w:cs="FangSong"/>
              <w:spacing w:val="3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管理评审记录与持续改进</w:t>
          </w:r>
          <w:r>
            <w:rPr>
              <w:rFonts w:ascii="FangSong" w:eastAsia="FangSong" w:hAnsi="FangSong" w:cs="FangSong"/>
              <w:spacing w:val="-3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25"/>
              <w:w w:val="117"/>
              <w:sz w:val="28"/>
              <w:szCs w:val="28"/>
            </w:rPr>
            <w:t>6</w:t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8314"/>
            </w:tabs>
            <w:spacing w:before="92" w:line="185" w:lineRule="auto"/>
            <w:ind w:left="29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8"/>
              <w:sz w:val="28"/>
              <w:szCs w:val="28"/>
            </w:rPr>
            <w:t>5、相关文件</w:t>
          </w:r>
          <w:r>
            <w:rPr>
              <w:rFonts w:ascii="FangSong" w:eastAsia="FangSong" w:hAnsi="FangSong" w:cs="FangSong"/>
              <w:spacing w:val="-50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7</w:t>
          </w:r>
          <w:r>
            <w:fldChar w:fldCharType="end"/>
          </w:r>
        </w:p>
        <w:p>
          <w:pPr>
            <w:pStyle w:val="BodyText"/>
            <w:spacing w:line="251" w:lineRule="auto"/>
          </w:pPr>
        </w:p>
        <w:p>
          <w:pPr>
            <w:tabs>
              <w:tab w:val="right" w:leader="dot" w:pos="8314"/>
            </w:tabs>
            <w:spacing w:before="91" w:line="219" w:lineRule="auto"/>
            <w:ind w:left="26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10"/>
              <w:sz w:val="28"/>
              <w:szCs w:val="28"/>
            </w:rPr>
            <w:t>6、记录</w:t>
          </w:r>
          <w:r>
            <w:rPr>
              <w:rFonts w:ascii="FangSong" w:eastAsia="FangSong" w:hAnsi="FangSong" w:cs="FangSong"/>
              <w:spacing w:val="-5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7</w:t>
          </w:r>
          <w:r>
            <w:fldChar w:fldCharType="end"/>
          </w:r>
        </w:p>
      </w:sdtContent>
    </w:sdt>
    <w:p>
      <w:pPr>
        <w:spacing w:line="219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8"/>
          <w:footerReference w:type="default" r:id="rId9"/>
          <w:pgSz w:w="11907" w:h="16839"/>
          <w:pgMar w:top="1855" w:right="1785" w:bottom="1980" w:left="1785" w:header="803" w:footer="1165" w:gutter="0"/>
          <w:cols w:space="720"/>
        </w:sectPr>
      </w:pPr>
    </w:p>
    <w:p>
      <w:pPr>
        <w:pStyle w:val="BodyText"/>
        <w:spacing w:line="324" w:lineRule="auto"/>
      </w:pPr>
    </w:p>
    <w:p>
      <w:pPr>
        <w:spacing w:before="101"/>
        <w:ind w:left="147"/>
        <w:outlineLvl w:val="0"/>
        <w:rPr>
          <w:rFonts w:ascii="SimHei" w:eastAsia="SimHei" w:hAnsi="SimHei" w:cs="SimHei"/>
          <w:sz w:val="31"/>
          <w:szCs w:val="31"/>
        </w:rPr>
      </w:pPr>
      <w:bookmarkStart w:id="0" w:name="bookmark1"/>
      <w:bookmarkEnd w:id="0"/>
      <w:r>
        <w:rPr>
          <w:rFonts w:ascii="Times New Roman" w:eastAsia="Times New Roman" w:hAnsi="Times New Roman" w:cs="Times New Roman"/>
          <w:spacing w:val="-8"/>
          <w:sz w:val="31"/>
          <w:szCs w:val="31"/>
        </w:rPr>
        <w:t>1</w:t>
      </w:r>
      <w:r>
        <w:rPr>
          <w:rFonts w:ascii="SimHei" w:eastAsia="SimHei" w:hAnsi="SimHei" w:cs="SimHei"/>
          <w:spacing w:val="-8"/>
          <w:sz w:val="31"/>
          <w:szCs w:val="31"/>
        </w:rPr>
        <w:t>、目的</w:t>
      </w:r>
    </w:p>
    <w:p>
      <w:pPr>
        <w:pStyle w:val="BodyText"/>
        <w:spacing w:line="378" w:lineRule="auto"/>
      </w:pPr>
    </w:p>
    <w:p>
      <w:pPr>
        <w:spacing w:before="91" w:line="413" w:lineRule="auto"/>
        <w:ind w:left="34" w:firstLine="45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评价管理体系，确保其持续的适宜性、充分性和有效性。包括评</w:t>
      </w:r>
      <w:r>
        <w:rPr>
          <w:rFonts w:ascii="FangSong" w:eastAsia="FangSong" w:hAnsi="FangSong" w:cs="FangSong"/>
          <w:spacing w:val="-1"/>
          <w:sz w:val="28"/>
          <w:szCs w:val="28"/>
        </w:rPr>
        <w:t>价改进的机会和管理体系变更的需要，包括方针和目标变更的需求。</w:t>
      </w:r>
    </w:p>
    <w:p>
      <w:pPr>
        <w:spacing w:before="270"/>
        <w:ind w:left="21"/>
        <w:outlineLvl w:val="0"/>
        <w:rPr>
          <w:rFonts w:ascii="SimHei" w:eastAsia="SimHei" w:hAnsi="SimHei" w:cs="SimHei"/>
          <w:sz w:val="31"/>
          <w:szCs w:val="31"/>
        </w:rPr>
      </w:pPr>
      <w:bookmarkStart w:id="1" w:name="bookmark2"/>
      <w:bookmarkEnd w:id="1"/>
      <w:r>
        <w:rPr>
          <w:rFonts w:ascii="Times New Roman" w:eastAsia="Times New Roman" w:hAnsi="Times New Roman" w:cs="Times New Roman"/>
          <w:spacing w:val="2"/>
          <w:sz w:val="31"/>
          <w:szCs w:val="31"/>
        </w:rPr>
        <w:t>2</w:t>
      </w:r>
      <w:r>
        <w:rPr>
          <w:rFonts w:ascii="SimHei" w:eastAsia="SimHei" w:hAnsi="SimHei" w:cs="SimHei"/>
          <w:spacing w:val="2"/>
          <w:sz w:val="31"/>
          <w:szCs w:val="31"/>
        </w:rPr>
        <w:t>、适用范围</w:t>
      </w:r>
    </w:p>
    <w:p>
      <w:pPr>
        <w:pStyle w:val="BodyText"/>
        <w:spacing w:line="378" w:lineRule="auto"/>
      </w:pPr>
    </w:p>
    <w:p>
      <w:pPr>
        <w:spacing w:before="91" w:line="218" w:lineRule="auto"/>
        <w:ind w:left="48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适用于公司运维服务管理体系评价。</w:t>
      </w:r>
    </w:p>
    <w:p>
      <w:pPr>
        <w:pStyle w:val="BodyText"/>
        <w:spacing w:line="463" w:lineRule="auto"/>
      </w:pPr>
    </w:p>
    <w:p>
      <w:pPr>
        <w:spacing w:before="101" w:line="238" w:lineRule="auto"/>
        <w:ind w:left="27"/>
        <w:outlineLvl w:val="0"/>
        <w:rPr>
          <w:rFonts w:ascii="SimHei" w:eastAsia="SimHei" w:hAnsi="SimHei" w:cs="SimHei"/>
          <w:sz w:val="31"/>
          <w:szCs w:val="31"/>
        </w:rPr>
      </w:pPr>
      <w:bookmarkStart w:id="2" w:name="bookmark3"/>
      <w:bookmarkEnd w:id="2"/>
      <w:r>
        <w:rPr>
          <w:rFonts w:ascii="Times New Roman" w:eastAsia="Times New Roman" w:hAnsi="Times New Roman" w:cs="Times New Roman"/>
          <w:sz w:val="31"/>
          <w:szCs w:val="31"/>
        </w:rPr>
        <w:t>3</w:t>
      </w:r>
      <w:r>
        <w:rPr>
          <w:rFonts w:ascii="SimHei" w:eastAsia="SimHei" w:hAnsi="SimHei" w:cs="SimHei"/>
          <w:sz w:val="31"/>
          <w:szCs w:val="31"/>
        </w:rPr>
        <w:t>、职责</w:t>
      </w:r>
    </w:p>
    <w:p>
      <w:pPr>
        <w:pStyle w:val="BodyText"/>
        <w:spacing w:line="382" w:lineRule="auto"/>
      </w:pPr>
    </w:p>
    <w:p>
      <w:pPr>
        <w:spacing w:before="92" w:line="217" w:lineRule="auto"/>
        <w:ind w:left="2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3.1</w:t>
      </w:r>
      <w:r>
        <w:rPr>
          <w:rFonts w:ascii="FangSong" w:eastAsia="FangSong" w:hAnsi="FangSong" w:cs="FangSong"/>
          <w:spacing w:val="-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总经理主持管理评审，对管理体系进行评价。</w:t>
      </w:r>
    </w:p>
    <w:p>
      <w:pPr>
        <w:spacing w:before="296" w:line="216" w:lineRule="auto"/>
        <w:ind w:left="2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3.2</w:t>
      </w:r>
      <w:r>
        <w:rPr>
          <w:rFonts w:ascii="FangSong" w:eastAsia="FangSong" w:hAnsi="FangSong" w:cs="FangSong"/>
          <w:spacing w:val="-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"/>
          <w:sz w:val="28"/>
          <w:szCs w:val="28"/>
        </w:rPr>
        <w:t>管理者代表协助总经理进行管理评审的组织工作。</w:t>
      </w:r>
    </w:p>
    <w:p>
      <w:pPr>
        <w:spacing w:before="296" w:line="315" w:lineRule="auto"/>
        <w:ind w:left="54" w:right="100" w:hanging="2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3.3</w:t>
      </w:r>
      <w:r>
        <w:rPr>
          <w:rFonts w:ascii="FangSong" w:eastAsia="FangSong" w:hAnsi="FangSong" w:cs="FangSong"/>
          <w:spacing w:val="-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综合管理部质量管理组负责管理评审的会务工作，并保持管理评</w:t>
      </w:r>
      <w:r>
        <w:rPr>
          <w:rFonts w:ascii="FangSong" w:eastAsia="FangSong" w:hAnsi="FangSong" w:cs="FangSong"/>
          <w:spacing w:val="-15"/>
          <w:sz w:val="28"/>
          <w:szCs w:val="28"/>
        </w:rPr>
        <w:t>审记录。</w:t>
      </w:r>
    </w:p>
    <w:p>
      <w:pPr>
        <w:pStyle w:val="BodyText"/>
        <w:spacing w:line="463" w:lineRule="auto"/>
      </w:pPr>
    </w:p>
    <w:p>
      <w:pPr>
        <w:spacing w:before="101" w:line="239" w:lineRule="auto"/>
        <w:ind w:left="19"/>
        <w:outlineLvl w:val="0"/>
        <w:rPr>
          <w:rFonts w:ascii="SimHei" w:eastAsia="SimHei" w:hAnsi="SimHei" w:cs="SimHei"/>
          <w:sz w:val="31"/>
          <w:szCs w:val="31"/>
        </w:rPr>
      </w:pPr>
      <w:bookmarkStart w:id="3" w:name="bookmark11"/>
      <w:bookmarkEnd w:id="3"/>
      <w:r>
        <w:rPr>
          <w:rFonts w:ascii="Times New Roman" w:eastAsia="Times New Roman" w:hAnsi="Times New Roman" w:cs="Times New Roman"/>
          <w:spacing w:val="6"/>
          <w:sz w:val="31"/>
          <w:szCs w:val="31"/>
        </w:rPr>
        <w:t>4</w:t>
      </w:r>
      <w:r>
        <w:rPr>
          <w:rFonts w:ascii="SimHei" w:eastAsia="SimHei" w:hAnsi="SimHei" w:cs="SimHei"/>
          <w:spacing w:val="6"/>
          <w:sz w:val="31"/>
          <w:szCs w:val="31"/>
        </w:rPr>
        <w:t>、内容与要求</w:t>
      </w:r>
    </w:p>
    <w:p>
      <w:pPr>
        <w:pStyle w:val="BodyText"/>
        <w:spacing w:line="306" w:lineRule="auto"/>
      </w:pPr>
    </w:p>
    <w:p>
      <w:pPr>
        <w:pStyle w:val="BodyText"/>
        <w:spacing w:before="101" w:line="237" w:lineRule="auto"/>
        <w:ind w:left="20"/>
        <w:outlineLvl w:val="1"/>
        <w:rPr>
          <w:rFonts w:ascii="FangSong" w:eastAsia="FangSong" w:hAnsi="FangSong" w:cs="FangSong"/>
          <w:sz w:val="31"/>
          <w:szCs w:val="31"/>
        </w:rPr>
      </w:pPr>
      <w:bookmarkStart w:id="4" w:name="bookmark4"/>
      <w:bookmarkEnd w:id="4"/>
      <w:bookmarkStart w:id="5" w:name="bookmark5"/>
      <w:bookmarkEnd w:id="5"/>
      <w:r>
        <w:rPr>
          <w:b/>
          <w:bCs/>
          <w:spacing w:val="1"/>
          <w:sz w:val="31"/>
          <w:szCs w:val="31"/>
        </w:rPr>
        <w:t>4.1</w:t>
      </w:r>
      <w:r>
        <w:rPr>
          <w:b/>
          <w:bCs/>
          <w:spacing w:val="16"/>
          <w:sz w:val="31"/>
          <w:szCs w:val="31"/>
        </w:rPr>
        <w:t xml:space="preserve">  </w:t>
      </w:r>
      <w:r>
        <w:rPr>
          <w:rFonts w:ascii="FangSong" w:eastAsia="FangSong" w:hAnsi="FangSong" w:cs="FangSong"/>
          <w:b/>
          <w:bCs/>
          <w:spacing w:val="1"/>
          <w:sz w:val="31"/>
          <w:szCs w:val="31"/>
        </w:rPr>
        <w:t>管理评审频次</w:t>
      </w:r>
    </w:p>
    <w:p>
      <w:pPr>
        <w:pStyle w:val="BodyText"/>
        <w:spacing w:line="317" w:lineRule="auto"/>
      </w:pPr>
    </w:p>
    <w:p>
      <w:pPr>
        <w:spacing w:before="91" w:line="411" w:lineRule="auto"/>
        <w:ind w:left="55" w:right="112" w:firstLine="44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每年至少进行一次对管理体系的总结性评价。一般情况下，</w:t>
      </w:r>
      <w:r>
        <w:rPr>
          <w:rFonts w:ascii="FangSong" w:eastAsia="FangSong" w:hAnsi="FangSong" w:cs="FangSong"/>
          <w:spacing w:val="-2"/>
          <w:sz w:val="28"/>
          <w:szCs w:val="28"/>
        </w:rPr>
        <w:t>以公</w:t>
      </w:r>
      <w:r>
        <w:rPr>
          <w:rFonts w:ascii="FangSong" w:eastAsia="FangSong" w:hAnsi="FangSong" w:cs="FangSong"/>
          <w:spacing w:val="-3"/>
          <w:sz w:val="28"/>
          <w:szCs w:val="28"/>
        </w:rPr>
        <w:t>司年终总结会的形式进行。但出现下列情况之一时，追加评审。</w:t>
      </w:r>
    </w:p>
    <w:p>
      <w:pPr>
        <w:spacing w:before="1" w:line="218" w:lineRule="auto"/>
        <w:ind w:left="33"/>
        <w:rPr>
          <w:rFonts w:ascii="FangSong" w:eastAsia="FangSong" w:hAnsi="FangSong" w:cs="FangSong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（1）</w:t>
      </w:r>
      <w:r>
        <w:rPr>
          <w:rFonts w:ascii="FangSong" w:eastAsia="FangSong" w:hAnsi="FangSong" w:cs="FangSong"/>
          <w:spacing w:val="-3"/>
          <w:sz w:val="28"/>
          <w:szCs w:val="28"/>
        </w:rPr>
        <w:t>组织机构、资源配置发生重大变化；</w:t>
      </w:r>
    </w:p>
    <w:p>
      <w:pPr>
        <w:spacing w:before="292" w:line="218" w:lineRule="auto"/>
        <w:ind w:left="33"/>
        <w:rPr>
          <w:rFonts w:ascii="FangSong" w:eastAsia="FangSong" w:hAnsi="FangSong" w:cs="FangSong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（2）</w:t>
      </w:r>
      <w:r>
        <w:rPr>
          <w:rFonts w:ascii="FangSong" w:eastAsia="FangSong" w:hAnsi="FangSong" w:cs="FangSong"/>
          <w:spacing w:val="-3"/>
          <w:sz w:val="28"/>
          <w:szCs w:val="28"/>
        </w:rPr>
        <w:t>发生重大运维服务事故，顾客严重投</w:t>
      </w:r>
      <w:r>
        <w:rPr>
          <w:rFonts w:ascii="FangSong" w:eastAsia="FangSong" w:hAnsi="FangSong" w:cs="FangSong"/>
          <w:spacing w:val="-4"/>
          <w:sz w:val="28"/>
          <w:szCs w:val="28"/>
        </w:rPr>
        <w:t>诉；</w:t>
      </w:r>
    </w:p>
    <w:p>
      <w:pPr>
        <w:spacing w:before="293" w:line="219" w:lineRule="auto"/>
        <w:ind w:left="33"/>
        <w:rPr>
          <w:rFonts w:ascii="FangSong" w:eastAsia="FangSong" w:hAnsi="FangSong" w:cs="FangSong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（3）</w:t>
      </w:r>
      <w:r>
        <w:rPr>
          <w:rFonts w:ascii="FangSong" w:eastAsia="FangSong" w:hAnsi="FangSong" w:cs="FangSong"/>
          <w:spacing w:val="-2"/>
          <w:sz w:val="28"/>
          <w:szCs w:val="28"/>
        </w:rPr>
        <w:t>体系方针、目标的修改；</w:t>
      </w:r>
    </w:p>
    <w:p>
      <w:pPr>
        <w:spacing w:line="219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0"/>
          <w:footerReference w:type="default" r:id="rId11"/>
          <w:pgSz w:w="11907" w:h="16839"/>
          <w:pgMar w:top="1855" w:right="1700" w:bottom="1980" w:left="1785" w:header="803" w:footer="1164" w:gutter="0"/>
          <w:cols w:space="720"/>
        </w:sectPr>
      </w:pPr>
    </w:p>
    <w:p>
      <w:pPr>
        <w:spacing w:before="152" w:line="219" w:lineRule="auto"/>
        <w:ind w:left="33"/>
        <w:rPr>
          <w:rFonts w:ascii="FangSong" w:eastAsia="FangSong" w:hAnsi="FangSong" w:cs="FangSong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（4）</w:t>
      </w:r>
      <w:r>
        <w:rPr>
          <w:rFonts w:ascii="FangSong" w:eastAsia="FangSong" w:hAnsi="FangSong" w:cs="FangSong"/>
          <w:spacing w:val="-2"/>
          <w:sz w:val="28"/>
          <w:szCs w:val="28"/>
        </w:rPr>
        <w:t>内部或外部管理体系审核中发现严重不</w:t>
      </w:r>
      <w:r>
        <w:rPr>
          <w:rFonts w:ascii="FangSong" w:eastAsia="FangSong" w:hAnsi="FangSong" w:cs="FangSong"/>
          <w:spacing w:val="-3"/>
          <w:sz w:val="28"/>
          <w:szCs w:val="28"/>
        </w:rPr>
        <w:t>合格；</w:t>
      </w:r>
    </w:p>
    <w:p>
      <w:pPr>
        <w:pStyle w:val="BodyText"/>
        <w:spacing w:line="386" w:lineRule="auto"/>
      </w:pPr>
    </w:p>
    <w:p>
      <w:pPr>
        <w:pStyle w:val="BodyText"/>
        <w:spacing w:before="100" w:line="237" w:lineRule="auto"/>
        <w:ind w:left="20"/>
        <w:outlineLvl w:val="1"/>
        <w:rPr>
          <w:rFonts w:ascii="FangSong" w:eastAsia="FangSong" w:hAnsi="FangSong" w:cs="FangSong"/>
          <w:sz w:val="31"/>
          <w:szCs w:val="31"/>
        </w:rPr>
      </w:pPr>
      <w:bookmarkStart w:id="6" w:name="bookmark6"/>
      <w:bookmarkEnd w:id="6"/>
      <w:r>
        <w:rPr>
          <w:b/>
          <w:bCs/>
          <w:spacing w:val="2"/>
          <w:sz w:val="31"/>
          <w:szCs w:val="31"/>
        </w:rPr>
        <w:t xml:space="preserve">4.2  </w:t>
      </w:r>
      <w:r>
        <w:rPr>
          <w:rFonts w:ascii="FangSong" w:eastAsia="FangSong" w:hAnsi="FangSong" w:cs="FangSong"/>
          <w:b/>
          <w:bCs/>
          <w:spacing w:val="2"/>
          <w:sz w:val="31"/>
          <w:szCs w:val="31"/>
        </w:rPr>
        <w:t>评审输入</w:t>
      </w:r>
    </w:p>
    <w:p>
      <w:pPr>
        <w:pStyle w:val="BodyText"/>
        <w:spacing w:line="306" w:lineRule="auto"/>
      </w:pPr>
    </w:p>
    <w:p>
      <w:pPr>
        <w:spacing w:before="91" w:line="373" w:lineRule="auto"/>
        <w:ind w:left="35" w:right="8" w:firstLine="54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4.2.1</w:t>
      </w:r>
      <w:r>
        <w:rPr>
          <w:rFonts w:ascii="FangSong" w:eastAsia="FangSong" w:hAnsi="FangSong" w:cs="FangSong"/>
          <w:spacing w:val="-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管理者代表组织综合管理部质量</w:t>
      </w:r>
      <w:r>
        <w:rPr>
          <w:rFonts w:ascii="FangSong" w:eastAsia="FangSong" w:hAnsi="FangSong" w:cs="FangSong"/>
          <w:spacing w:val="-4"/>
          <w:sz w:val="28"/>
          <w:szCs w:val="28"/>
        </w:rPr>
        <w:t>管理组编制《运维服务管</w:t>
      </w:r>
      <w:r>
        <w:rPr>
          <w:rFonts w:ascii="FangSong" w:eastAsia="FangSong" w:hAnsi="FangSong" w:cs="FangSong"/>
          <w:spacing w:val="-7"/>
          <w:sz w:val="28"/>
          <w:szCs w:val="28"/>
        </w:rPr>
        <w:t>理评审计划》，总经理批准后，综合管理部质量管理组提前</w:t>
      </w:r>
      <w:r>
        <w:rPr>
          <w:rFonts w:ascii="FangSong" w:eastAsia="FangSong" w:hAnsi="FangSong" w:cs="FangSong"/>
          <w:spacing w:val="-3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7"/>
          <w:sz w:val="28"/>
          <w:szCs w:val="28"/>
        </w:rPr>
        <w:t>1</w:t>
      </w:r>
      <w:r>
        <w:rPr>
          <w:rFonts w:ascii="FangSong" w:eastAsia="FangSong" w:hAnsi="FangSong" w:cs="FangSong"/>
          <w:spacing w:val="-5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7"/>
          <w:sz w:val="28"/>
          <w:szCs w:val="28"/>
        </w:rPr>
        <w:t>周</w:t>
      </w:r>
      <w:r>
        <w:rPr>
          <w:rFonts w:ascii="FangSong" w:eastAsia="FangSong" w:hAnsi="FangSong" w:cs="FangSong"/>
          <w:spacing w:val="-8"/>
          <w:sz w:val="28"/>
          <w:szCs w:val="28"/>
        </w:rPr>
        <w:t>通知</w:t>
      </w:r>
      <w:r>
        <w:rPr>
          <w:rFonts w:ascii="FangSong" w:eastAsia="FangSong" w:hAnsi="FangSong" w:cs="FangSong"/>
          <w:spacing w:val="-1"/>
          <w:sz w:val="28"/>
          <w:szCs w:val="28"/>
        </w:rPr>
        <w:t>参加评审会议的人员。计划主要内容包括：评审会议的时间、地点、</w:t>
      </w:r>
      <w:r>
        <w:rPr>
          <w:rFonts w:ascii="FangSong" w:eastAsia="FangSong" w:hAnsi="FangSong" w:cs="FangSong"/>
          <w:spacing w:val="-4"/>
          <w:sz w:val="28"/>
          <w:szCs w:val="28"/>
        </w:rPr>
        <w:t>主持人、参加人、评审输入信息要求等。各部门、综合管理部质量管</w:t>
      </w:r>
      <w:r>
        <w:rPr>
          <w:rFonts w:ascii="FangSong" w:eastAsia="FangSong" w:hAnsi="FangSong" w:cs="FangSong"/>
          <w:spacing w:val="-2"/>
          <w:sz w:val="28"/>
          <w:szCs w:val="28"/>
        </w:rPr>
        <w:t>理组以书面形式向主管部门提供所需的资料或数据。</w:t>
      </w:r>
    </w:p>
    <w:p>
      <w:pPr>
        <w:spacing w:before="296" w:line="314" w:lineRule="auto"/>
        <w:ind w:left="33" w:right="18" w:firstLine="54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4.2.2</w:t>
      </w:r>
      <w:r>
        <w:rPr>
          <w:rFonts w:ascii="FangSong" w:eastAsia="FangSong" w:hAnsi="FangSong" w:cs="FangSong"/>
          <w:spacing w:val="-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"/>
          <w:sz w:val="28"/>
          <w:szCs w:val="28"/>
        </w:rPr>
        <w:t>综合管理部质量管理组收集汇总各职能部门的相关信息，</w:t>
      </w:r>
      <w:r>
        <w:rPr>
          <w:rFonts w:ascii="FangSong" w:eastAsia="FangSong" w:hAnsi="FangSong" w:cs="FangSong"/>
          <w:spacing w:val="-9"/>
          <w:sz w:val="28"/>
          <w:szCs w:val="28"/>
        </w:rPr>
        <w:t>形成《管理体系运行基本情况报告》，主要内容包括：</w:t>
      </w:r>
    </w:p>
    <w:p>
      <w:pPr>
        <w:spacing w:before="295" w:line="219" w:lineRule="auto"/>
        <w:ind w:left="45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（1）公司各项管理目标（指标）的实现情况；</w:t>
      </w:r>
    </w:p>
    <w:p>
      <w:pPr>
        <w:spacing w:before="293" w:line="216" w:lineRule="auto"/>
        <w:ind w:left="45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（2）运维服务的评价选择及履约状况；</w:t>
      </w:r>
    </w:p>
    <w:p>
      <w:pPr>
        <w:spacing w:before="296" w:line="216" w:lineRule="auto"/>
        <w:ind w:left="45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（3）对各职能部门管理活动监督检查情况的综合分析；</w:t>
      </w:r>
    </w:p>
    <w:p>
      <w:pPr>
        <w:spacing w:before="296" w:line="314" w:lineRule="auto"/>
        <w:ind w:left="36" w:right="119" w:firstLine="41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（4）内部和外部管理体系审核结果（包括审核中发现的不符合项</w:t>
      </w:r>
      <w:r>
        <w:rPr>
          <w:rFonts w:ascii="FangSong" w:eastAsia="FangSong" w:hAnsi="FangSong" w:cs="FangSong"/>
          <w:spacing w:val="-20"/>
          <w:sz w:val="28"/>
          <w:szCs w:val="28"/>
        </w:rPr>
        <w:t>及分布情况</w:t>
      </w:r>
      <w:r>
        <w:rPr>
          <w:rFonts w:ascii="FangSong" w:eastAsia="FangSong" w:hAnsi="FangSong" w:cs="FangSong"/>
          <w:spacing w:val="-40"/>
          <w:sz w:val="28"/>
          <w:szCs w:val="28"/>
        </w:rPr>
        <w:t>）；</w:t>
      </w:r>
    </w:p>
    <w:p>
      <w:pPr>
        <w:spacing w:before="296" w:line="219" w:lineRule="auto"/>
        <w:ind w:left="45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（5）上次管理评审提出改进措施的落实情况；</w:t>
      </w:r>
    </w:p>
    <w:p>
      <w:pPr>
        <w:spacing w:before="292" w:line="218" w:lineRule="auto"/>
        <w:ind w:left="45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（6）可能影响管理体系的变更情况以及改进建议等；</w:t>
      </w:r>
    </w:p>
    <w:p>
      <w:pPr>
        <w:spacing w:before="293" w:line="218" w:lineRule="auto"/>
        <w:jc w:val="right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0"/>
          <w:sz w:val="28"/>
          <w:szCs w:val="28"/>
        </w:rPr>
        <w:t>（7）综合管理部质量管理组其他相关信息的收集、分析和利用等。</w:t>
      </w:r>
    </w:p>
    <w:p>
      <w:pPr>
        <w:spacing w:before="294" w:line="408" w:lineRule="auto"/>
        <w:ind w:left="34" w:right="101" w:firstLine="548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4.2.3</w:t>
      </w:r>
      <w:r>
        <w:rPr>
          <w:rFonts w:ascii="FangSong" w:eastAsia="FangSong" w:hAnsi="FangSong" w:cs="FangSong"/>
          <w:spacing w:val="-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服务台（信息部客服中心组）收</w:t>
      </w:r>
      <w:r>
        <w:rPr>
          <w:rFonts w:ascii="FangSong" w:eastAsia="FangSong" w:hAnsi="FangSong" w:cs="FangSong"/>
          <w:spacing w:val="-4"/>
          <w:sz w:val="28"/>
          <w:szCs w:val="28"/>
        </w:rPr>
        <w:t>集汇总各部门、综合管理</w:t>
      </w:r>
      <w:r>
        <w:rPr>
          <w:rFonts w:ascii="FangSong" w:eastAsia="FangSong" w:hAnsi="FangSong" w:cs="FangSong"/>
          <w:spacing w:val="-5"/>
          <w:sz w:val="28"/>
          <w:szCs w:val="28"/>
        </w:rPr>
        <w:t>部质量管理组相关信息，形成《顾客满意综</w:t>
      </w:r>
      <w:r>
        <w:rPr>
          <w:rFonts w:ascii="FangSong" w:eastAsia="FangSong" w:hAnsi="FangSong" w:cs="FangSong"/>
          <w:spacing w:val="-6"/>
          <w:sz w:val="28"/>
          <w:szCs w:val="28"/>
        </w:rPr>
        <w:t>合分析报告》。主要内容</w:t>
      </w:r>
      <w:r>
        <w:rPr>
          <w:rFonts w:ascii="FangSong" w:eastAsia="FangSong" w:hAnsi="FangSong" w:cs="FangSong"/>
          <w:spacing w:val="-18"/>
          <w:sz w:val="28"/>
          <w:szCs w:val="28"/>
        </w:rPr>
        <w:t>包括：</w:t>
      </w:r>
    </w:p>
    <w:p>
      <w:pPr>
        <w:spacing w:line="408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2"/>
          <w:footerReference w:type="default" r:id="rId13"/>
          <w:pgSz w:w="11907" w:h="16839"/>
          <w:pgMar w:top="1855" w:right="1699" w:bottom="1980" w:left="1785" w:header="803" w:footer="1165" w:gutter="0"/>
          <w:cols w:space="720"/>
        </w:sectPr>
      </w:pPr>
    </w:p>
    <w:p>
      <w:pPr>
        <w:spacing w:before="152" w:line="314" w:lineRule="auto"/>
        <w:ind w:left="38" w:right="45" w:firstLine="414"/>
        <w:rPr>
          <w:rFonts w:ascii="FangSong" w:eastAsia="FangSong" w:hAnsi="FangSong" w:cs="FangSong"/>
          <w:sz w:val="28"/>
          <w:szCs w:val="28"/>
        </w:rPr>
      </w:pPr>
      <w:bookmarkStart w:id="7" w:name="bookmark12"/>
      <w:bookmarkEnd w:id="7"/>
      <w:r>
        <w:rPr>
          <w:rFonts w:ascii="FangSong" w:eastAsia="FangSong" w:hAnsi="FangSong" w:cs="FangSong"/>
          <w:spacing w:val="-5"/>
          <w:sz w:val="28"/>
          <w:szCs w:val="28"/>
        </w:rPr>
        <w:t>（1）运维服务的符合性（满足运维有关方、法律法规及公司自身</w:t>
      </w:r>
      <w:r>
        <w:rPr>
          <w:rFonts w:ascii="FangSong" w:eastAsia="FangSong" w:hAnsi="FangSong" w:cs="FangSong"/>
          <w:spacing w:val="-1"/>
          <w:sz w:val="28"/>
          <w:szCs w:val="28"/>
        </w:rPr>
        <w:t>要求的符合性</w:t>
      </w:r>
      <w:r>
        <w:rPr>
          <w:rFonts w:ascii="FangSong" w:eastAsia="FangSong" w:hAnsi="FangSong" w:cs="FangSong"/>
          <w:spacing w:val="-74"/>
          <w:sz w:val="28"/>
          <w:szCs w:val="28"/>
        </w:rPr>
        <w:t>），</w:t>
      </w:r>
      <w:r>
        <w:rPr>
          <w:rFonts w:ascii="FangSong" w:eastAsia="FangSong" w:hAnsi="FangSong" w:cs="FangSong"/>
          <w:spacing w:val="-1"/>
          <w:sz w:val="28"/>
          <w:szCs w:val="28"/>
        </w:rPr>
        <w:t>包括质量创优活动等；</w:t>
      </w:r>
    </w:p>
    <w:p>
      <w:pPr>
        <w:spacing w:before="296" w:line="216" w:lineRule="auto"/>
        <w:ind w:left="45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（3）对运维服务能力管理活动监督检查情况</w:t>
      </w:r>
      <w:r>
        <w:rPr>
          <w:rFonts w:ascii="FangSong" w:eastAsia="FangSong" w:hAnsi="FangSong" w:cs="FangSong"/>
          <w:spacing w:val="-3"/>
          <w:sz w:val="28"/>
          <w:szCs w:val="28"/>
        </w:rPr>
        <w:t>分析；</w:t>
      </w:r>
    </w:p>
    <w:p>
      <w:pPr>
        <w:spacing w:before="295" w:line="218" w:lineRule="auto"/>
        <w:ind w:left="45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（4）运维服务质量的纠正措施和预防措施状况；</w:t>
      </w:r>
    </w:p>
    <w:p>
      <w:pPr>
        <w:spacing w:before="294" w:line="315" w:lineRule="auto"/>
        <w:ind w:left="35" w:right="32" w:firstLine="41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（5）运维服务有关方（顾客）对运维服务质量的满意程度，以及</w:t>
      </w:r>
      <w:r>
        <w:rPr>
          <w:rFonts w:ascii="FangSong" w:eastAsia="FangSong" w:hAnsi="FangSong" w:cs="FangSong"/>
          <w:spacing w:val="-3"/>
          <w:sz w:val="28"/>
          <w:szCs w:val="28"/>
        </w:rPr>
        <w:t>提高顾客满意的改进措施和实施情况、建议等。</w:t>
      </w:r>
    </w:p>
    <w:p>
      <w:pPr>
        <w:spacing w:before="292" w:line="218" w:lineRule="auto"/>
        <w:ind w:left="45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（6）运维服务合同履约情况分析</w:t>
      </w:r>
    </w:p>
    <w:p>
      <w:pPr>
        <w:spacing w:before="295" w:line="411" w:lineRule="auto"/>
        <w:ind w:left="39" w:right="10" w:firstLine="40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4.2.4</w:t>
      </w:r>
      <w:r>
        <w:rPr>
          <w:rFonts w:ascii="FangSong" w:eastAsia="FangSong" w:hAnsi="FangSong" w:cs="FangSong"/>
          <w:spacing w:val="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通信部、信息部各运维小组收集汇总运维过程、资料管理</w:t>
      </w:r>
      <w:r>
        <w:rPr>
          <w:rFonts w:ascii="FangSong" w:eastAsia="FangSong" w:hAnsi="FangSong" w:cs="FangSong"/>
          <w:spacing w:val="-2"/>
          <w:sz w:val="28"/>
          <w:szCs w:val="28"/>
        </w:rPr>
        <w:t>情况，形成管理报告。主要内容包括：</w:t>
      </w:r>
    </w:p>
    <w:p>
      <w:pPr>
        <w:spacing w:line="314" w:lineRule="auto"/>
        <w:ind w:left="38" w:right="45" w:firstLine="41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（1）过程管理的符合性（满足运维有关方、法律法规及公司自身</w:t>
      </w:r>
      <w:r>
        <w:rPr>
          <w:rFonts w:ascii="FangSong" w:eastAsia="FangSong" w:hAnsi="FangSong" w:cs="FangSong"/>
          <w:spacing w:val="-1"/>
          <w:sz w:val="28"/>
          <w:szCs w:val="28"/>
        </w:rPr>
        <w:t>要求的符合性</w:t>
      </w:r>
      <w:r>
        <w:rPr>
          <w:rFonts w:ascii="FangSong" w:eastAsia="FangSong" w:hAnsi="FangSong" w:cs="FangSong"/>
          <w:spacing w:val="-74"/>
          <w:sz w:val="28"/>
          <w:szCs w:val="28"/>
        </w:rPr>
        <w:t>），</w:t>
      </w:r>
      <w:r>
        <w:rPr>
          <w:rFonts w:ascii="FangSong" w:eastAsia="FangSong" w:hAnsi="FangSong" w:cs="FangSong"/>
          <w:spacing w:val="-1"/>
          <w:sz w:val="28"/>
          <w:szCs w:val="28"/>
        </w:rPr>
        <w:t>包括质量创优活动等；</w:t>
      </w:r>
    </w:p>
    <w:p>
      <w:pPr>
        <w:spacing w:before="295" w:line="218" w:lineRule="auto"/>
        <w:ind w:left="45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（2）对过程管理活动监控情况分析</w:t>
      </w:r>
    </w:p>
    <w:p>
      <w:pPr>
        <w:spacing w:before="294" w:line="218" w:lineRule="auto"/>
        <w:ind w:left="45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（3）对知识库管理活动监控情况分析；</w:t>
      </w:r>
    </w:p>
    <w:p>
      <w:pPr>
        <w:spacing w:before="294" w:line="216" w:lineRule="auto"/>
        <w:ind w:left="45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（4）对服务台管理活动监督检查情况分析；</w:t>
      </w:r>
    </w:p>
    <w:p>
      <w:pPr>
        <w:spacing w:before="295" w:line="218" w:lineRule="auto"/>
        <w:ind w:left="45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（5）运维服务质量的纠正措施和预防措施状况；</w:t>
      </w:r>
    </w:p>
    <w:p>
      <w:pPr>
        <w:spacing w:before="296" w:line="411" w:lineRule="auto"/>
        <w:ind w:left="33" w:right="128" w:firstLine="54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4.2.5</w:t>
      </w:r>
      <w:r>
        <w:rPr>
          <w:rFonts w:ascii="FangSong" w:eastAsia="FangSong" w:hAnsi="FangSong" w:cs="FangSong"/>
          <w:spacing w:val="-4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"/>
          <w:sz w:val="28"/>
          <w:szCs w:val="28"/>
        </w:rPr>
        <w:t>综合管理部库房收集汇总相关信息,提供《备品备件管理</w:t>
      </w:r>
      <w:r>
        <w:rPr>
          <w:rFonts w:ascii="FangSong" w:eastAsia="FangSong" w:hAnsi="FangSong" w:cs="FangSong"/>
          <w:spacing w:val="-18"/>
          <w:sz w:val="28"/>
          <w:szCs w:val="28"/>
        </w:rPr>
        <w:t>报告》，主要内容包括：</w:t>
      </w:r>
    </w:p>
    <w:p>
      <w:pPr>
        <w:spacing w:line="315" w:lineRule="auto"/>
        <w:ind w:left="34" w:right="34" w:firstLine="41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（1）运维服务项目备品备件的采购或租赁管理管理情况，包括对</w:t>
      </w:r>
      <w:r>
        <w:rPr>
          <w:rFonts w:ascii="FangSong" w:eastAsia="FangSong" w:hAnsi="FangSong" w:cs="FangSong"/>
          <w:spacing w:val="-8"/>
          <w:sz w:val="28"/>
          <w:szCs w:val="28"/>
        </w:rPr>
        <w:t>供方的评价；</w:t>
      </w:r>
    </w:p>
    <w:p>
      <w:pPr>
        <w:spacing w:before="293" w:line="315" w:lineRule="auto"/>
        <w:ind w:left="39" w:right="30" w:firstLine="41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（2）备品备件采购的总结分析，包括对供方的评价选择和再评价</w:t>
      </w:r>
      <w:r>
        <w:rPr>
          <w:rFonts w:ascii="FangSong" w:eastAsia="FangSong" w:hAnsi="FangSong" w:cs="FangSong"/>
          <w:spacing w:val="-19"/>
          <w:sz w:val="28"/>
          <w:szCs w:val="28"/>
        </w:rPr>
        <w:t>情况；</w:t>
      </w:r>
    </w:p>
    <w:p>
      <w:pPr>
        <w:spacing w:line="315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4"/>
          <w:footerReference w:type="default" r:id="rId15"/>
          <w:pgSz w:w="11907" w:h="16839"/>
          <w:pgMar w:top="1855" w:right="1785" w:bottom="1980" w:left="1785" w:header="803" w:footer="1165" w:gutter="0"/>
          <w:cols w:space="720"/>
        </w:sectPr>
      </w:pPr>
    </w:p>
    <w:p>
      <w:pPr>
        <w:spacing w:before="153" w:line="216" w:lineRule="auto"/>
        <w:ind w:left="45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（3）备品备件的库房管理进行监督检查的情况；</w:t>
      </w:r>
    </w:p>
    <w:p>
      <w:pPr>
        <w:spacing w:before="295" w:line="218" w:lineRule="auto"/>
        <w:ind w:left="45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（4）备品备件采购和管理的其他相关信息的收集、分析和利用</w:t>
      </w:r>
    </w:p>
    <w:p>
      <w:pPr>
        <w:spacing w:before="293" w:line="314" w:lineRule="auto"/>
        <w:ind w:left="55" w:right="144" w:firstLine="52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t>4.2.6</w:t>
      </w:r>
      <w:r>
        <w:rPr>
          <w:rFonts w:ascii="FangSong" w:eastAsia="FangSong" w:hAnsi="FangSong" w:cs="FangSong"/>
          <w:sz w:val="28"/>
          <w:szCs w:val="28"/>
        </w:rPr>
        <w:t xml:space="preserve"> </w:t>
      </w:r>
      <w:r>
        <w:rPr>
          <w:rFonts w:ascii="FangSong" w:eastAsia="FangSong" w:hAnsi="FangSong" w:cs="FangSong"/>
          <w:sz w:val="28"/>
          <w:szCs w:val="28"/>
        </w:rPr>
        <w:t>综合管理部质量管理组收集汇总相关信</w:t>
      </w:r>
      <w:r>
        <w:rPr>
          <w:rFonts w:ascii="FangSong" w:eastAsia="FangSong" w:hAnsi="FangSong" w:cs="FangSong"/>
          <w:spacing w:val="-1"/>
          <w:sz w:val="28"/>
          <w:szCs w:val="28"/>
        </w:rPr>
        <w:t>息,提供《运维人</w:t>
      </w:r>
      <w:r>
        <w:rPr>
          <w:rFonts w:ascii="FangSong" w:eastAsia="FangSong" w:hAnsi="FangSong" w:cs="FangSong"/>
          <w:spacing w:val="-5"/>
          <w:sz w:val="28"/>
          <w:szCs w:val="28"/>
        </w:rPr>
        <w:t>员管理工作总结报告》</w:t>
      </w:r>
    </w:p>
    <w:p>
      <w:pPr>
        <w:spacing w:before="295" w:line="218" w:lineRule="auto"/>
        <w:ind w:left="58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4.2.7</w:t>
      </w:r>
      <w:r>
        <w:rPr>
          <w:rFonts w:ascii="FangSong" w:eastAsia="FangSong" w:hAnsi="FangSong" w:cs="FangSong"/>
          <w:spacing w:val="-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信息部软件开发组提供研发状况分析。</w:t>
      </w:r>
    </w:p>
    <w:p>
      <w:pPr>
        <w:spacing w:before="293" w:line="219" w:lineRule="auto"/>
        <w:ind w:left="58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4.2.8</w:t>
      </w:r>
      <w:r>
        <w:rPr>
          <w:rFonts w:ascii="FangSong" w:eastAsia="FangSong" w:hAnsi="FangSong" w:cs="FangSong"/>
          <w:spacing w:val="3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管理评审</w:t>
      </w:r>
    </w:p>
    <w:p>
      <w:pPr>
        <w:spacing w:before="294" w:line="411" w:lineRule="auto"/>
        <w:ind w:left="33" w:right="98" w:firstLine="57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管理评审以会议形式，由总经理主持。管理者代表，及公司全体</w:t>
      </w:r>
      <w:r>
        <w:rPr>
          <w:rFonts w:ascii="FangSong" w:eastAsia="FangSong" w:hAnsi="FangSong" w:cs="FangSong"/>
          <w:spacing w:val="-4"/>
          <w:sz w:val="28"/>
          <w:szCs w:val="28"/>
        </w:rPr>
        <w:t>领导、各部门负责人参加。</w:t>
      </w:r>
    </w:p>
    <w:p>
      <w:pPr>
        <w:spacing w:before="1" w:line="217" w:lineRule="auto"/>
        <w:ind w:left="45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（1）各部门负责人向会议介绍专题报告内容；</w:t>
      </w:r>
    </w:p>
    <w:p>
      <w:pPr>
        <w:spacing w:before="292" w:line="347" w:lineRule="auto"/>
        <w:ind w:left="35" w:right="20" w:firstLine="41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（2）参会人员就评审输入内容予以评价，对相关报</w:t>
      </w:r>
      <w:r>
        <w:rPr>
          <w:rFonts w:ascii="FangSong" w:eastAsia="FangSong" w:hAnsi="FangSong" w:cs="FangSong"/>
          <w:spacing w:val="-2"/>
          <w:sz w:val="28"/>
          <w:szCs w:val="28"/>
        </w:rPr>
        <w:t>告进行审议，</w:t>
      </w:r>
      <w:r>
        <w:rPr>
          <w:rFonts w:ascii="FangSong" w:eastAsia="FangSong" w:hAnsi="FangSong" w:cs="FangSong"/>
          <w:spacing w:val="-4"/>
          <w:sz w:val="28"/>
          <w:szCs w:val="28"/>
        </w:rPr>
        <w:t>对公司管理方针、目标的适宜性，管理体系的适宜性、充分性和有效</w:t>
      </w:r>
      <w:r>
        <w:rPr>
          <w:rFonts w:ascii="FangSong" w:eastAsia="FangSong" w:hAnsi="FangSong" w:cs="FangSong"/>
          <w:spacing w:val="-9"/>
          <w:sz w:val="28"/>
          <w:szCs w:val="28"/>
        </w:rPr>
        <w:t>性做出评价；</w:t>
      </w:r>
    </w:p>
    <w:p>
      <w:pPr>
        <w:spacing w:before="295" w:line="218" w:lineRule="auto"/>
        <w:jc w:val="right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（3）明确管理绩效，找出管理薄弱环节，</w:t>
      </w:r>
      <w:r>
        <w:rPr>
          <w:rFonts w:ascii="FangSong" w:eastAsia="FangSong" w:hAnsi="FangSong" w:cs="FangSong"/>
          <w:spacing w:val="-2"/>
          <w:sz w:val="28"/>
          <w:szCs w:val="28"/>
        </w:rPr>
        <w:t>提出改进方向和措施；</w:t>
      </w:r>
    </w:p>
    <w:p>
      <w:pPr>
        <w:spacing w:before="293" w:line="219" w:lineRule="auto"/>
        <w:jc w:val="right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（4）总经理对管理体系评价做结论，对改进活动提出明确要求。</w:t>
      </w:r>
    </w:p>
    <w:p>
      <w:pPr>
        <w:pStyle w:val="BodyText"/>
        <w:spacing w:before="271" w:line="237" w:lineRule="auto"/>
        <w:ind w:left="20"/>
        <w:rPr>
          <w:rFonts w:ascii="FangSong" w:eastAsia="FangSong" w:hAnsi="FangSong" w:cs="FangSong"/>
          <w:sz w:val="31"/>
          <w:szCs w:val="31"/>
        </w:rPr>
      </w:pPr>
      <w:bookmarkStart w:id="8" w:name="bookmark7"/>
      <w:bookmarkEnd w:id="8"/>
      <w:bookmarkStart w:id="9" w:name="bookmark8"/>
      <w:bookmarkEnd w:id="9"/>
      <w:r>
        <w:rPr>
          <w:b/>
          <w:bCs/>
          <w:spacing w:val="2"/>
          <w:sz w:val="31"/>
          <w:szCs w:val="31"/>
        </w:rPr>
        <w:t xml:space="preserve">4.3  </w:t>
      </w:r>
      <w:r>
        <w:rPr>
          <w:rFonts w:ascii="FangSong" w:eastAsia="FangSong" w:hAnsi="FangSong" w:cs="FangSong"/>
          <w:b/>
          <w:bCs/>
          <w:spacing w:val="2"/>
          <w:sz w:val="31"/>
          <w:szCs w:val="31"/>
        </w:rPr>
        <w:t>评审输出</w:t>
      </w:r>
    </w:p>
    <w:p>
      <w:pPr>
        <w:spacing w:before="248" w:line="219" w:lineRule="auto"/>
        <w:ind w:left="58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4.3.1</w:t>
      </w:r>
      <w:r>
        <w:rPr>
          <w:rFonts w:ascii="FangSong" w:eastAsia="FangSong" w:hAnsi="FangSong" w:cs="FangSong"/>
          <w:spacing w:val="-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"/>
          <w:sz w:val="28"/>
          <w:szCs w:val="28"/>
        </w:rPr>
        <w:t>管理评审输出包括以下方面的有关决定和措施：</w:t>
      </w:r>
    </w:p>
    <w:p>
      <w:pPr>
        <w:spacing w:before="293" w:line="216" w:lineRule="auto"/>
        <w:ind w:left="45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（1）管理方针和目标符合性的结论；</w:t>
      </w:r>
    </w:p>
    <w:p>
      <w:pPr>
        <w:spacing w:before="296" w:line="216" w:lineRule="auto"/>
        <w:ind w:left="45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（2）为提高管理体系和过程的有效性的决定和措施；</w:t>
      </w:r>
    </w:p>
    <w:p>
      <w:pPr>
        <w:spacing w:before="296" w:line="218" w:lineRule="auto"/>
        <w:ind w:left="45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（3）提高顾客满意度对运维服务质量改进决定和措施；</w:t>
      </w:r>
    </w:p>
    <w:p>
      <w:pPr>
        <w:spacing w:before="293" w:line="218" w:lineRule="auto"/>
        <w:ind w:left="45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（4）改进运维服务绩效的决定和措施；</w:t>
      </w:r>
    </w:p>
    <w:p>
      <w:pPr>
        <w:spacing w:before="293" w:line="219" w:lineRule="auto"/>
        <w:ind w:left="45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（5）管理体系各项资源配置的决定和措施：</w:t>
      </w:r>
    </w:p>
    <w:p>
      <w:pPr>
        <w:spacing w:line="219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6"/>
          <w:footerReference w:type="default" r:id="rId17"/>
          <w:pgSz w:w="11907" w:h="16839"/>
          <w:pgMar w:top="1855" w:right="1700" w:bottom="1980" w:left="1785" w:header="803" w:footer="1164" w:gutter="0"/>
          <w:cols w:space="720"/>
        </w:sectPr>
      </w:pPr>
    </w:p>
    <w:p>
      <w:pPr>
        <w:spacing w:before="153" w:line="216" w:lineRule="auto"/>
        <w:ind w:left="45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（6）对管理体系持续的适宜性、充分性和有效性的总体评价。</w:t>
      </w:r>
    </w:p>
    <w:p>
      <w:pPr>
        <w:spacing w:before="297" w:line="411" w:lineRule="auto"/>
        <w:ind w:left="35" w:right="11" w:firstLine="40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9"/>
          <w:sz w:val="28"/>
          <w:szCs w:val="28"/>
        </w:rPr>
        <w:t>4.3.2</w:t>
      </w:r>
      <w:r>
        <w:rPr>
          <w:rFonts w:ascii="FangSong" w:eastAsia="FangSong" w:hAnsi="FangSong" w:cs="FangSong"/>
          <w:spacing w:val="3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9"/>
          <w:sz w:val="28"/>
          <w:szCs w:val="28"/>
        </w:rPr>
        <w:t>管理评审的输出形式为《运维服务管理评审报告》。综合管</w:t>
      </w:r>
      <w:r>
        <w:rPr>
          <w:rFonts w:ascii="FangSong" w:eastAsia="FangSong" w:hAnsi="FangSong" w:cs="FangSong"/>
          <w:spacing w:val="-4"/>
          <w:sz w:val="28"/>
          <w:szCs w:val="28"/>
        </w:rPr>
        <w:t>理部质量管</w:t>
      </w:r>
    </w:p>
    <w:p>
      <w:pPr>
        <w:spacing w:before="1" w:line="411" w:lineRule="auto"/>
        <w:ind w:left="37" w:right="60" w:hanging="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理组根据管理评审的结论，编制《运维服务管理评审报告》，经管理</w:t>
      </w:r>
      <w:r>
        <w:rPr>
          <w:rFonts w:ascii="FangSong" w:eastAsia="FangSong" w:hAnsi="FangSong" w:cs="FangSong"/>
          <w:spacing w:val="-3"/>
          <w:sz w:val="28"/>
          <w:szCs w:val="28"/>
        </w:rPr>
        <w:t>者代表审核、总经理批准后发至各部门。</w:t>
      </w:r>
    </w:p>
    <w:p>
      <w:pPr>
        <w:spacing w:before="1" w:line="404" w:lineRule="auto"/>
        <w:ind w:left="55" w:right="14" w:hanging="3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4.3.3</w:t>
      </w:r>
      <w:r>
        <w:rPr>
          <w:rFonts w:ascii="FangSong" w:eastAsia="FangSong" w:hAnsi="FangSong" w:cs="FangSong"/>
          <w:spacing w:val="-4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根据评审中提出的不符合或待改进项目，由有关责任部门或人</w:t>
      </w:r>
      <w:r>
        <w:rPr>
          <w:rFonts w:ascii="FangSong" w:eastAsia="FangSong" w:hAnsi="FangSong" w:cs="FangSong"/>
          <w:spacing w:val="-3"/>
          <w:sz w:val="28"/>
          <w:szCs w:val="28"/>
        </w:rPr>
        <w:t>员进行纠正。必要时，制定纠正措施或预防措施。</w:t>
      </w:r>
    </w:p>
    <w:p>
      <w:pPr>
        <w:pStyle w:val="BodyText"/>
        <w:spacing w:before="1" w:line="236" w:lineRule="auto"/>
        <w:ind w:left="20"/>
        <w:rPr>
          <w:rFonts w:ascii="FangSong" w:eastAsia="FangSong" w:hAnsi="FangSong" w:cs="FangSong"/>
          <w:sz w:val="31"/>
          <w:szCs w:val="31"/>
        </w:rPr>
      </w:pPr>
      <w:bookmarkStart w:id="10" w:name="bookmark9"/>
      <w:bookmarkEnd w:id="10"/>
      <w:r>
        <w:rPr>
          <w:b/>
          <w:bCs/>
          <w:spacing w:val="4"/>
          <w:sz w:val="31"/>
          <w:szCs w:val="31"/>
        </w:rPr>
        <w:t>4.4</w:t>
      </w:r>
      <w:r>
        <w:rPr>
          <w:b/>
          <w:bCs/>
          <w:spacing w:val="31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4"/>
          <w:sz w:val="31"/>
          <w:szCs w:val="31"/>
        </w:rPr>
        <w:t>管理评审记录与持续改进</w:t>
      </w:r>
    </w:p>
    <w:p>
      <w:pPr>
        <w:spacing w:before="246" w:line="412" w:lineRule="auto"/>
        <w:ind w:left="34" w:right="14" w:firstLine="56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综合管理部质量管理组负责对改进、纠正或预防措施</w:t>
      </w:r>
      <w:r>
        <w:rPr>
          <w:rFonts w:ascii="FangSong" w:eastAsia="FangSong" w:hAnsi="FangSong" w:cs="FangSong"/>
          <w:spacing w:val="-5"/>
          <w:sz w:val="28"/>
          <w:szCs w:val="28"/>
        </w:rPr>
        <w:t>的实施情况</w:t>
      </w:r>
      <w:r>
        <w:rPr>
          <w:rFonts w:ascii="FangSong" w:eastAsia="FangSong" w:hAnsi="FangSong" w:cs="FangSong"/>
          <w:spacing w:val="-1"/>
          <w:sz w:val="28"/>
          <w:szCs w:val="28"/>
        </w:rPr>
        <w:t>跟踪检查和验证。验证结果由管理者代表向总经理报告。</w:t>
      </w:r>
    </w:p>
    <w:p>
      <w:pPr>
        <w:spacing w:line="217" w:lineRule="auto"/>
        <w:ind w:left="59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综合管理部质量管理组保持管理评审记录。</w:t>
      </w:r>
    </w:p>
    <w:p>
      <w:pPr>
        <w:pStyle w:val="BodyText"/>
        <w:spacing w:line="464" w:lineRule="auto"/>
      </w:pPr>
    </w:p>
    <w:p>
      <w:pPr>
        <w:spacing w:before="101" w:line="239" w:lineRule="auto"/>
        <w:ind w:left="29"/>
        <w:rPr>
          <w:rFonts w:ascii="SimHei" w:eastAsia="SimHei" w:hAnsi="SimHei" w:cs="SimHei"/>
          <w:sz w:val="31"/>
          <w:szCs w:val="31"/>
        </w:rPr>
      </w:pPr>
      <w:r>
        <w:rPr>
          <w:rFonts w:ascii="Times New Roman" w:eastAsia="Times New Roman" w:hAnsi="Times New Roman" w:cs="Times New Roman"/>
          <w:spacing w:val="3"/>
          <w:sz w:val="31"/>
          <w:szCs w:val="31"/>
        </w:rPr>
        <w:t>5</w:t>
      </w:r>
      <w:r>
        <w:rPr>
          <w:rFonts w:ascii="SimHei" w:eastAsia="SimHei" w:hAnsi="SimHei" w:cs="SimHei"/>
          <w:spacing w:val="3"/>
          <w:sz w:val="31"/>
          <w:szCs w:val="31"/>
        </w:rPr>
        <w:t>、相关文件</w:t>
      </w:r>
    </w:p>
    <w:p>
      <w:pPr>
        <w:pStyle w:val="BodyText"/>
        <w:spacing w:line="381" w:lineRule="auto"/>
      </w:pPr>
    </w:p>
    <w:p>
      <w:pPr>
        <w:spacing w:before="92" w:line="218" w:lineRule="auto"/>
        <w:ind w:left="30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《服务改进管理制度》</w:t>
      </w:r>
    </w:p>
    <w:p>
      <w:pPr>
        <w:pStyle w:val="BodyText"/>
        <w:spacing w:line="463" w:lineRule="auto"/>
      </w:pPr>
    </w:p>
    <w:p>
      <w:pPr>
        <w:spacing w:before="101" w:line="239" w:lineRule="auto"/>
        <w:ind w:left="28"/>
        <w:rPr>
          <w:rFonts w:ascii="SimHei" w:eastAsia="SimHei" w:hAnsi="SimHei" w:cs="SimHei"/>
          <w:sz w:val="31"/>
          <w:szCs w:val="31"/>
        </w:rPr>
      </w:pPr>
      <w:bookmarkStart w:id="11" w:name="bookmark10"/>
      <w:bookmarkEnd w:id="11"/>
      <w:r>
        <w:rPr>
          <w:rFonts w:ascii="Times New Roman" w:eastAsia="Times New Roman" w:hAnsi="Times New Roman" w:cs="Times New Roman"/>
          <w:spacing w:val="1"/>
          <w:sz w:val="31"/>
          <w:szCs w:val="31"/>
        </w:rPr>
        <w:t>6</w:t>
      </w:r>
      <w:r>
        <w:rPr>
          <w:rFonts w:ascii="SimHei" w:eastAsia="SimHei" w:hAnsi="SimHei" w:cs="SimHei"/>
          <w:spacing w:val="1"/>
          <w:sz w:val="31"/>
          <w:szCs w:val="31"/>
        </w:rPr>
        <w:t>、记录</w:t>
      </w:r>
    </w:p>
    <w:p>
      <w:pPr>
        <w:pStyle w:val="BodyText"/>
        <w:spacing w:line="381" w:lineRule="auto"/>
      </w:pPr>
    </w:p>
    <w:p>
      <w:pPr>
        <w:spacing w:before="92" w:line="218" w:lineRule="auto"/>
        <w:ind w:left="44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《运维服务管理评审计划》</w:t>
      </w:r>
    </w:p>
    <w:p>
      <w:pPr>
        <w:spacing w:before="293" w:line="218" w:lineRule="auto"/>
        <w:ind w:left="44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《运维服务管理评审报告》</w:t>
      </w:r>
    </w:p>
    <w:sectPr>
      <w:headerReference w:type="default" r:id="rId18"/>
      <w:footerReference w:type="default" r:id="rId19"/>
      <w:pgSz w:w="11907" w:h="16839"/>
      <w:pgMar w:top="1855" w:right="1785" w:bottom="1980" w:left="1785" w:header="803" w:footer="116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9435084</wp:posOffset>
          </wp:positionV>
          <wp:extent cx="1483867" cy="456272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2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5" w:lineRule="auto"/>
    </w:pPr>
  </w:p>
  <w:p>
    <w:pPr>
      <w:spacing w:before="55" w:line="238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color w:val="5B9BD5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9435084</wp:posOffset>
          </wp:positionV>
          <wp:extent cx="1483867" cy="456272"/>
          <wp:effectExtent l="0" t="0" r="0" b="0"/>
          <wp:wrapNone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2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5" w:lineRule="auto"/>
    </w:pPr>
  </w:p>
  <w:p>
    <w:pPr>
      <w:spacing w:before="55" w:line="238" w:lineRule="auto"/>
      <w:ind w:left="271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color w:val="5B9BD5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9435084</wp:posOffset>
          </wp:positionV>
          <wp:extent cx="1483867" cy="456272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2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color w:val="5B9BD5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9435084</wp:posOffset>
          </wp:positionV>
          <wp:extent cx="1483867" cy="456272"/>
          <wp:effectExtent l="0" t="0" r="0" b="0"/>
          <wp:wrapNone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2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5" w:lineRule="auto"/>
    </w:pPr>
  </w:p>
  <w:p>
    <w:pPr>
      <w:spacing w:before="55" w:line="238" w:lineRule="auto"/>
      <w:ind w:left="2359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color w:val="5B9BD5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9435084</wp:posOffset>
          </wp:positionV>
          <wp:extent cx="1483867" cy="456272"/>
          <wp:effectExtent l="0" t="0" r="0" b="0"/>
          <wp:wrapNone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2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3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color w:val="5B9BD5"/>
        <w:sz w:val="18"/>
        <w:szCs w:val="18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9435084</wp:posOffset>
          </wp:positionV>
          <wp:extent cx="1483867" cy="456272"/>
          <wp:effectExtent l="0" t="0" r="0" b="0"/>
          <wp:wrapNone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2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color w:val="5B9BD5"/>
        <w:sz w:val="18"/>
        <w:szCs w:val="18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9435084</wp:posOffset>
          </wp:positionV>
          <wp:extent cx="1483867" cy="456272"/>
          <wp:effectExtent l="0" t="0" r="0" b="0"/>
          <wp:wrapNone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2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5" w:lineRule="auto"/>
    </w:pPr>
  </w:p>
  <w:p>
    <w:pPr>
      <w:spacing w:before="55" w:line="238" w:lineRule="auto"/>
      <w:ind w:left="2363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color w:val="5B9BD5"/>
        <w:sz w:val="18"/>
        <w:szCs w:val="18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9435084</wp:posOffset>
          </wp:positionV>
          <wp:extent cx="1483867" cy="456272"/>
          <wp:effectExtent l="0" t="0" r="0" b="0"/>
          <wp:wrapNone/>
          <wp:docPr id="26" name="IM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 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2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color w:val="5B9BD5"/>
        <w:sz w:val="18"/>
        <w:szCs w:val="18"/>
      </w:rPr>
      <w:t>8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541019</wp:posOffset>
          </wp:positionV>
          <wp:extent cx="851306" cy="58928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26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541019</wp:posOffset>
          </wp:positionV>
          <wp:extent cx="851306" cy="589280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613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541019</wp:posOffset>
          </wp:positionV>
          <wp:extent cx="851306" cy="589280"/>
          <wp:effectExtent l="0" t="0" r="0" b="0"/>
          <wp:wrapNone/>
          <wp:docPr id="1668931153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26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541019</wp:posOffset>
          </wp:positionV>
          <wp:extent cx="851306" cy="589280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26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541019</wp:posOffset>
          </wp:positionV>
          <wp:extent cx="851306" cy="589280"/>
          <wp:effectExtent l="0" t="0" r="0" b="0"/>
          <wp:wrapNone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26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541019</wp:posOffset>
          </wp:positionV>
          <wp:extent cx="851306" cy="589280"/>
          <wp:effectExtent l="0" t="0" r="0" b="0"/>
          <wp:wrapNone/>
          <wp:docPr id="1364589981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26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541019</wp:posOffset>
          </wp:positionV>
          <wp:extent cx="851306" cy="589280"/>
          <wp:effectExtent l="0" t="0" r="0" b="0"/>
          <wp:wrapNone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26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541019</wp:posOffset>
          </wp:positionV>
          <wp:extent cx="851306" cy="589280"/>
          <wp:effectExtent l="0" t="0" r="0" b="0"/>
          <wp:wrapNone/>
          <wp:docPr id="98434627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26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18"/>
      <w:szCs w:val="1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header" Target="header5.xml" /><Relationship Id="rId13" Type="http://schemas.openxmlformats.org/officeDocument/2006/relationships/footer" Target="footer5.xml" /><Relationship Id="rId14" Type="http://schemas.openxmlformats.org/officeDocument/2006/relationships/header" Target="header6.xml" /><Relationship Id="rId15" Type="http://schemas.openxmlformats.org/officeDocument/2006/relationships/footer" Target="footer6.xml" /><Relationship Id="rId16" Type="http://schemas.openxmlformats.org/officeDocument/2006/relationships/header" Target="header7.xml" /><Relationship Id="rId17" Type="http://schemas.openxmlformats.org/officeDocument/2006/relationships/footer" Target="footer7.xml" /><Relationship Id="rId18" Type="http://schemas.openxmlformats.org/officeDocument/2006/relationships/header" Target="header8.xml" /><Relationship Id="rId19" Type="http://schemas.openxmlformats.org/officeDocument/2006/relationships/footer" Target="footer8.xml" /><Relationship Id="rId2" Type="http://schemas.openxmlformats.org/officeDocument/2006/relationships/webSettings" Target="webSettings.xml" /><Relationship Id="rId20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revision>0</cp:revision>
  <dcterms:created xsi:type="dcterms:W3CDTF">2023-07-25T22:59:12Z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2025-12-03T15:20:56Z</vt:filetime>
  </property>
  <property fmtid="{D5CDD505-2E9C-101B-9397-08002B2CF9AE}" pid="3" name="CRO">
    <vt:lpwstr>wqlLaW5nc29mdCBQREYgdG8gV1BTIDExNQ</vt:lpwstr>
  </property>
</Properties>
</file>