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8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pStyle w:val="BodyText"/>
        <w:spacing w:line="259" w:lineRule="auto"/>
      </w:pPr>
    </w:p>
    <w:p>
      <w:pPr>
        <w:spacing w:before="234" w:line="217" w:lineRule="auto"/>
        <w:ind w:left="605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0"/>
          <w:sz w:val="72"/>
          <w:szCs w:val="72"/>
        </w:rPr>
        <w:t>运维服务管理评审计划</w:t>
      </w:r>
    </w:p>
    <w:p>
      <w:pPr>
        <w:pStyle w:val="BodyText"/>
        <w:spacing w:line="309" w:lineRule="auto"/>
      </w:pPr>
    </w:p>
    <w:p>
      <w:pPr>
        <w:spacing w:before="91" w:line="219" w:lineRule="auto"/>
        <w:ind w:left="193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（文件编号：YNTD-ITSS-07-02-01）</w:t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spacing w:before="101" w:line="223" w:lineRule="auto"/>
        <w:ind w:left="1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785" w:bottom="1712" w:left="1785" w:header="803" w:footer="992" w:gutter="0"/>
          <w:cols w:space="720"/>
        </w:sectPr>
      </w:pPr>
    </w:p>
    <w:p>
      <w:pPr>
        <w:spacing w:before="140" w:line="220" w:lineRule="auto"/>
        <w:ind w:left="3175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7"/>
        <w:gridCol w:w="881"/>
        <w:gridCol w:w="1274"/>
        <w:gridCol w:w="957"/>
        <w:gridCol w:w="1377"/>
        <w:gridCol w:w="1017"/>
        <w:gridCol w:w="1271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5"/>
        </w:trPr>
        <w:tc>
          <w:tcPr>
            <w:tcW w:w="84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4"/>
            </w:pPr>
            <w:r>
              <w:rPr>
                <w:b/>
                <w:bCs/>
                <w:spacing w:val="-5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6" w:lineRule="auto"/>
              <w:ind w:left="536"/>
            </w:pPr>
            <w:r>
              <w:rPr>
                <w:b/>
                <w:bCs/>
                <w:spacing w:val="-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/</w:t>
            </w:r>
            <w:r>
              <w:rPr>
                <w:b/>
                <w:bCs/>
                <w:spacing w:val="-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19" w:lineRule="auto"/>
              <w:ind w:left="927"/>
            </w:pPr>
            <w:r>
              <w:rPr>
                <w:b/>
                <w:bCs/>
                <w:spacing w:val="-6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20" w:lineRule="auto"/>
              <w:ind w:left="912"/>
            </w:pPr>
            <w:r>
              <w:rPr>
                <w:b/>
                <w:bCs/>
                <w:spacing w:val="-6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17"/>
            </w:pPr>
            <w:r>
              <w:rPr>
                <w:b/>
                <w:bCs/>
                <w:spacing w:val="-5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6"/>
        </w:trPr>
        <w:tc>
          <w:tcPr>
            <w:tcW w:w="847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192"/>
            </w:pPr>
            <w:r>
              <w:rPr>
                <w:b/>
                <w:bCs/>
                <w:spacing w:val="-5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431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244"/>
            </w:pPr>
            <w:r>
              <w:rPr>
                <w:b/>
                <w:bCs/>
                <w:spacing w:val="-8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488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269"/>
            </w:pPr>
            <w:r>
              <w:rPr>
                <w:b/>
                <w:bCs/>
                <w:spacing w:val="-5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81" w:line="219" w:lineRule="auto"/>
              <w:ind w:left="441"/>
            </w:pPr>
            <w:r>
              <w:rPr>
                <w:b/>
                <w:bCs/>
                <w:spacing w:val="-15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447"/>
        </w:trPr>
        <w:tc>
          <w:tcPr>
            <w:tcW w:w="847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79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V1.0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9" w:line="220" w:lineRule="auto"/>
              <w:ind w:left="2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杨洁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79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2023.1.18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9" w:line="220" w:lineRule="auto"/>
              <w:ind w:left="29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79" w:line="236" w:lineRule="auto"/>
              <w:ind w:left="28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2023.1.18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79" w:line="220" w:lineRule="auto"/>
              <w:ind w:left="24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79" w:line="236" w:lineRule="auto"/>
              <w:ind w:left="23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2023.1.18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80" w:line="220" w:lineRule="auto"/>
              <w:ind w:left="6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855" w:right="1437" w:bottom="1712" w:left="1438" w:header="803" w:footer="992" w:gutter="0"/>
          <w:cols w:space="720"/>
        </w:sectPr>
      </w:pPr>
    </w:p>
    <w:p>
      <w:pPr>
        <w:spacing w:before="213" w:line="217" w:lineRule="auto"/>
        <w:ind w:left="3390"/>
        <w:outlineLvl w:val="0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运维服务管理评审计划</w:t>
      </w:r>
    </w:p>
    <w:p>
      <w:pPr>
        <w:spacing w:before="116"/>
      </w:pPr>
    </w:p>
    <w:tbl>
      <w:tblPr>
        <w:tblStyle w:val="TableNormal"/>
        <w:tblW w:w="9690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9690"/>
      </w:tblGrid>
      <w:tr>
        <w:tblPrEx>
          <w:tblW w:w="9690" w:type="dxa"/>
          <w:tblInd w:w="28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569"/>
        </w:trPr>
        <w:tc>
          <w:tcPr>
            <w:tcW w:w="9690" w:type="dxa"/>
          </w:tcPr>
          <w:p>
            <w:pPr>
              <w:spacing w:before="156" w:line="224" w:lineRule="auto"/>
              <w:ind w:left="283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-10"/>
                <w:sz w:val="31"/>
                <w:szCs w:val="31"/>
              </w:rPr>
              <w:t>一、</w:t>
            </w:r>
            <w:r>
              <w:rPr>
                <w:rFonts w:ascii="FangSong" w:eastAsia="FangSong" w:hAnsi="FangSong" w:cs="FangSong"/>
                <w:spacing w:val="-76"/>
                <w:sz w:val="31"/>
                <w:szCs w:val="31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10"/>
                <w:sz w:val="31"/>
                <w:szCs w:val="31"/>
              </w:rPr>
              <w:t>评审目的：</w:t>
            </w:r>
          </w:p>
          <w:p>
            <w:pPr>
              <w:spacing w:before="212" w:line="313" w:lineRule="auto"/>
              <w:ind w:left="128" w:right="111" w:firstLine="4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评价公司运维管理体系的适宜性、充分性、有效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性，识别改进和变更需求，实现公司运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维服务管理体系的持续改进。</w:t>
            </w:r>
          </w:p>
        </w:tc>
      </w:tr>
      <w:tr>
        <w:tblPrEx>
          <w:tblW w:w="9690" w:type="dxa"/>
          <w:tblInd w:w="28" w:type="dxa"/>
          <w:tblLayout w:type="fixed"/>
        </w:tblPrEx>
        <w:trPr>
          <w:trHeight w:val="3904"/>
        </w:trPr>
        <w:tc>
          <w:tcPr>
            <w:tcW w:w="9690" w:type="dxa"/>
          </w:tcPr>
          <w:p>
            <w:pPr>
              <w:spacing w:before="153" w:line="224" w:lineRule="auto"/>
              <w:ind w:left="288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31"/>
                <w:szCs w:val="31"/>
              </w:rPr>
              <w:t>二、</w:t>
            </w:r>
            <w:r>
              <w:rPr>
                <w:rFonts w:ascii="FangSong" w:eastAsia="FangSong" w:hAnsi="FangSong" w:cs="FangSong"/>
                <w:spacing w:val="-74"/>
                <w:sz w:val="31"/>
                <w:szCs w:val="31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11"/>
                <w:sz w:val="31"/>
                <w:szCs w:val="31"/>
              </w:rPr>
              <w:t>评审依据：</w:t>
            </w:r>
          </w:p>
          <w:p>
            <w:pPr>
              <w:spacing w:before="210" w:line="217" w:lineRule="auto"/>
              <w:ind w:left="55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1.</w:t>
            </w:r>
            <w:r>
              <w:rPr>
                <w:rFonts w:ascii="FangSong" w:eastAsia="FangSong" w:hAnsi="FangSong" w:cs="FangSong"/>
                <w:spacing w:val="7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《信息技术服务</w:t>
            </w:r>
            <w:r>
              <w:rPr>
                <w:rFonts w:ascii="FangSong" w:eastAsia="FangSong" w:hAnsi="FangSong" w:cs="FangSong"/>
                <w:spacing w:val="-2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运行维护服务能力成熟度模型》三级</w:t>
            </w:r>
          </w:p>
          <w:p>
            <w:pPr>
              <w:spacing w:before="186" w:line="217" w:lineRule="auto"/>
              <w:ind w:left="5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2.</w:t>
            </w:r>
            <w:r>
              <w:rPr>
                <w:rFonts w:ascii="FangSong" w:eastAsia="FangSong" w:hAnsi="FangSong" w:cs="FangSong"/>
                <w:spacing w:val="8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公司《运维服务管理评审程序》；</w:t>
            </w:r>
          </w:p>
          <w:p>
            <w:pPr>
              <w:spacing w:before="185" w:line="217" w:lineRule="auto"/>
              <w:ind w:left="54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3.</w:t>
            </w:r>
            <w:r>
              <w:rPr>
                <w:rFonts w:ascii="FangSong" w:eastAsia="FangSong" w:hAnsi="FangSong" w:cs="FangSong"/>
                <w:spacing w:val="9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公司《年度运维服务能力指标体系》；</w:t>
            </w:r>
          </w:p>
          <w:p>
            <w:pPr>
              <w:spacing w:before="185" w:line="218" w:lineRule="auto"/>
              <w:ind w:left="53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4.</w:t>
            </w:r>
            <w:r>
              <w:rPr>
                <w:rFonts w:ascii="FangSong" w:eastAsia="FangSong" w:hAnsi="FangSong" w:cs="FangSong"/>
                <w:spacing w:val="7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客户、员工及管理层的期望；</w:t>
            </w:r>
          </w:p>
          <w:p>
            <w:pPr>
              <w:spacing w:before="185" w:line="218" w:lineRule="auto"/>
              <w:ind w:left="54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5.</w:t>
            </w:r>
            <w:r>
              <w:rPr>
                <w:rFonts w:ascii="FangSong" w:eastAsia="FangSong" w:hAnsi="FangSong" w:cs="FangSong"/>
                <w:spacing w:val="11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内部管理体系审核的结果；</w:t>
            </w:r>
          </w:p>
          <w:p>
            <w:pPr>
              <w:spacing w:before="185" w:line="218" w:lineRule="auto"/>
              <w:ind w:left="5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6.</w:t>
            </w:r>
            <w:r>
              <w:rPr>
                <w:rFonts w:ascii="FangSong" w:eastAsia="FangSong" w:hAnsi="FangSong" w:cs="FangSong"/>
                <w:spacing w:val="11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内外部环境变化及对持续改进的承诺；</w:t>
            </w:r>
          </w:p>
          <w:p>
            <w:pPr>
              <w:pStyle w:val="TableText"/>
              <w:spacing w:before="185" w:line="217" w:lineRule="auto"/>
              <w:ind w:left="541"/>
              <w:rPr>
                <w:rFonts w:ascii="FangSong" w:eastAsia="FangSong" w:hAnsi="FangSong" w:cs="FangSong"/>
              </w:rPr>
            </w:pPr>
            <w:r>
              <w:rPr>
                <w:spacing w:val="-4"/>
                <w:sz w:val="21"/>
                <w:szCs w:val="21"/>
              </w:rPr>
              <w:t xml:space="preserve">7.  </w:t>
            </w:r>
            <w:r>
              <w:rPr>
                <w:rFonts w:ascii="FangSong" w:eastAsia="FangSong" w:hAnsi="FangSong" w:cs="FangSong"/>
                <w:spacing w:val="-4"/>
              </w:rPr>
              <w:t>相适用的法律法规。</w:t>
            </w:r>
          </w:p>
        </w:tc>
      </w:tr>
      <w:tr>
        <w:tblPrEx>
          <w:tblW w:w="9690" w:type="dxa"/>
          <w:tblInd w:w="28" w:type="dxa"/>
          <w:tblLayout w:type="fixed"/>
        </w:tblPrEx>
        <w:trPr>
          <w:trHeight w:val="1564"/>
        </w:trPr>
        <w:tc>
          <w:tcPr>
            <w:tcW w:w="9690" w:type="dxa"/>
          </w:tcPr>
          <w:p>
            <w:pPr>
              <w:spacing w:before="154" w:line="224" w:lineRule="auto"/>
              <w:ind w:left="287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31"/>
                <w:szCs w:val="31"/>
              </w:rPr>
              <w:t>三、</w:t>
            </w:r>
            <w:r>
              <w:rPr>
                <w:rFonts w:ascii="FangSong" w:eastAsia="FangSong" w:hAnsi="FangSong" w:cs="FangSong"/>
                <w:spacing w:val="-73"/>
                <w:sz w:val="31"/>
                <w:szCs w:val="31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11"/>
                <w:sz w:val="31"/>
                <w:szCs w:val="31"/>
              </w:rPr>
              <w:t>评审形式：</w:t>
            </w:r>
          </w:p>
          <w:p>
            <w:pPr>
              <w:spacing w:before="210" w:line="313" w:lineRule="auto"/>
              <w:ind w:left="126" w:right="111" w:firstLine="4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4"/>
                <w:sz w:val="24"/>
                <w:szCs w:val="24"/>
              </w:rPr>
              <w:t>采用会议评审的形式，对评审的内容进行讨论、分析、评价，最后确认结果并形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成管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理评审报告。</w:t>
            </w:r>
          </w:p>
        </w:tc>
      </w:tr>
      <w:tr>
        <w:tblPrEx>
          <w:tblW w:w="9690" w:type="dxa"/>
          <w:tblInd w:w="28" w:type="dxa"/>
          <w:tblLayout w:type="fixed"/>
        </w:tblPrEx>
        <w:trPr>
          <w:trHeight w:val="1564"/>
        </w:trPr>
        <w:tc>
          <w:tcPr>
            <w:tcW w:w="9690" w:type="dxa"/>
          </w:tcPr>
          <w:p>
            <w:pPr>
              <w:spacing w:before="154" w:line="224" w:lineRule="auto"/>
              <w:ind w:left="167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z w:val="31"/>
                <w:szCs w:val="31"/>
              </w:rPr>
              <w:t>四、评审时间及地点：</w:t>
            </w:r>
          </w:p>
          <w:p>
            <w:pPr>
              <w:spacing w:before="211" w:line="218" w:lineRule="auto"/>
              <w:ind w:left="98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时间：2023</w:t>
            </w:r>
            <w:r>
              <w:rPr>
                <w:rFonts w:ascii="FangSong" w:eastAsia="FangSong" w:hAnsi="FangSong" w:cs="FangSong"/>
                <w:spacing w:val="-2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3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月</w:t>
            </w:r>
            <w:r>
              <w:rPr>
                <w:rFonts w:ascii="FangSong" w:eastAsia="FangSong" w:hAnsi="FangSong" w:cs="FangSong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30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日</w:t>
            </w:r>
          </w:p>
          <w:p>
            <w:pPr>
              <w:spacing w:before="184" w:line="218" w:lineRule="auto"/>
              <w:ind w:left="9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地点：公司第二会议室</w:t>
            </w:r>
          </w:p>
        </w:tc>
      </w:tr>
      <w:tr>
        <w:tblPrEx>
          <w:tblW w:w="9690" w:type="dxa"/>
          <w:tblInd w:w="28" w:type="dxa"/>
          <w:tblLayout w:type="fixed"/>
        </w:tblPrEx>
        <w:trPr>
          <w:trHeight w:val="1566"/>
        </w:trPr>
        <w:tc>
          <w:tcPr>
            <w:tcW w:w="9690" w:type="dxa"/>
          </w:tcPr>
          <w:p>
            <w:pPr>
              <w:spacing w:before="158" w:line="223" w:lineRule="auto"/>
              <w:ind w:left="134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31"/>
                <w:szCs w:val="31"/>
              </w:rPr>
              <w:t>五、参加评审部门（人员</w:t>
            </w:r>
            <w:r>
              <w:rPr>
                <w:rFonts w:ascii="FangSong" w:eastAsia="FangSong" w:hAnsi="FangSong" w:cs="FangSong"/>
                <w:b/>
                <w:bCs/>
                <w:spacing w:val="-2"/>
                <w:sz w:val="31"/>
                <w:szCs w:val="31"/>
              </w:rPr>
              <w:t>）：</w:t>
            </w:r>
          </w:p>
          <w:p>
            <w:pPr>
              <w:spacing w:before="212" w:line="218" w:lineRule="auto"/>
              <w:ind w:left="9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会议主持：总经理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陆涛</w:t>
            </w:r>
          </w:p>
          <w:p>
            <w:pPr>
              <w:spacing w:before="184" w:line="217" w:lineRule="auto"/>
              <w:ind w:left="9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体系覆盖部门负责人：吴艳、谢广胜、卢肖依、李彦、周丽、胡刚、杨洁等</w:t>
            </w:r>
          </w:p>
        </w:tc>
      </w:tr>
      <w:tr>
        <w:tblPrEx>
          <w:tblW w:w="9690" w:type="dxa"/>
          <w:tblInd w:w="28" w:type="dxa"/>
          <w:tblLayout w:type="fixed"/>
        </w:tblPrEx>
        <w:trPr>
          <w:trHeight w:val="1725"/>
        </w:trPr>
        <w:tc>
          <w:tcPr>
            <w:tcW w:w="9690" w:type="dxa"/>
          </w:tcPr>
          <w:p>
            <w:pPr>
              <w:spacing w:before="159" w:line="360" w:lineRule="auto"/>
              <w:ind w:left="129" w:right="113" w:firstLine="2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12"/>
                <w:sz w:val="31"/>
                <w:szCs w:val="31"/>
              </w:rPr>
              <w:t>六、管理评审计划输入的准备（各部门需准备资料，包括口头发言</w:t>
            </w:r>
            <w:r>
              <w:rPr>
                <w:rFonts w:ascii="FangSong" w:eastAsia="FangSong" w:hAnsi="FangSong" w:cs="FangSong"/>
                <w:b/>
                <w:bCs/>
                <w:spacing w:val="-12"/>
                <w:sz w:val="31"/>
                <w:szCs w:val="31"/>
              </w:rPr>
              <w:t>和建议</w:t>
            </w:r>
            <w:r>
              <w:rPr>
                <w:rFonts w:ascii="FangSong" w:eastAsia="FangSong" w:hAnsi="FangSong" w:cs="FangSong"/>
                <w:b/>
                <w:bCs/>
                <w:spacing w:val="-8"/>
                <w:sz w:val="31"/>
                <w:szCs w:val="31"/>
              </w:rPr>
              <w:t>）：</w:t>
            </w:r>
          </w:p>
          <w:p>
            <w:pPr>
              <w:spacing w:line="218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（1）公司各项管理目标（指标）的实现情况；</w:t>
            </w:r>
          </w:p>
        </w:tc>
      </w:tr>
    </w:tbl>
    <w:p>
      <w:pPr>
        <w:pStyle w:val="BodyText"/>
      </w:pPr>
    </w:p>
    <w:p>
      <w:pPr>
        <w:sectPr>
          <w:headerReference w:type="default" r:id="rId8"/>
          <w:footerReference w:type="default" r:id="rId9"/>
          <w:pgSz w:w="11907" w:h="16839"/>
          <w:pgMar w:top="1855" w:right="1104" w:bottom="1712" w:left="1080" w:header="803" w:footer="992" w:gutter="0"/>
          <w:cols w:space="720"/>
        </w:sectPr>
      </w:pPr>
    </w:p>
    <w:tbl>
      <w:tblPr>
        <w:tblStyle w:val="TableNormal"/>
        <w:tblW w:w="9690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9690"/>
      </w:tblGrid>
      <w:tr>
        <w:tblPrEx>
          <w:tblW w:w="9690" w:type="dxa"/>
          <w:tblInd w:w="28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1230"/>
        </w:trPr>
        <w:tc>
          <w:tcPr>
            <w:tcW w:w="9690" w:type="dxa"/>
          </w:tcPr>
          <w:p>
            <w:pPr>
              <w:spacing w:before="119" w:line="216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（2）运维服务的评价选择及履约状况；</w:t>
            </w:r>
          </w:p>
          <w:p>
            <w:pPr>
              <w:spacing w:before="186" w:line="216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（3）对各职能部门管理活动监督检查情况的综合分析；</w:t>
            </w:r>
          </w:p>
          <w:p>
            <w:pPr>
              <w:spacing w:before="186" w:line="216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（4）内部和外部管理体系审核结果（包括审核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中发现的不符合项及分布情况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）；</w:t>
            </w:r>
          </w:p>
          <w:p>
            <w:pPr>
              <w:spacing w:before="187" w:line="218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（5）上次管理评审提出改进措施的落实情况；</w:t>
            </w:r>
          </w:p>
          <w:p>
            <w:pPr>
              <w:spacing w:before="184" w:line="217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（6）可能影响管理体系的变更情况以及改进建议等；</w:t>
            </w:r>
          </w:p>
          <w:p>
            <w:pPr>
              <w:spacing w:before="186" w:line="217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（7）综合管理部质量管理组其他相关信息的收集、分析和利用等。</w:t>
            </w:r>
          </w:p>
          <w:p>
            <w:pPr>
              <w:spacing w:before="185" w:line="289" w:lineRule="auto"/>
              <w:ind w:left="129" w:right="107" w:firstLine="35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（8）运维服务的符合性（满足运维有关方、法律法规及公司自身要求的符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合性</w:t>
            </w:r>
            <w:r>
              <w:rPr>
                <w:rFonts w:ascii="FangSong" w:eastAsia="FangSong" w:hAnsi="FangSong" w:cs="FangSong"/>
                <w:spacing w:val="20"/>
                <w:sz w:val="24"/>
                <w:szCs w:val="24"/>
              </w:rPr>
              <w:t>），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包括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质量创优活动等；</w:t>
            </w:r>
          </w:p>
          <w:p>
            <w:pPr>
              <w:spacing w:before="184" w:line="216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（9）对运维服务能力管理活动监督检查情况分析；</w:t>
            </w:r>
          </w:p>
          <w:p>
            <w:pPr>
              <w:spacing w:before="188" w:line="217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（10）运维服务质量的纠正措施和预防措施状况；</w:t>
            </w:r>
          </w:p>
          <w:p>
            <w:pPr>
              <w:spacing w:before="185" w:line="289" w:lineRule="auto"/>
              <w:ind w:left="124" w:right="125" w:firstLine="35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（11）运维服务有关方（顾客）对运维服务质量的满意程度，以及提高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顾客满意的改进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措施和实施情况、建议等。</w:t>
            </w:r>
          </w:p>
          <w:p>
            <w:pPr>
              <w:spacing w:before="184" w:line="217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（12）运维服务合同履约情况分析</w:t>
            </w:r>
          </w:p>
          <w:p>
            <w:pPr>
              <w:spacing w:before="186" w:line="289" w:lineRule="auto"/>
              <w:ind w:left="125" w:right="234" w:firstLine="35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（13）过程管理的符合性（满足运维相关方、法律法规及公司自身要求的符合性），包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括质量创优活动等；</w:t>
            </w:r>
          </w:p>
          <w:p>
            <w:pPr>
              <w:spacing w:before="184" w:line="217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（14）对过程管理活动监控情况分析</w:t>
            </w:r>
          </w:p>
          <w:p>
            <w:pPr>
              <w:spacing w:before="186" w:line="217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（15）对知识库管理活动监控情况分析；</w:t>
            </w:r>
          </w:p>
          <w:p>
            <w:pPr>
              <w:spacing w:before="185" w:line="216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（16）对服务台管理活动监督检查情况分析；</w:t>
            </w:r>
          </w:p>
          <w:p>
            <w:pPr>
              <w:spacing w:before="187" w:line="217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（17）运维服务质量的纠正措施和预防措施状况；</w:t>
            </w:r>
          </w:p>
          <w:p>
            <w:pPr>
              <w:spacing w:before="186" w:line="217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（18）运维服务项目备品备件的采购或租赁管理管理情况，包括对供方的评价；</w:t>
            </w:r>
          </w:p>
          <w:p>
            <w:pPr>
              <w:spacing w:before="185" w:line="216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（19）备品备件采购的总结分析，包括对供方的评价选择和再评价情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况；</w:t>
            </w:r>
          </w:p>
          <w:p>
            <w:pPr>
              <w:spacing w:before="187" w:line="216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（20）备品备件的库房管理进行监督检查的情况；</w:t>
            </w:r>
          </w:p>
          <w:p>
            <w:pPr>
              <w:spacing w:before="187" w:line="217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（21）备品备件采购和管理的其他相关信息的收集、分析和利用</w:t>
            </w:r>
          </w:p>
          <w:p>
            <w:pPr>
              <w:spacing w:before="186" w:line="217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（22）</w:t>
            </w:r>
            <w:r>
              <w:rPr>
                <w:rFonts w:ascii="FangSong" w:eastAsia="FangSong" w:hAnsi="FangSong" w:cs="FangSong"/>
                <w:spacing w:val="8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信息部软件开发组提供研发状况分析</w:t>
            </w:r>
          </w:p>
        </w:tc>
      </w:tr>
      <w:tr>
        <w:tblPrEx>
          <w:tblW w:w="9690" w:type="dxa"/>
          <w:tblInd w:w="28" w:type="dxa"/>
          <w:tblLayout w:type="fixed"/>
        </w:tblPrEx>
        <w:trPr>
          <w:trHeight w:val="2035"/>
        </w:trPr>
        <w:tc>
          <w:tcPr>
            <w:tcW w:w="9690" w:type="dxa"/>
          </w:tcPr>
          <w:p>
            <w:pPr>
              <w:spacing w:before="157" w:line="223" w:lineRule="auto"/>
              <w:ind w:left="135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3"/>
                <w:sz w:val="31"/>
                <w:szCs w:val="31"/>
              </w:rPr>
              <w:t>七、管理评审输出：</w:t>
            </w:r>
          </w:p>
          <w:p>
            <w:pPr>
              <w:spacing w:before="210" w:line="218" w:lineRule="auto"/>
              <w:ind w:left="6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包括与以下方面有关的决定与措施：</w:t>
            </w:r>
          </w:p>
          <w:p>
            <w:pPr>
              <w:spacing w:before="184" w:line="216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（1）管理方针和目标符合性的结论；</w:t>
            </w:r>
          </w:p>
          <w:p>
            <w:pPr>
              <w:spacing w:before="187" w:line="216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（2）为提高管理体系和过程的有效性的决定和措施；</w:t>
            </w:r>
          </w:p>
        </w:tc>
      </w:tr>
    </w:tbl>
    <w:p>
      <w:pPr>
        <w:pStyle w:val="BodyText"/>
        <w:spacing w:line="14" w:lineRule="auto"/>
        <w:rPr>
          <w:sz w:val="2"/>
        </w:rPr>
      </w:pPr>
    </w:p>
    <w:p>
      <w:pPr>
        <w:spacing w:line="14" w:lineRule="auto"/>
        <w:rPr>
          <w:sz w:val="2"/>
          <w:szCs w:val="2"/>
        </w:rPr>
        <w:sectPr>
          <w:headerReference w:type="default" r:id="rId10"/>
          <w:pgSz w:w="11907" w:h="16839"/>
          <w:pgMar w:top="1834" w:right="1104" w:bottom="1712" w:left="1080" w:header="803" w:footer="992" w:gutter="0"/>
          <w:cols w:space="720"/>
        </w:sectPr>
      </w:pPr>
    </w:p>
    <w:tbl>
      <w:tblPr>
        <w:tblStyle w:val="TableNormal"/>
        <w:tblW w:w="9690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9690"/>
      </w:tblGrid>
      <w:tr>
        <w:tblPrEx>
          <w:tblW w:w="9690" w:type="dxa"/>
          <w:tblInd w:w="28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879"/>
        </w:trPr>
        <w:tc>
          <w:tcPr>
            <w:tcW w:w="9690" w:type="dxa"/>
          </w:tcPr>
          <w:p>
            <w:pPr>
              <w:spacing w:before="120" w:line="217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（3）提高顾客满意度对运维服务质量改进决定和措施；</w:t>
            </w:r>
          </w:p>
          <w:p>
            <w:pPr>
              <w:spacing w:before="185" w:line="217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（4）改进运维服务绩效的决定和措施；</w:t>
            </w:r>
          </w:p>
          <w:p>
            <w:pPr>
              <w:spacing w:before="185" w:line="218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（5）管理体系各项资源配置的决定和措施：</w:t>
            </w:r>
          </w:p>
          <w:p>
            <w:pPr>
              <w:spacing w:before="184" w:line="216" w:lineRule="auto"/>
              <w:ind w:left="4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（6）对管理体系持续的适宜性、充分性和有效性的总体评价。</w:t>
            </w:r>
          </w:p>
        </w:tc>
      </w:tr>
      <w:tr>
        <w:tblPrEx>
          <w:tblW w:w="9690" w:type="dxa"/>
          <w:tblInd w:w="28" w:type="dxa"/>
          <w:tblLayout w:type="fixed"/>
        </w:tblPrEx>
        <w:trPr>
          <w:trHeight w:val="2031"/>
        </w:trPr>
        <w:tc>
          <w:tcPr>
            <w:tcW w:w="9690" w:type="dxa"/>
          </w:tcPr>
          <w:p>
            <w:pPr>
              <w:spacing w:before="155" w:line="221" w:lineRule="auto"/>
              <w:ind w:left="128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31"/>
                <w:szCs w:val="31"/>
              </w:rPr>
              <w:t>八、评审准备工作要求：</w:t>
            </w:r>
          </w:p>
          <w:p>
            <w:pPr>
              <w:spacing w:before="214" w:line="328" w:lineRule="auto"/>
              <w:ind w:left="123" w:right="109" w:firstLine="481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2"/>
                <w:sz w:val="24"/>
                <w:szCs w:val="24"/>
              </w:rPr>
              <w:t>部门根据《运维服务管理评审程序》及上述评审内容提纲要求准备管理评审总结及见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证性材料。各部门将年度质量目标统计资料和内审结论于</w:t>
            </w:r>
            <w:r>
              <w:rPr>
                <w:rFonts w:ascii="FangSong" w:eastAsia="FangSong" w:hAnsi="FangSong" w:cs="FangSong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2023</w:t>
            </w:r>
            <w:r>
              <w:rPr>
                <w:rFonts w:ascii="FangSong" w:eastAsia="FangSong" w:hAnsi="FangSong" w:cs="FangSong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年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1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月</w:t>
            </w:r>
            <w:r>
              <w:rPr>
                <w:rFonts w:ascii="FangSong" w:eastAsia="FangSong" w:hAnsi="FangSong" w:cs="FangSong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28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日前交综合管理</w:t>
            </w: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部质量管理组。内审不符合项责任部门负责将近期整改情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况和验证结论文件提交。</w:t>
            </w:r>
          </w:p>
        </w:tc>
      </w:tr>
      <w:tr>
        <w:tblPrEx>
          <w:tblW w:w="9690" w:type="dxa"/>
          <w:tblInd w:w="28" w:type="dxa"/>
          <w:tblLayout w:type="fixed"/>
        </w:tblPrEx>
        <w:trPr>
          <w:trHeight w:val="1100"/>
        </w:trPr>
        <w:tc>
          <w:tcPr>
            <w:tcW w:w="9690" w:type="dxa"/>
          </w:tcPr>
          <w:p>
            <w:pPr>
              <w:spacing w:before="156" w:line="224" w:lineRule="auto"/>
              <w:ind w:left="140"/>
              <w:rPr>
                <w:rFonts w:ascii="FangSong" w:eastAsia="FangSong" w:hAnsi="FangSong" w:cs="FangSong"/>
                <w:sz w:val="31"/>
                <w:szCs w:val="31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31"/>
                <w:szCs w:val="31"/>
              </w:rPr>
              <w:t>九、管理评审报告的完成日期：</w:t>
            </w:r>
          </w:p>
          <w:p>
            <w:pPr>
              <w:spacing w:before="210" w:line="216" w:lineRule="auto"/>
              <w:ind w:left="54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相关报告评审会后一周之内形成管理评审报告，并下发实施。</w:t>
            </w:r>
          </w:p>
        </w:tc>
      </w:tr>
    </w:tbl>
    <w:p>
      <w:pPr>
        <w:pStyle w:val="BodyText"/>
      </w:pPr>
    </w:p>
    <w:sectPr>
      <w:pgSz w:w="11907" w:h="16839"/>
      <w:pgMar w:top="1834" w:right="1104" w:bottom="1712" w:left="1080" w:header="803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4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361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38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73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685800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3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685800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02" w:lineRule="auto"/>
      <w:ind w:left="53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内审计划</dc:title>
  <dc:creator>admin</dc:creator>
  <cp:revision>0</cp:revision>
  <dcterms:created xsi:type="dcterms:W3CDTF">2023-07-25T22:59:48Z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2025-12-03T15:20:55Z</vt:filetime>
  </property>
  <property fmtid="{D5CDD505-2E9C-101B-9397-08002B2CF9AE}" pid="3" name="CRO">
    <vt:lpwstr>wqlLaW5nc29mdCBQREYgdG8gV1BTIDExNQ</vt:lpwstr>
  </property>
</Properties>
</file>