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234" w:line="217" w:lineRule="auto"/>
        <w:ind w:left="605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1"/>
          <w:sz w:val="72"/>
          <w:szCs w:val="72"/>
        </w:rPr>
        <w:t>运维服务管理评审报告</w:t>
      </w:r>
    </w:p>
    <w:p>
      <w:pPr>
        <w:pStyle w:val="BodyText"/>
        <w:spacing w:line="310" w:lineRule="auto"/>
      </w:pPr>
    </w:p>
    <w:p>
      <w:pPr>
        <w:spacing w:before="91" w:line="232" w:lineRule="auto"/>
        <w:ind w:left="263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（YNTD-ITSS-07-02-02）</w: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785" w:bottom="1712" w:left="1785" w:header="803" w:footer="992" w:gutter="0"/>
          <w:cols w:space="720"/>
        </w:sectPr>
      </w:pPr>
    </w:p>
    <w:p>
      <w:pPr>
        <w:spacing w:before="140" w:line="220" w:lineRule="auto"/>
        <w:ind w:left="3175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5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</w:pPr>
            <w:r>
              <w:rPr>
                <w:b/>
                <w:bCs/>
                <w:spacing w:val="-5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6" w:lineRule="auto"/>
              <w:ind w:left="536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27"/>
            </w:pPr>
            <w:r>
              <w:rPr>
                <w:b/>
                <w:bCs/>
                <w:spacing w:val="-6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0" w:lineRule="auto"/>
              <w:ind w:left="912"/>
            </w:pPr>
            <w:r>
              <w:rPr>
                <w:b/>
                <w:bCs/>
                <w:spacing w:val="-6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</w:pPr>
            <w:r>
              <w:rPr>
                <w:b/>
                <w:bCs/>
                <w:spacing w:val="-5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6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192"/>
            </w:pPr>
            <w:r>
              <w:rPr>
                <w:b/>
                <w:bCs/>
                <w:spacing w:val="-5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431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244"/>
            </w:pPr>
            <w:r>
              <w:rPr>
                <w:b/>
                <w:bCs/>
                <w:spacing w:val="-8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488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269"/>
            </w:pPr>
            <w:r>
              <w:rPr>
                <w:b/>
                <w:bCs/>
                <w:spacing w:val="-5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441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447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79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杨洁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2023.1.30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9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28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2023.1.30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23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2023.1.30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80" w:line="220" w:lineRule="auto"/>
              <w:ind w:left="6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7" w:bottom="1712" w:left="1438" w:header="803" w:footer="992" w:gutter="0"/>
          <w:cols w:space="720"/>
        </w:sectPr>
      </w:pPr>
    </w:p>
    <w:tbl>
      <w:tblPr>
        <w:tblStyle w:val="TableNormal"/>
        <w:tblW w:w="9733" w:type="dxa"/>
        <w:tblInd w:w="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733"/>
      </w:tblGrid>
      <w:tr>
        <w:tblPrEx>
          <w:tblW w:w="9733" w:type="dxa"/>
          <w:tblInd w:w="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569"/>
        </w:trPr>
        <w:tc>
          <w:tcPr>
            <w:tcW w:w="9733" w:type="dxa"/>
          </w:tcPr>
          <w:p>
            <w:pPr>
              <w:spacing w:before="156" w:line="224" w:lineRule="auto"/>
              <w:ind w:left="134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31"/>
                <w:szCs w:val="31"/>
              </w:rPr>
              <w:t>一、管理评审会议时间、地点</w:t>
            </w:r>
          </w:p>
          <w:p>
            <w:pPr>
              <w:spacing w:before="211" w:line="218" w:lineRule="auto"/>
              <w:ind w:left="54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时间：2023</w:t>
            </w:r>
            <w:r>
              <w:rPr>
                <w:rFonts w:ascii="FangSong" w:eastAsia="FangSong" w:hAnsi="FangSong" w:cs="FangSong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30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日</w:t>
            </w:r>
          </w:p>
          <w:p>
            <w:pPr>
              <w:spacing w:before="183" w:line="220" w:lineRule="auto"/>
              <w:ind w:left="53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地点：湖南同飞会议室</w:t>
            </w:r>
          </w:p>
        </w:tc>
      </w:tr>
      <w:tr>
        <w:tblPrEx>
          <w:tblW w:w="9733" w:type="dxa"/>
          <w:tblInd w:w="7" w:type="dxa"/>
          <w:tblLayout w:type="fixed"/>
        </w:tblPrEx>
        <w:trPr>
          <w:trHeight w:val="1564"/>
        </w:trPr>
        <w:tc>
          <w:tcPr>
            <w:tcW w:w="9733" w:type="dxa"/>
          </w:tcPr>
          <w:p>
            <w:pPr>
              <w:spacing w:before="152" w:line="224" w:lineRule="auto"/>
              <w:ind w:left="139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31"/>
                <w:szCs w:val="31"/>
              </w:rPr>
              <w:t>二、评审目的：</w:t>
            </w:r>
          </w:p>
          <w:p>
            <w:pPr>
              <w:spacing w:before="211" w:line="313" w:lineRule="auto"/>
              <w:ind w:left="128" w:right="106" w:firstLine="4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评价公司运维管理体系的适宜性、充分性、有效性，识别改进和变更需求，实现公司运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维服务管理体系的持续改进。</w:t>
            </w:r>
          </w:p>
        </w:tc>
      </w:tr>
      <w:tr>
        <w:tblPrEx>
          <w:tblW w:w="9733" w:type="dxa"/>
          <w:tblInd w:w="7" w:type="dxa"/>
          <w:tblLayout w:type="fixed"/>
        </w:tblPrEx>
        <w:trPr>
          <w:trHeight w:val="1564"/>
        </w:trPr>
        <w:tc>
          <w:tcPr>
            <w:tcW w:w="9733" w:type="dxa"/>
          </w:tcPr>
          <w:p>
            <w:pPr>
              <w:spacing w:before="154" w:line="223" w:lineRule="auto"/>
              <w:ind w:left="138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31"/>
                <w:szCs w:val="31"/>
              </w:rPr>
              <w:t>三、参加评审部门（人员）</w:t>
            </w:r>
          </w:p>
          <w:p>
            <w:pPr>
              <w:spacing w:before="212" w:line="218" w:lineRule="auto"/>
              <w:ind w:left="1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1、会议主持：总经理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陆涛</w:t>
            </w:r>
          </w:p>
          <w:p>
            <w:pPr>
              <w:spacing w:before="184" w:line="217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2、体系覆盖部门负责人：吴艳、谢广胜、卢肖依、李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彦、周丽、胡刚、杨洁等</w:t>
            </w:r>
          </w:p>
        </w:tc>
      </w:tr>
      <w:tr>
        <w:tblPrEx>
          <w:tblW w:w="9733" w:type="dxa"/>
          <w:tblInd w:w="7" w:type="dxa"/>
          <w:tblLayout w:type="fixed"/>
        </w:tblPrEx>
        <w:trPr>
          <w:trHeight w:val="8110"/>
        </w:trPr>
        <w:tc>
          <w:tcPr>
            <w:tcW w:w="9733" w:type="dxa"/>
          </w:tcPr>
          <w:p>
            <w:pPr>
              <w:spacing w:before="154" w:line="224" w:lineRule="auto"/>
              <w:ind w:left="167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1"/>
                <w:sz w:val="31"/>
                <w:szCs w:val="31"/>
              </w:rPr>
              <w:t>四、管理评审报告内容：</w:t>
            </w:r>
          </w:p>
          <w:p>
            <w:pPr>
              <w:spacing w:before="211" w:line="218" w:lineRule="auto"/>
              <w:ind w:left="55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1.</w:t>
            </w:r>
            <w:r>
              <w:rPr>
                <w:rFonts w:ascii="FangSong" w:eastAsia="FangSong" w:hAnsi="FangSong" w:cs="FangSong"/>
                <w:spacing w:val="9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质量方针和目标的实现情况；</w:t>
            </w:r>
          </w:p>
          <w:p>
            <w:pPr>
              <w:spacing w:before="183" w:line="348" w:lineRule="auto"/>
              <w:ind w:left="124" w:right="112" w:firstLine="4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5"/>
                <w:sz w:val="24"/>
                <w:szCs w:val="24"/>
              </w:rPr>
              <w:t>本公司质量管理方针是：创新的服务理念、精湛的服务技术、卓著的服务信誉</w:t>
            </w:r>
            <w:r>
              <w:rPr>
                <w:rFonts w:ascii="FangSong" w:eastAsia="FangSong" w:hAnsi="FangSong" w:cs="FangSong"/>
                <w:spacing w:val="4"/>
                <w:sz w:val="24"/>
                <w:szCs w:val="24"/>
              </w:rPr>
              <w:t>。公司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注重于对员工服务意识的培训，培训所有员工以创新的服务理念、精湛的服务技术以及卓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>著的服务信誉去服务客户。大家本着以客户为中心的服务</w:t>
            </w:r>
            <w:r>
              <w:rPr>
                <w:rFonts w:ascii="FangSong" w:eastAsia="FangSong" w:hAnsi="FangSong" w:cs="FangSong"/>
                <w:spacing w:val="9"/>
                <w:sz w:val="24"/>
                <w:szCs w:val="24"/>
              </w:rPr>
              <w:t>理念、不断提高和改进技术水</w:t>
            </w:r>
            <w:r>
              <w:rPr>
                <w:rFonts w:ascii="FangSong" w:eastAsia="FangSong" w:hAnsi="FangSong" w:cs="FangSong"/>
                <w:spacing w:val="2"/>
                <w:sz w:val="24"/>
                <w:szCs w:val="24"/>
              </w:rPr>
              <w:t>平，</w:t>
            </w:r>
            <w:r>
              <w:rPr>
                <w:rFonts w:ascii="FangSong" w:eastAsia="FangSong" w:hAnsi="FangSong" w:cs="FangSong"/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2"/>
                <w:sz w:val="24"/>
                <w:szCs w:val="24"/>
              </w:rPr>
              <w:t>以高质量高效益的服务回报客户的信任，得到了客户的一致好评。评审人员认为：公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司的质量方针得到了切实的贯彻执行。</w:t>
            </w:r>
          </w:p>
          <w:p>
            <w:pPr>
              <w:spacing w:line="217" w:lineRule="auto"/>
              <w:ind w:left="60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运维质量管理目标达成情况。</w:t>
            </w:r>
          </w:p>
          <w:p>
            <w:pPr>
              <w:spacing w:before="185" w:line="217" w:lineRule="auto"/>
              <w:ind w:left="5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7"/>
                <w:sz w:val="24"/>
                <w:szCs w:val="24"/>
              </w:rPr>
              <w:t>分析：</w:t>
            </w:r>
          </w:p>
          <w:p>
            <w:pPr>
              <w:spacing w:before="184" w:line="359" w:lineRule="auto"/>
              <w:ind w:left="123" w:right="107" w:firstLine="48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公司运维服务能力指标共</w:t>
            </w:r>
            <w:r>
              <w:rPr>
                <w:rFonts w:ascii="FangSong" w:eastAsia="FangSong" w:hAnsi="FangSong" w:cs="FangSong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24</w:t>
            </w:r>
            <w:r>
              <w:rPr>
                <w:rFonts w:ascii="FangSong" w:eastAsia="FangSong" w:hAnsi="FangSong" w:cs="FangSong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项，其中年度考核指标</w:t>
            </w:r>
            <w:r>
              <w:rPr>
                <w:rFonts w:ascii="FangSong" w:eastAsia="FangSong" w:hAnsi="FangSong" w:cs="FangSong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13</w:t>
            </w:r>
            <w:r>
              <w:rPr>
                <w:rFonts w:ascii="FangSong" w:eastAsia="FangSong" w:hAnsi="FangSong" w:cs="FangSong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项,半年指标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2</w:t>
            </w:r>
            <w:r>
              <w:rPr>
                <w:rFonts w:ascii="FangSong" w:eastAsia="FangSong" w:hAnsi="FangSong" w:cs="FangSong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项，季度考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核指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标</w:t>
            </w:r>
            <w:r>
              <w:rPr>
                <w:rFonts w:ascii="FangSong" w:eastAsia="FangSong" w:hAnsi="FangSong" w:cs="FangSong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7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项，月度考核指标</w:t>
            </w:r>
            <w:r>
              <w:rPr>
                <w:rFonts w:ascii="FangSong" w:eastAsia="FangSong" w:hAnsi="FangSong" w:cs="FangSong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2</w:t>
            </w:r>
            <w:r>
              <w:rPr>
                <w:rFonts w:ascii="FangSong" w:eastAsia="FangSong" w:hAnsi="FangSong" w:cs="FangSong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项；截止本年数据均达到了指标要求。</w:t>
            </w:r>
          </w:p>
          <w:p>
            <w:pPr>
              <w:spacing w:before="3" w:line="359" w:lineRule="auto"/>
              <w:ind w:left="127" w:right="105" w:firstLine="423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截至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2022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月运维服务能力规划的适宜性、充分性和有效性及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完成情况；自建立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ITSS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运维体系和实施以来，经过内审和管理评审，体系方面完善，肯定了质量体系的正确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性，质量目标已经基本达成，各方面运作都有较好效果，相信以后通过公司全体人员的努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力领导的正确指引和支持，体系的不断完善，各方面捷报会越来越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多，成绩会越来越好。</w:t>
            </w:r>
          </w:p>
          <w:p>
            <w:pPr>
              <w:spacing w:before="76" w:line="216" w:lineRule="auto"/>
              <w:ind w:left="5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2.</w:t>
            </w:r>
            <w:r>
              <w:rPr>
                <w:rFonts w:ascii="FangSong" w:eastAsia="FangSong" w:hAnsi="FangSong" w:cs="FangSong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组织架构、人员、资源、技术、过程等的适宜性</w:t>
            </w:r>
          </w:p>
          <w:p>
            <w:pPr>
              <w:spacing w:before="108" w:line="216" w:lineRule="auto"/>
              <w:ind w:left="67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2"/>
                <w:sz w:val="24"/>
                <w:szCs w:val="24"/>
              </w:rPr>
              <w:t>组织架构内各部门分工明确、职责清晰，有相互的协调和沟通通道</w:t>
            </w:r>
            <w:r>
              <w:rPr>
                <w:rFonts w:ascii="FangSong" w:eastAsia="FangSong" w:hAnsi="FangSong" w:cs="FangSong"/>
                <w:spacing w:val="1"/>
                <w:sz w:val="24"/>
                <w:szCs w:val="24"/>
              </w:rPr>
              <w:t>，保障了运行维护</w:t>
            </w:r>
          </w:p>
        </w:tc>
      </w:tr>
    </w:tbl>
    <w:p>
      <w:pPr>
        <w:pStyle w:val="BodyText"/>
      </w:pPr>
    </w:p>
    <w:p>
      <w:pPr>
        <w:sectPr>
          <w:headerReference w:type="default" r:id="rId8"/>
          <w:footerReference w:type="default" r:id="rId9"/>
          <w:pgSz w:w="11907" w:h="16839"/>
          <w:pgMar w:top="1834" w:right="1082" w:bottom="1712" w:left="1080" w:header="803" w:footer="992" w:gutter="0"/>
          <w:cols w:space="720"/>
        </w:sectPr>
      </w:pPr>
    </w:p>
    <w:tbl>
      <w:tblPr>
        <w:tblStyle w:val="TableNormal"/>
        <w:tblW w:w="9733" w:type="dxa"/>
        <w:tblInd w:w="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</w:tblPr>
      <w:tblGrid>
        <w:gridCol w:w="9733"/>
      </w:tblGrid>
      <w:tr>
        <w:tblPrEx>
          <w:tblW w:w="9733" w:type="dxa"/>
          <w:tblInd w:w="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blBorders>
          <w:tblLayout w:type="fixed"/>
        </w:tblPrEx>
        <w:trPr>
          <w:trHeight w:val="13098"/>
        </w:trPr>
        <w:tc>
          <w:tcPr>
            <w:tcW w:w="9733" w:type="dxa"/>
          </w:tcPr>
          <w:p>
            <w:pPr>
              <w:spacing w:before="42" w:line="359" w:lineRule="auto"/>
              <w:ind w:left="124" w:right="112" w:hanging="1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服务的顺利实施。现有人员管理、岗位结构和人员的知识、技能、经验、安全意识等方面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可以达到运行维护服务应有的水平。公司提供足够的资源，鼓励开展创新性，持续改进所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需的资源和机制，以保持管理体系并持续改进其有效性。公司具备发现和解决问题、风险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控制、技术储备以及研发、应用新技术和前沿技术的能力。公司具备相应的服务管理能力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并发挥其效能，建立相适应的服务管理过程，保证了运维服务部门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的规范性。</w:t>
            </w:r>
          </w:p>
          <w:p>
            <w:pPr>
              <w:spacing w:before="77" w:line="218" w:lineRule="auto"/>
              <w:ind w:left="54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3.</w:t>
            </w:r>
            <w:r>
              <w:rPr>
                <w:rFonts w:ascii="FangSong" w:eastAsia="FangSong" w:hAnsi="FangSong" w:cs="FangSong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内部管理体系的审核</w:t>
            </w:r>
          </w:p>
          <w:p>
            <w:pPr>
              <w:spacing w:before="105" w:line="360" w:lineRule="auto"/>
              <w:ind w:left="125" w:right="105" w:firstLine="4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2023</w:t>
            </w:r>
            <w:r>
              <w:rPr>
                <w:rFonts w:ascii="FangSong" w:eastAsia="FangSong" w:hAnsi="FangSong" w:cs="FangSong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日-12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日，公司对</w:t>
            </w:r>
            <w:r>
              <w:rPr>
                <w:rFonts w:ascii="FangSong" w:eastAsia="FangSong" w:hAnsi="FangSong" w:cs="FangSong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2022</w:t>
            </w:r>
            <w:r>
              <w:rPr>
                <w:rFonts w:ascii="FangSong" w:eastAsia="FangSong" w:hAnsi="FangSong" w:cs="FangSong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年运维服务体系进行了内审。在审核的过程中,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审核是按照客观公正、独立与被审核区域的方式进行，审核结果共有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项不合格项，属一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般不合格，有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0</w:t>
            </w:r>
            <w:r>
              <w:rPr>
                <w:rFonts w:ascii="FangSong" w:eastAsia="FangSong" w:hAnsi="FangSong" w:cs="FangSong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项严重不合格。</w:t>
            </w:r>
          </w:p>
          <w:p>
            <w:pPr>
              <w:spacing w:before="77" w:line="215" w:lineRule="auto"/>
              <w:ind w:left="1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针对此次内审不合格项，要求在五个工作日内整改完成，并做了以下措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施：</w:t>
            </w:r>
          </w:p>
          <w:p>
            <w:pPr>
              <w:spacing w:before="188" w:line="360" w:lineRule="auto"/>
              <w:ind w:left="124" w:right="107" w:firstLine="1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1）补充完成《国网湖南信通公司2022</w:t>
            </w: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年桌面设备运维服务项目》10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月《沟通记录》。按审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批流程经批准后，发送客户。</w:t>
            </w:r>
          </w:p>
          <w:p>
            <w:pPr>
              <w:spacing w:line="217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2.)组织信息部和通信部人员学习了《客户沟通管理制度》；</w:t>
            </w:r>
          </w:p>
          <w:p>
            <w:pPr>
              <w:spacing w:before="185" w:line="289" w:lineRule="auto"/>
              <w:ind w:left="123" w:right="126" w:hanging="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3.）组织公司运维服务相关部门学习了运维服务体系标准、公司运维服务体系管理文件，将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文件贯彻到运维服务活动中；</w:t>
            </w:r>
          </w:p>
          <w:p>
            <w:pPr>
              <w:spacing w:before="186" w:line="217" w:lineRule="auto"/>
              <w:ind w:left="5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4.</w:t>
            </w:r>
            <w:r>
              <w:rPr>
                <w:rFonts w:ascii="FangSong" w:eastAsia="FangSong" w:hAnsi="FangSong" w:cs="FangSong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纠正和预防措施情况</w:t>
            </w:r>
          </w:p>
          <w:p>
            <w:pPr>
              <w:spacing w:before="109" w:line="359" w:lineRule="auto"/>
              <w:ind w:left="125" w:right="108" w:firstLine="431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建立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ITSS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管理体系以来，主要针对过程和服务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的实现程度、内部审核结果由综合管理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部质量管理组进行纠正和预防措施的实施和监督。及时改进运行维护服务能力管理过程中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的不足，持续提升运行维护服务能力。从目前的实施情况看，通过对不符合项的行为进行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总结分析，对未达成的指标进行调查分析，根据分析结果确定改进措施，制定服务能力改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进计划从而达到提升运行维护服务能力的目的。</w:t>
            </w:r>
          </w:p>
          <w:p>
            <w:pPr>
              <w:spacing w:before="78" w:line="218" w:lineRule="auto"/>
              <w:ind w:left="54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5.</w:t>
            </w:r>
            <w:r>
              <w:rPr>
                <w:rFonts w:ascii="FangSong" w:eastAsia="FangSong" w:hAnsi="FangSong" w:cs="FangSong"/>
                <w:spacing w:val="8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客户满意度和顾客投诉情况</w:t>
            </w:r>
          </w:p>
          <w:p>
            <w:pPr>
              <w:spacing w:before="185" w:line="360" w:lineRule="auto"/>
              <w:ind w:left="117" w:right="106" w:firstLine="49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客户满意度调查于</w:t>
            </w:r>
            <w:r>
              <w:rPr>
                <w:rFonts w:ascii="FangSong" w:eastAsia="FangSong" w:hAnsi="FangSong" w:cs="FangSong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2022</w:t>
            </w:r>
            <w:r>
              <w:rPr>
                <w:rFonts w:ascii="FangSong" w:eastAsia="FangSong" w:hAnsi="FangSong" w:cs="FangSong"/>
                <w:spacing w:val="-3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26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日进行，对公司</w:t>
            </w:r>
            <w:r>
              <w:rPr>
                <w:rFonts w:ascii="FangSong" w:eastAsia="FangSong" w:hAnsi="FangSong" w:cs="FangSong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202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</w:t>
            </w:r>
            <w:r>
              <w:rPr>
                <w:rFonts w:ascii="FangSong" w:eastAsia="FangSong" w:hAnsi="FangSong" w:cs="FangSong"/>
                <w:spacing w:val="-3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年的运维服务</w:t>
            </w:r>
            <w:r>
              <w:rPr>
                <w:rFonts w:ascii="FangSong" w:eastAsia="FangSong" w:hAnsi="FangSong" w:cs="FangSong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28</w:t>
            </w:r>
            <w:r>
              <w:rPr>
                <w:rFonts w:ascii="FangSong" w:eastAsia="FangSong" w:hAnsi="FangSong" w:cs="FangSong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家客户进行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客户满意度调查。共发放问卷调查28</w:t>
            </w:r>
            <w:r>
              <w:rPr>
                <w:rFonts w:ascii="FangSong" w:eastAsia="FangSong" w:hAnsi="FangSong" w:cs="FangSong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份，收回</w:t>
            </w:r>
            <w:r>
              <w:rPr>
                <w:rFonts w:ascii="FangSong" w:eastAsia="FangSong" w:hAnsi="FangSong" w:cs="FangSong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份,回收率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100%。经综合评估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客户满意率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98%，达成公司质量指标。详见《客户满意度调查报告》</w:t>
            </w:r>
          </w:p>
          <w:p>
            <w:pPr>
              <w:spacing w:line="218" w:lineRule="auto"/>
              <w:ind w:left="5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6.</w:t>
            </w:r>
            <w:r>
              <w:rPr>
                <w:rFonts w:ascii="FangSong" w:eastAsia="FangSong" w:hAnsi="FangSong" w:cs="FangSong"/>
                <w:spacing w:val="7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服务质量状况</w:t>
            </w:r>
          </w:p>
          <w:p>
            <w:pPr>
              <w:spacing w:before="105" w:line="343" w:lineRule="auto"/>
              <w:ind w:left="126" w:right="106" w:firstLine="54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2"/>
                <w:sz w:val="24"/>
                <w:szCs w:val="24"/>
              </w:rPr>
              <w:t>本年运维服务部门能按时完成服务交付内容，没有出现重大事故与</w:t>
            </w:r>
            <w:r>
              <w:rPr>
                <w:rFonts w:ascii="FangSong" w:eastAsia="FangSong" w:hAnsi="FangSong" w:cs="FangSong"/>
                <w:spacing w:val="1"/>
                <w:sz w:val="24"/>
                <w:szCs w:val="24"/>
              </w:rPr>
              <w:t>安全事故。综合管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理部质量管理检查项目验收情况，重点抽查</w:t>
            </w:r>
            <w:r>
              <w:rPr>
                <w:rFonts w:ascii="FangSong" w:eastAsia="FangSong" w:hAnsi="FangSong" w:cs="FangSong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个项目分别为：&lt;国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网湖南信通公司2022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年桌</w:t>
            </w:r>
          </w:p>
        </w:tc>
      </w:tr>
    </w:tbl>
    <w:p>
      <w:pPr>
        <w:pStyle w:val="BodyText"/>
        <w:spacing w:line="173" w:lineRule="exact"/>
        <w:rPr>
          <w:sz w:val="15"/>
        </w:rPr>
      </w:pPr>
    </w:p>
    <w:p>
      <w:pPr>
        <w:spacing w:line="173" w:lineRule="exact"/>
        <w:rPr>
          <w:sz w:val="15"/>
          <w:szCs w:val="15"/>
        </w:rPr>
        <w:sectPr>
          <w:pgSz w:w="11907" w:h="16839"/>
          <w:pgMar w:top="1834" w:right="1082" w:bottom="1712" w:left="1080" w:header="803" w:footer="992" w:gutter="0"/>
          <w:cols w:space="720"/>
        </w:sectPr>
      </w:pPr>
    </w:p>
    <w:tbl>
      <w:tblPr>
        <w:tblStyle w:val="TableNormal"/>
        <w:tblW w:w="9733" w:type="dxa"/>
        <w:tblInd w:w="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733"/>
      </w:tblGrid>
      <w:tr>
        <w:tblPrEx>
          <w:tblW w:w="9733" w:type="dxa"/>
          <w:tblInd w:w="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280"/>
        </w:trPr>
        <w:tc>
          <w:tcPr>
            <w:tcW w:w="9733" w:type="dxa"/>
          </w:tcPr>
          <w:p>
            <w:pPr>
              <w:spacing w:before="40" w:line="360" w:lineRule="auto"/>
              <w:ind w:left="122" w:right="107" w:firstLine="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面设备运维服务项目&gt;、&lt;国网湖南信通公司2022</w:t>
            </w:r>
            <w:r>
              <w:rPr>
                <w:rFonts w:ascii="FangSong" w:eastAsia="FangSong" w:hAnsi="FangSong" w:cs="FangSong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年（跨年）运维服务项目年度服务报告&gt;、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&lt;国网湖南信通公司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2022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年省调自动化及网络安全监测值班&gt;。这</w:t>
            </w:r>
            <w:r>
              <w:rPr>
                <w:rFonts w:ascii="FangSong" w:eastAsia="FangSong" w:hAnsi="FangSong" w:cs="FangSong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个项目中</w:t>
            </w:r>
            <w:r>
              <w:rPr>
                <w:rFonts w:ascii="FangSong" w:eastAsia="FangSong" w:hAnsi="FangSong" w:cs="FangSong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SLA</w:t>
            </w:r>
            <w:r>
              <w:rPr>
                <w:rFonts w:ascii="FangSong" w:eastAsia="FangSong" w:hAnsi="FangSong" w:cs="FangSong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指标体系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所要求的验收合格率为</w:t>
            </w:r>
            <w:r>
              <w:rPr>
                <w:rFonts w:ascii="FangSong" w:eastAsia="FangSong" w:hAnsi="FangSong" w:cs="FangSong"/>
                <w:spacing w:val="-2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100%，已达标。</w:t>
            </w:r>
          </w:p>
          <w:p>
            <w:pPr>
              <w:spacing w:before="74" w:line="217" w:lineRule="auto"/>
              <w:ind w:left="54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7.</w:t>
            </w:r>
            <w:r>
              <w:rPr>
                <w:rFonts w:ascii="FangSong" w:eastAsia="FangSong" w:hAnsi="FangSong" w:cs="FangSong"/>
                <w:spacing w:val="8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可能影响管理体系的变化</w:t>
            </w:r>
          </w:p>
          <w:p>
            <w:pPr>
              <w:spacing w:before="185" w:line="329" w:lineRule="auto"/>
              <w:ind w:left="124" w:right="112" w:firstLine="48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各部门，特别是运维服务部门（通信部、信息部）密切关注运维行业动态和政府政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策、</w:t>
            </w:r>
            <w:r>
              <w:rPr>
                <w:rFonts w:ascii="FangSong" w:eastAsia="FangSong" w:hAnsi="FangSong" w:cs="FangSong"/>
                <w:spacing w:val="1"/>
                <w:sz w:val="24"/>
                <w:szCs w:val="24"/>
              </w:rPr>
              <w:t>客户对服务要求等方面的综合信息，</w:t>
            </w:r>
            <w:r>
              <w:rPr>
                <w:rFonts w:ascii="FangSong" w:eastAsia="FangSong" w:hAnsi="FangSong" w:cs="FangSong"/>
                <w:spacing w:val="-7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1"/>
                <w:sz w:val="24"/>
                <w:szCs w:val="24"/>
              </w:rPr>
              <w:t>以适应不断扩张的运维市场，</w:t>
            </w:r>
            <w:r>
              <w:rPr>
                <w:rFonts w:ascii="FangSong" w:eastAsia="FangSong" w:hAnsi="FangSong" w:cs="FangSong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1"/>
                <w:sz w:val="24"/>
                <w:szCs w:val="24"/>
              </w:rPr>
              <w:t>以高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质量的服务赢得行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业客户的认可，从而提升公司在运维市场的影响力。</w:t>
            </w:r>
          </w:p>
        </w:tc>
      </w:tr>
      <w:tr>
        <w:tblPrEx>
          <w:tblW w:w="9733" w:type="dxa"/>
          <w:tblInd w:w="7" w:type="dxa"/>
          <w:tblLayout w:type="fixed"/>
        </w:tblPrEx>
        <w:trPr>
          <w:trHeight w:val="6074"/>
        </w:trPr>
        <w:tc>
          <w:tcPr>
            <w:tcW w:w="9733" w:type="dxa"/>
          </w:tcPr>
          <w:p>
            <w:pPr>
              <w:spacing w:before="116" w:line="218" w:lineRule="auto"/>
              <w:ind w:left="1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六、管理评审输出：</w:t>
            </w:r>
          </w:p>
          <w:p>
            <w:pPr>
              <w:spacing w:before="104" w:line="288" w:lineRule="auto"/>
              <w:ind w:left="127" w:right="143" w:firstLine="55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4"/>
                <w:sz w:val="24"/>
                <w:szCs w:val="24"/>
              </w:rPr>
              <w:t>1、从本次管理评审结果看，公司的运维管理体系与公司的运维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质量方针和目标是相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一致的，适合公司的继续发展，在这种体系下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能够确保给客户提供高质量的服务。</w:t>
            </w:r>
          </w:p>
          <w:p>
            <w:pPr>
              <w:spacing w:before="187" w:line="288" w:lineRule="auto"/>
              <w:ind w:left="130" w:right="114" w:firstLine="5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5"/>
                <w:sz w:val="24"/>
                <w:szCs w:val="24"/>
              </w:rPr>
              <w:t>2、过程控制：通过过程中的质量把关和过程程序的规范指导，有效的控制了运</w:t>
            </w:r>
            <w:r>
              <w:rPr>
                <w:rFonts w:ascii="FangSong" w:eastAsia="FangSong" w:hAnsi="FangSong" w:cs="FangSong"/>
                <w:spacing w:val="4"/>
                <w:sz w:val="24"/>
                <w:szCs w:val="24"/>
              </w:rPr>
              <w:t>维服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务部门质量，提高了服务效率。</w:t>
            </w:r>
          </w:p>
          <w:p>
            <w:pPr>
              <w:spacing w:before="184" w:line="288" w:lineRule="auto"/>
              <w:ind w:left="123" w:right="131" w:firstLine="54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11"/>
                <w:sz w:val="24"/>
                <w:szCs w:val="24"/>
              </w:rPr>
              <w:t>3、针对本次内审出现的不合格项：各相关部门已经积极出动的采取纠正和预防措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施，到目前为止所有的不符合项已经关闭。</w:t>
            </w:r>
          </w:p>
          <w:p>
            <w:pPr>
              <w:spacing w:before="185" w:line="288" w:lineRule="auto"/>
              <w:ind w:left="128" w:right="140" w:firstLine="53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4"/>
                <w:sz w:val="24"/>
                <w:szCs w:val="24"/>
              </w:rPr>
              <w:t>4、资源配置情况：从人员、技术、资源等方面得到了充分的保证，符合继续发展的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要求，能基本满足客户的需求和实现管理目标。</w:t>
            </w:r>
          </w:p>
          <w:p>
            <w:pPr>
              <w:spacing w:before="186" w:line="287" w:lineRule="auto"/>
              <w:ind w:left="137" w:right="140" w:firstLine="53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4"/>
                <w:sz w:val="24"/>
                <w:szCs w:val="24"/>
              </w:rPr>
              <w:t>5、改进建议：根据本次内审的情况和本次评审输入的资料看，各方面均有了较大的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改善，但是尚有不足之处，希望相关部门采取行动及时改善，问题如下：</w:t>
            </w:r>
          </w:p>
          <w:p>
            <w:pPr>
              <w:spacing w:before="187" w:line="215" w:lineRule="auto"/>
              <w:ind w:left="6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1）、深化</w:t>
            </w:r>
            <w:r>
              <w:rPr>
                <w:rFonts w:ascii="FangSong" w:eastAsia="FangSong" w:hAnsi="FangSong" w:cs="FangSong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ITSS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体系在管理层和项目层执行效率，提升运维服务能力；</w:t>
            </w:r>
          </w:p>
          <w:p>
            <w:pPr>
              <w:spacing w:before="186" w:line="217" w:lineRule="auto"/>
              <w:ind w:left="66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2）、加强运维工具的研发，提高运维集成化和标准化，提升解决问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题的效率。</w:t>
            </w:r>
          </w:p>
        </w:tc>
      </w:tr>
      <w:tr>
        <w:tblPrEx>
          <w:tblW w:w="9733" w:type="dxa"/>
          <w:tblInd w:w="7" w:type="dxa"/>
          <w:tblLayout w:type="fixed"/>
        </w:tblPrEx>
        <w:trPr>
          <w:trHeight w:val="2344"/>
        </w:trPr>
        <w:tc>
          <w:tcPr>
            <w:tcW w:w="9733" w:type="dxa"/>
          </w:tcPr>
          <w:p>
            <w:pPr>
              <w:spacing w:before="120" w:line="218" w:lineRule="auto"/>
              <w:ind w:left="1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0"/>
                <w:sz w:val="24"/>
                <w:szCs w:val="24"/>
              </w:rPr>
              <w:t>七、评审结论：</w:t>
            </w:r>
          </w:p>
          <w:p>
            <w:pPr>
              <w:spacing w:before="105" w:line="217" w:lineRule="auto"/>
              <w:ind w:left="6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1、ITSS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体系规范了公司的运维服务部门管理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，提高了公司的运维服务部门的能力；</w:t>
            </w:r>
          </w:p>
          <w:p>
            <w:pPr>
              <w:spacing w:before="185" w:line="217" w:lineRule="auto"/>
              <w:ind w:left="66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2、公司运维服务部门能力指标基本达到；</w:t>
            </w:r>
          </w:p>
          <w:p>
            <w:pPr>
              <w:spacing w:before="183" w:line="218" w:lineRule="auto"/>
              <w:ind w:left="6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3、上次内审的问题均得到了有效的改善；</w:t>
            </w:r>
          </w:p>
          <w:p>
            <w:pPr>
              <w:spacing w:before="184" w:line="217" w:lineRule="auto"/>
              <w:ind w:left="6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4、现行的运维管理体系是适宜的、充分的、有效的。</w:t>
            </w:r>
          </w:p>
        </w:tc>
      </w:tr>
    </w:tbl>
    <w:p>
      <w:pPr>
        <w:pStyle w:val="BodyText"/>
      </w:pPr>
    </w:p>
    <w:sectPr>
      <w:pgSz w:w="11907" w:h="16839"/>
      <w:pgMar w:top="1834" w:right="1082" w:bottom="1712" w:left="1080" w:header="803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36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6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71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535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内审计划</dc:title>
  <dc:creator>admin</dc:creator>
  <cp:revision>0</cp:revision>
  <dcterms:created xsi:type="dcterms:W3CDTF">2023-07-25T23:00:16Z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2025-12-03T15:20:56Z</vt:filetime>
  </property>
  <property fmtid="{D5CDD505-2E9C-101B-9397-08002B2CF9AE}" pid="3" name="CRO">
    <vt:lpwstr>wqlLaW5nc29mdCBQREYgdG8gV1BTIDExNQ</vt:lpwstr>
  </property>
</Properties>
</file>