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16217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30650"/>
      <w:r>
        <w:rPr>
          <w:rFonts w:hint="eastAsia"/>
          <w:lang w:val="en-US" w:eastAsia="zh-CN"/>
        </w:rPr>
        <w:t>曲靖供电局110kV变电站电力监控系统网络安全态势感知项目-应急实施方案（YNTD-ITSS-1003）</w:t>
      </w:r>
      <w:bookmarkEnd w:id="1"/>
    </w:p>
    <w:p w14:paraId="07DEF3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46327F7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C1D57C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036D60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 w14:paraId="0806E2D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 w14:paraId="7B95F9C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1734C274"/>
    <w:p w14:paraId="5427E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126"/>
        <w15:color w:val="DBDBDB"/>
        <w:docPartObj>
          <w:docPartGallery w:val="Table of Contents"/>
          <w:docPartUnique/>
        </w:docPartObj>
      </w:sdtPr>
      <w:sdtContent>
        <w:p w14:paraId="13C2D0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D1B2F7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_Toc16217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_Toc16217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22E2DA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曲靖供电局110kV变电站电力监控系统网络安全态势感知项目-应急实施方案（YNTD-ITSS-1003）</w:t>
          </w:r>
          <w:r>
            <w:tab/>
          </w:r>
          <w:r>
            <w:fldChar w:fldCharType="begin"/>
          </w:r>
          <w:r>
            <w:instrText xml:space="preserve"> PAGEREF _Toc30650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17EA66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_Toc30509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667352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2. 组织架构与联络机制</w:t>
          </w:r>
          <w:r>
            <w:tab/>
          </w:r>
          <w:r>
            <w:fldChar w:fldCharType="begin"/>
          </w:r>
          <w:r>
            <w:instrText xml:space="preserve"> PAGEREF _Toc26305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9E67D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应急核心成员（必须公示）</w:t>
          </w:r>
          <w:r>
            <w:tab/>
          </w:r>
          <w:r>
            <w:fldChar w:fldCharType="begin"/>
          </w:r>
          <w:r>
            <w:instrText xml:space="preserve"> PAGEREF _Toc22317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53AC81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应急通讯规则</w:t>
          </w:r>
          <w:r>
            <w:tab/>
          </w:r>
          <w:r>
            <w:fldChar w:fldCharType="begin"/>
          </w:r>
          <w:r>
            <w:instrText xml:space="preserve"> PAGEREF _Toc28065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F98328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分级响应具体执行流程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D81238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三级响应执行流程</w:t>
          </w:r>
          <w:r>
            <w:tab/>
          </w:r>
          <w:r>
            <w:fldChar w:fldCharType="begin"/>
          </w:r>
          <w:r>
            <w:instrText xml:space="preserve"> PAGEREF _Toc17588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93B21B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二级响应执行流程</w:t>
          </w:r>
          <w:r>
            <w:tab/>
          </w:r>
          <w:r>
            <w:fldChar w:fldCharType="begin"/>
          </w:r>
          <w:r>
            <w:instrText xml:space="preserve"> PAGEREF _Toc3192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199198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一级响应执行流程</w:t>
          </w:r>
          <w:r>
            <w:tab/>
          </w:r>
          <w:r>
            <w:fldChar w:fldCharType="begin"/>
          </w:r>
          <w:r>
            <w:instrText xml:space="preserve"> PAGEREF _Toc6035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340892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关键保障措施</w:t>
          </w:r>
          <w:r>
            <w:tab/>
          </w:r>
          <w:r>
            <w:fldChar w:fldCharType="begin"/>
          </w:r>
          <w:r>
            <w:instrText xml:space="preserve"> PAGEREF _Toc17024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CC3E1F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_Toc17071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5A2E4D">
          <w:r>
            <w:fldChar w:fldCharType="end"/>
          </w:r>
        </w:p>
      </w:sdtContent>
    </w:sdt>
    <w:p w14:paraId="438BE0E8">
      <w:bookmarkStart w:id="12" w:name="_GoBack"/>
      <w:bookmarkEnd w:id="12"/>
    </w:p>
    <w:p w14:paraId="32DFF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D893C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30509"/>
      <w:r>
        <w:rPr>
          <w:rFonts w:hint="default"/>
          <w:lang w:val="en-US" w:eastAsia="zh-CN"/>
        </w:rPr>
        <w:t>总则</w:t>
      </w:r>
      <w:bookmarkEnd w:id="2"/>
    </w:p>
    <w:p w14:paraId="24B0BCC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本方案是《合同执行专项应急预案》的支持性文件，旨在将预案中规定的应急职责、响应流程具体化为可执行、可检查的操作步骤与标准。当应急预案启动时，所有相关人员应严格按照本方案执行。</w:t>
      </w:r>
    </w:p>
    <w:p w14:paraId="5DBA6E1A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6305"/>
      <w:r>
        <w:rPr>
          <w:rFonts w:hint="default"/>
          <w:lang w:val="en-US" w:eastAsia="zh-CN"/>
        </w:rPr>
        <w:t>2. 组织架构与联络机制</w:t>
      </w:r>
      <w:bookmarkEnd w:id="3"/>
    </w:p>
    <w:p w14:paraId="1579CE69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2317"/>
      <w:r>
        <w:rPr>
          <w:rFonts w:hint="default"/>
          <w:lang w:val="en-US" w:eastAsia="zh-CN"/>
        </w:rPr>
        <w:t>应急核心成员（必须公示）</w:t>
      </w:r>
      <w:bookmarkEnd w:id="4"/>
    </w:p>
    <w:p w14:paraId="1C584677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甲方（云南中恒）应急总代表：</w:t>
      </w:r>
      <w:r>
        <w:rPr>
          <w:rFonts w:hint="eastAsia"/>
          <w:lang w:val="en-US" w:eastAsia="zh-CN"/>
        </w:rPr>
        <w:t>刘成峰</w:t>
      </w:r>
      <w:r>
        <w:rPr>
          <w:rFonts w:hint="default"/>
          <w:lang w:val="en-US" w:eastAsia="zh-CN"/>
        </w:rPr>
        <w:t>。</w:t>
      </w:r>
    </w:p>
    <w:p w14:paraId="6B8BD5F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乙方（云南腾电）现场负责人：</w:t>
      </w:r>
      <w:r>
        <w:t>谢广胜</w:t>
      </w:r>
    </w:p>
    <w:p w14:paraId="26B73CD7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065"/>
      <w:r>
        <w:rPr>
          <w:rFonts w:hint="default"/>
          <w:lang w:val="en-US" w:eastAsia="zh-CN"/>
        </w:rPr>
        <w:t>应急通讯规则</w:t>
      </w:r>
      <w:bookmarkEnd w:id="5"/>
    </w:p>
    <w:p w14:paraId="47A735C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突发事件发生后，第一发现人须在15分钟内报告给己方现场负责人。</w:t>
      </w:r>
    </w:p>
    <w:p w14:paraId="1FA700B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现场负责人须在30分钟内初步核实情况，并报告给己方应急总代表。</w:t>
      </w:r>
    </w:p>
    <w:p w14:paraId="2DAC9B2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所有二级及以上响应的启动、升级、指令传达，必须通过双方应急总代表书面（邮件/即时通讯工具）确认，并电话同步告知。</w:t>
      </w:r>
    </w:p>
    <w:p w14:paraId="1099F2EA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290"/>
      <w:r>
        <w:rPr>
          <w:rFonts w:hint="default"/>
          <w:lang w:val="en-US" w:eastAsia="zh-CN"/>
        </w:rPr>
        <w:t>分级响应具体执行流程</w:t>
      </w:r>
      <w:bookmarkEnd w:id="6"/>
    </w:p>
    <w:p w14:paraId="0DA4216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588"/>
      <w:r>
        <w:rPr>
          <w:rFonts w:hint="default"/>
          <w:lang w:val="en-US" w:eastAsia="zh-CN"/>
        </w:rPr>
        <w:t>三级响应执行流程</w:t>
      </w:r>
      <w:bookmarkEnd w:id="7"/>
    </w:p>
    <w:p w14:paraId="17A47F0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触发条件：甲方发现乙方提供的文档、代码、测试报告或现场服务行为存在明显错误、不符合技术规范，但未造成系统运行影响。</w:t>
      </w:r>
    </w:p>
    <w:p w14:paraId="2A9A49E7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36580CA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填写《服务问题通知单》（模板见附件1），清晰描述问题现象、不符合的条款或标准。</w:t>
      </w:r>
    </w:p>
    <w:p w14:paraId="3C9D37D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经甲方应急总代表签字后，书面正式交付乙方现场负责人，</w:t>
      </w:r>
      <w:r>
        <w:rPr>
          <w:rFonts w:hint="eastAsia"/>
          <w:lang w:val="en-US" w:eastAsia="zh-CN"/>
        </w:rPr>
        <w:t>并在3天内改正</w:t>
      </w:r>
      <w:r>
        <w:rPr>
          <w:rFonts w:hint="default"/>
          <w:lang w:val="en-US" w:eastAsia="zh-CN"/>
        </w:rPr>
        <w:t>。</w:t>
      </w:r>
    </w:p>
    <w:p w14:paraId="00B82E8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1E88F56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签收《通知单》，立即组织分析。</w:t>
      </w:r>
    </w:p>
    <w:p w14:paraId="424BF85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在24小时内提交书面《纠正措施计划》，明确改正措施、责任人及完成时间（须在3天内）。</w:t>
      </w:r>
    </w:p>
    <w:p w14:paraId="5C1DD49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按期完成改正，并提交《问题关闭报告》及相关证据。</w:t>
      </w:r>
    </w:p>
    <w:p w14:paraId="6AD71DC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 w14:paraId="7758A26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审核《问题关闭报告》，验证问题已解决。</w:t>
      </w:r>
    </w:p>
    <w:p w14:paraId="095E398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在《通知单》上签字确认关闭，归档记录。本次响应结束。</w:t>
      </w:r>
    </w:p>
    <w:p w14:paraId="1EB0B9A8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92"/>
      <w:r>
        <w:rPr>
          <w:rFonts w:hint="default"/>
          <w:lang w:val="en-US" w:eastAsia="zh-CN"/>
        </w:rPr>
        <w:t>二级响应执行流程</w:t>
      </w:r>
      <w:bookmarkEnd w:id="8"/>
    </w:p>
    <w:p w14:paraId="0765F41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乙方技术人员能力严重不足导致工作无法开展；现场测试操作不当引发告警或系统异常；乙方未按计划投入人员造成工期延误≥3天。</w:t>
      </w:r>
    </w:p>
    <w:p w14:paraId="718B61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1BDF3FD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甲方应急总代表立即召集双方召开紧急会议，宣布启动二级响应。</w:t>
      </w:r>
    </w:p>
    <w:p w14:paraId="6830775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立即向乙方发出书面通知，自即日起暂停支付后续款项。</w:t>
      </w:r>
    </w:p>
    <w:p w14:paraId="6CAE6E6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要求乙方在24小时内提供：</w:t>
      </w:r>
    </w:p>
    <w:p w14:paraId="02106F82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事件根本原因分析报告。</w:t>
      </w:r>
    </w:p>
    <w:p w14:paraId="5CAF023C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人员更换名单及新人员资质证明（如需）。</w:t>
      </w:r>
    </w:p>
    <w:p w14:paraId="54C869F4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详细的赶工计划与风险缓解方案。</w:t>
      </w:r>
    </w:p>
    <w:p w14:paraId="0869ADD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4820B0A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服从甲方调度，立即停止可能产生风险的操作。</w:t>
      </w:r>
    </w:p>
    <w:p w14:paraId="225C99E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在规定时间内提交甲方要求的全部文件。</w:t>
      </w:r>
    </w:p>
    <w:p w14:paraId="28772E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无条件更换甲方认为不合格的人员。</w:t>
      </w:r>
    </w:p>
    <w:p w14:paraId="417633A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执行经甲方批准的赶工计划。</w:t>
      </w:r>
    </w:p>
    <w:p w14:paraId="68BB6E1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 w14:paraId="4EF4989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评估乙方措施的有效性。若问题解决，可恢复付款流程，双方签署《情况说明及复工确认书》。</w:t>
      </w:r>
    </w:p>
    <w:p w14:paraId="3724FAB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若乙方未能按要求完成，响应自动升级为一级。</w:t>
      </w:r>
    </w:p>
    <w:p w14:paraId="6D77BAF8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6035"/>
      <w:r>
        <w:rPr>
          <w:rFonts w:hint="default"/>
          <w:lang w:val="en-US" w:eastAsia="zh-CN"/>
        </w:rPr>
        <w:t>一级响应执行流程</w:t>
      </w:r>
      <w:bookmarkEnd w:id="9"/>
    </w:p>
    <w:p w14:paraId="37F79D9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乙方工作导致生产系统中断、数据泄露；发生不可抗力事件且预计影响超30天；乙方在二级响应后仍无法履约。</w:t>
      </w:r>
    </w:p>
    <w:p w14:paraId="4673B6D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09872A9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甲方应急总代表宣布启动一级响应，并立即向曲靖供电局相关方报备。</w:t>
      </w:r>
    </w:p>
    <w:p w14:paraId="5A38622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核心目标转为“止损与证据保全”。</w:t>
      </w:r>
    </w:p>
    <w:p w14:paraId="719A457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指令乙方技术人员在甲方监督下有序撤离现场，封存乙方提供的所有软件、文档和设备。</w:t>
      </w:r>
    </w:p>
    <w:p w14:paraId="7FF4DFC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立即启动追责程序，评估信息泄露范围。</w:t>
      </w:r>
    </w:p>
    <w:p w14:paraId="21E3033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组织内部法务、技术部门成立专项小组，依据合同准备索赔及合同终止法律文件。</w:t>
      </w:r>
    </w:p>
    <w:p w14:paraId="28521E9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4C144DD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必须配合甲方的撤离和证据保全要求。</w:t>
      </w:r>
    </w:p>
    <w:p w14:paraId="6559FE7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有义务协助进行事故技术分析（在甲方主导下）。</w:t>
      </w:r>
    </w:p>
    <w:p w14:paraId="5388B72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后续路径： 事件处置进入法律与商务流程，按仲裁结果执行。</w:t>
      </w:r>
    </w:p>
    <w:p w14:paraId="0F6E2436">
      <w:pPr>
        <w:pStyle w:val="47"/>
        <w:bidi w:val="0"/>
        <w:rPr>
          <w:rFonts w:hint="default"/>
          <w:lang w:val="en-US" w:eastAsia="zh-CN"/>
        </w:rPr>
      </w:pPr>
      <w:bookmarkStart w:id="10" w:name="_Toc17024"/>
      <w:r>
        <w:rPr>
          <w:rFonts w:hint="default"/>
          <w:lang w:val="en-US" w:eastAsia="zh-CN"/>
        </w:rPr>
        <w:t>关键保障措施</w:t>
      </w:r>
      <w:bookmarkEnd w:id="10"/>
    </w:p>
    <w:p w14:paraId="57A3DDA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每日站班会： 乙方现场负责人需每日向甲方代表汇报当日计划、前日进展及需协调问题，此为常态风险监测机制。</w:t>
      </w:r>
    </w:p>
    <w:p w14:paraId="109E707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文档即时审查： 乙方交付的任何技术文档，甲方应在收到后2个工作日内完成初审，避免问题累积。</w:t>
      </w:r>
    </w:p>
    <w:p w14:paraId="2AFB356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现场访问控制： 乙方人员所有对生产环境的访问操作，必须事先书面申请，经甲方批准后，在甲方人员监督下执行，并自动录屏存档。</w:t>
      </w:r>
    </w:p>
    <w:p w14:paraId="0E01E302">
      <w:pPr>
        <w:pStyle w:val="47"/>
        <w:bidi w:val="0"/>
        <w:rPr>
          <w:rFonts w:hint="default"/>
          <w:lang w:val="en-US" w:eastAsia="zh-CN"/>
        </w:rPr>
      </w:pPr>
      <w:bookmarkStart w:id="11" w:name="_Toc17071"/>
      <w:r>
        <w:rPr>
          <w:rFonts w:hint="default"/>
          <w:lang w:val="en-US" w:eastAsia="zh-CN"/>
        </w:rPr>
        <w:t>附件</w:t>
      </w:r>
      <w:bookmarkEnd w:id="11"/>
    </w:p>
    <w:p w14:paraId="2F66932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《服务问题通知单》模板</w:t>
      </w:r>
    </w:p>
    <w:p w14:paraId="54A8326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《纠正措施计划》模板</w:t>
      </w:r>
    </w:p>
    <w:p w14:paraId="787D923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《情况说明及复工确认书》模板</w:t>
      </w:r>
    </w:p>
    <w:p w14:paraId="6E730C6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CA44AD0"/>
    <w:multiLevelType w:val="singleLevel"/>
    <w:tmpl w:val="DCA44A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5DDB"/>
    <w:rsid w:val="03FB28C2"/>
    <w:rsid w:val="040A26B9"/>
    <w:rsid w:val="04D10A9C"/>
    <w:rsid w:val="05B95683"/>
    <w:rsid w:val="06084D04"/>
    <w:rsid w:val="069D7E4F"/>
    <w:rsid w:val="09B82DE6"/>
    <w:rsid w:val="0C760424"/>
    <w:rsid w:val="0EC71F0D"/>
    <w:rsid w:val="10EE19D3"/>
    <w:rsid w:val="10F36FE9"/>
    <w:rsid w:val="18AD1450"/>
    <w:rsid w:val="1AD01C41"/>
    <w:rsid w:val="1AFF6F2C"/>
    <w:rsid w:val="1C1722F6"/>
    <w:rsid w:val="1C9B22E3"/>
    <w:rsid w:val="1D8B05A9"/>
    <w:rsid w:val="1EF108E0"/>
    <w:rsid w:val="206371A4"/>
    <w:rsid w:val="207D067D"/>
    <w:rsid w:val="208F16C3"/>
    <w:rsid w:val="21A460DD"/>
    <w:rsid w:val="229B72A3"/>
    <w:rsid w:val="22A3415F"/>
    <w:rsid w:val="26C25E8D"/>
    <w:rsid w:val="275F0ADD"/>
    <w:rsid w:val="27656C75"/>
    <w:rsid w:val="2AEF03C9"/>
    <w:rsid w:val="2B3470A6"/>
    <w:rsid w:val="307C099F"/>
    <w:rsid w:val="30E927B5"/>
    <w:rsid w:val="3106646D"/>
    <w:rsid w:val="31CE5397"/>
    <w:rsid w:val="3482405C"/>
    <w:rsid w:val="3800568F"/>
    <w:rsid w:val="38B642D4"/>
    <w:rsid w:val="38F31085"/>
    <w:rsid w:val="39291F38"/>
    <w:rsid w:val="3AEB29F5"/>
    <w:rsid w:val="3B7D557D"/>
    <w:rsid w:val="3EB05C6A"/>
    <w:rsid w:val="401F30A7"/>
    <w:rsid w:val="40D914A8"/>
    <w:rsid w:val="422624CB"/>
    <w:rsid w:val="4356105B"/>
    <w:rsid w:val="46527495"/>
    <w:rsid w:val="4BE07B8E"/>
    <w:rsid w:val="4D4C4DB0"/>
    <w:rsid w:val="511B6F73"/>
    <w:rsid w:val="52065E75"/>
    <w:rsid w:val="52A77A34"/>
    <w:rsid w:val="54F64668"/>
    <w:rsid w:val="55566E19"/>
    <w:rsid w:val="55B94290"/>
    <w:rsid w:val="57310207"/>
    <w:rsid w:val="5F473629"/>
    <w:rsid w:val="608C1C3B"/>
    <w:rsid w:val="615A04DD"/>
    <w:rsid w:val="61F47A98"/>
    <w:rsid w:val="62141EE8"/>
    <w:rsid w:val="62B80AC5"/>
    <w:rsid w:val="69B67474"/>
    <w:rsid w:val="6BA22313"/>
    <w:rsid w:val="76CB7939"/>
    <w:rsid w:val="76EA5E14"/>
    <w:rsid w:val="786453D8"/>
    <w:rsid w:val="799C4845"/>
    <w:rsid w:val="7DCC1471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1490</Words>
  <Characters>1568</Characters>
  <Lines>0</Lines>
  <Paragraphs>0</Paragraphs>
  <TotalTime>0</TotalTime>
  <ScaleCrop>false</ScaleCrop>
  <LinksUpToDate>false</LinksUpToDate>
  <CharactersWithSpaces>1575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