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运维服务管理评审计划</w:t>
      </w:r>
    </w:p>
    <w:p>
      <w:pPr>
        <w:spacing w:before="120" w:after="120" w:line="288" w:lineRule="auto"/>
        <w:ind w:left="0"/>
        <w:jc w:val="left"/>
      </w:pPr>
      <w:r>
        <w:rPr>
          <w:rFonts w:eastAsia="等线" w:ascii="Arial" w:cs="Arial" w:hAnsi="Arial"/>
          <w:sz w:val="22"/>
        </w:rPr>
        <w:t>文件编号：YNTD-ITSS-07-02-01</w:t>
      </w:r>
    </w:p>
    <w:p>
      <w:pPr>
        <w:spacing w:before="120" w:after="120" w:line="288" w:lineRule="auto"/>
        <w:ind w:left="0"/>
        <w:jc w:val="left"/>
      </w:pPr>
      <w:r>
        <w:rPr>
          <w:rFonts w:eastAsia="等线" w:ascii="Arial" w:cs="Arial" w:hAnsi="Arial"/>
          <w:sz w:val="22"/>
        </w:rPr>
        <w:t>云南腾电科技有限公司</w:t>
      </w:r>
    </w:p>
    <w:p>
      <w:pPr>
        <w:pStyle w:val="2"/>
        <w:spacing w:before="320" w:after="120" w:line="288" w:lineRule="auto"/>
        <w:ind w:left="0"/>
        <w:jc w:val="left"/>
        <w:outlineLvl w:val="1"/>
      </w:pPr>
      <w:bookmarkStart w:name="heading_0" w:id="0"/>
      <w:r>
        <w:rPr>
          <w:rFonts w:eastAsia="等线" w:ascii="Arial" w:cs="Arial" w:hAnsi="Arial"/>
          <w:b w:val="true"/>
          <w:sz w:val="32"/>
        </w:rPr>
        <w:t>文件编制和变更履历</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编制/更改作者</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编制/更改日期</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审核日期</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批准日期</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更改记录</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杨洁</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2023.1.18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吴艳</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2023.1.18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陆涛</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2023.1.18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r>
    </w:tbl>
    <w:p>
      <w:pPr>
        <w:pStyle w:val="2"/>
        <w:spacing w:before="320" w:after="120" w:line="288" w:lineRule="auto"/>
        <w:ind w:left="0"/>
        <w:jc w:val="left"/>
        <w:outlineLvl w:val="1"/>
      </w:pPr>
      <w:bookmarkStart w:name="heading_1" w:id="1"/>
      <w:r>
        <w:rPr>
          <w:rFonts w:eastAsia="等线" w:ascii="Arial" w:cs="Arial" w:hAnsi="Arial"/>
          <w:b w:val="true"/>
          <w:sz w:val="32"/>
        </w:rPr>
        <w:t>一、评审目的</w:t>
      </w:r>
      <w:bookmarkEnd w:id="1"/>
    </w:p>
    <w:p>
      <w:pPr>
        <w:spacing w:before="120" w:after="120" w:line="288" w:lineRule="auto"/>
        <w:ind w:left="0"/>
        <w:jc w:val="left"/>
      </w:pPr>
      <w:r>
        <w:rPr>
          <w:rFonts w:eastAsia="等线" w:ascii="Arial" w:cs="Arial" w:hAnsi="Arial"/>
          <w:sz w:val="22"/>
        </w:rPr>
        <w:t>评价公司运维管理体系的适宜性、充分性、有效性，识别改进和变更需求，实现公司运维服务管理体系的持续改进。</w:t>
      </w:r>
    </w:p>
    <w:p>
      <w:pPr>
        <w:pStyle w:val="2"/>
        <w:spacing w:before="320" w:after="120" w:line="288" w:lineRule="auto"/>
        <w:ind w:left="0"/>
        <w:jc w:val="left"/>
        <w:outlineLvl w:val="1"/>
      </w:pPr>
      <w:bookmarkStart w:name="heading_2" w:id="2"/>
      <w:r>
        <w:rPr>
          <w:rFonts w:eastAsia="等线" w:ascii="Arial" w:cs="Arial" w:hAnsi="Arial"/>
          <w:b w:val="true"/>
          <w:sz w:val="32"/>
        </w:rPr>
        <w:t>二、评审依据</w:t>
      </w:r>
      <w:bookmarkEnd w:id="2"/>
    </w:p>
    <w:p>
      <w:pPr>
        <w:numPr>
          <w:numId w:val="1"/>
        </w:numPr>
        <w:spacing w:before="120" w:after="120" w:line="288" w:lineRule="auto"/>
        <w:ind w:left="0"/>
        <w:jc w:val="left"/>
      </w:pPr>
      <w:r>
        <w:rPr>
          <w:rFonts w:eastAsia="等线" w:ascii="Arial" w:cs="Arial" w:hAnsi="Arial"/>
          <w:sz w:val="22"/>
        </w:rPr>
        <w:t>《信息技术服务 运行维护服务能力成熟度模型》三级</w:t>
      </w:r>
    </w:p>
    <w:p>
      <w:pPr>
        <w:numPr>
          <w:numId w:val="2"/>
        </w:numPr>
        <w:spacing w:before="120" w:after="120" w:line="288" w:lineRule="auto"/>
        <w:ind w:left="0"/>
        <w:jc w:val="left"/>
      </w:pPr>
      <w:r>
        <w:rPr>
          <w:rFonts w:eastAsia="等线" w:ascii="Arial" w:cs="Arial" w:hAnsi="Arial"/>
          <w:sz w:val="22"/>
        </w:rPr>
        <w:t>公司《运维服务管理评审程序》</w:t>
      </w:r>
    </w:p>
    <w:p>
      <w:pPr>
        <w:numPr>
          <w:numId w:val="3"/>
        </w:numPr>
        <w:spacing w:before="120" w:after="120" w:line="288" w:lineRule="auto"/>
        <w:ind w:left="0"/>
        <w:jc w:val="left"/>
      </w:pPr>
      <w:r>
        <w:rPr>
          <w:rFonts w:eastAsia="等线" w:ascii="Arial" w:cs="Arial" w:hAnsi="Arial"/>
          <w:sz w:val="22"/>
        </w:rPr>
        <w:t>公司《年度运维服务能力指标体系》</w:t>
      </w:r>
    </w:p>
    <w:p>
      <w:pPr>
        <w:numPr>
          <w:numId w:val="4"/>
        </w:numPr>
        <w:spacing w:before="120" w:after="120" w:line="288" w:lineRule="auto"/>
        <w:ind w:left="0"/>
        <w:jc w:val="left"/>
      </w:pPr>
      <w:r>
        <w:rPr>
          <w:rFonts w:eastAsia="等线" w:ascii="Arial" w:cs="Arial" w:hAnsi="Arial"/>
          <w:sz w:val="22"/>
        </w:rPr>
        <w:t>客户、员工及管理层的期望</w:t>
      </w:r>
    </w:p>
    <w:p>
      <w:pPr>
        <w:numPr>
          <w:numId w:val="5"/>
        </w:numPr>
        <w:spacing w:before="120" w:after="120" w:line="288" w:lineRule="auto"/>
        <w:ind w:left="0"/>
        <w:jc w:val="left"/>
      </w:pPr>
      <w:r>
        <w:rPr>
          <w:rFonts w:eastAsia="等线" w:ascii="Arial" w:cs="Arial" w:hAnsi="Arial"/>
          <w:sz w:val="22"/>
        </w:rPr>
        <w:t>内部管理体系审核的结果</w:t>
      </w:r>
    </w:p>
    <w:p>
      <w:pPr>
        <w:numPr>
          <w:numId w:val="6"/>
        </w:numPr>
        <w:spacing w:before="120" w:after="120" w:line="288" w:lineRule="auto"/>
        <w:ind w:left="0"/>
        <w:jc w:val="left"/>
      </w:pPr>
      <w:r>
        <w:rPr>
          <w:rFonts w:eastAsia="等线" w:ascii="Arial" w:cs="Arial" w:hAnsi="Arial"/>
          <w:sz w:val="22"/>
        </w:rPr>
        <w:t>内外部环境变化及对持续改进的承诺</w:t>
      </w:r>
    </w:p>
    <w:p>
      <w:pPr>
        <w:numPr>
          <w:numId w:val="7"/>
        </w:numPr>
        <w:spacing w:before="120" w:after="120" w:line="288" w:lineRule="auto"/>
        <w:ind w:left="0"/>
        <w:jc w:val="left"/>
      </w:pPr>
      <w:r>
        <w:rPr>
          <w:rFonts w:eastAsia="等线" w:ascii="Arial" w:cs="Arial" w:hAnsi="Arial"/>
          <w:sz w:val="22"/>
        </w:rPr>
        <w:t>相适用的法律法规</w:t>
      </w:r>
    </w:p>
    <w:p>
      <w:pPr>
        <w:pStyle w:val="2"/>
        <w:spacing w:before="320" w:after="120" w:line="288" w:lineRule="auto"/>
        <w:ind w:left="0"/>
        <w:jc w:val="left"/>
        <w:outlineLvl w:val="1"/>
      </w:pPr>
      <w:bookmarkStart w:name="heading_3" w:id="3"/>
      <w:r>
        <w:rPr>
          <w:rFonts w:eastAsia="等线" w:ascii="Arial" w:cs="Arial" w:hAnsi="Arial"/>
          <w:b w:val="true"/>
          <w:sz w:val="32"/>
        </w:rPr>
        <w:t>三、评审形式</w:t>
      </w:r>
      <w:bookmarkEnd w:id="3"/>
    </w:p>
    <w:p>
      <w:pPr>
        <w:spacing w:before="120" w:after="120" w:line="288" w:lineRule="auto"/>
        <w:ind w:left="0"/>
        <w:jc w:val="left"/>
      </w:pPr>
      <w:r>
        <w:rPr>
          <w:rFonts w:eastAsia="等线" w:ascii="Arial" w:cs="Arial" w:hAnsi="Arial"/>
          <w:sz w:val="22"/>
        </w:rPr>
        <w:t>采用会议评审的形式，对评审内容进行讨论、分析、评价，最终确认结果并形成管理评审报告。</w:t>
      </w:r>
    </w:p>
    <w:p>
      <w:pPr>
        <w:pStyle w:val="2"/>
        <w:spacing w:before="320" w:after="120" w:line="288" w:lineRule="auto"/>
        <w:ind w:left="0"/>
        <w:jc w:val="left"/>
        <w:outlineLvl w:val="1"/>
      </w:pPr>
      <w:bookmarkStart w:name="heading_4" w:id="4"/>
      <w:r>
        <w:rPr>
          <w:rFonts w:eastAsia="等线" w:ascii="Arial" w:cs="Arial" w:hAnsi="Arial"/>
          <w:b w:val="true"/>
          <w:sz w:val="32"/>
        </w:rPr>
        <w:t>四、评审时间及地点</w:t>
      </w:r>
      <w:bookmarkEnd w:id="4"/>
    </w:p>
    <w:p>
      <w:pPr>
        <w:numPr>
          <w:numId w:val="8"/>
        </w:numPr>
        <w:spacing w:before="120" w:after="120" w:line="288" w:lineRule="auto"/>
        <w:ind w:left="0"/>
        <w:jc w:val="left"/>
      </w:pPr>
      <w:r>
        <w:rPr>
          <w:rFonts w:eastAsia="等线" w:ascii="Arial" w:cs="Arial" w:hAnsi="Arial"/>
          <w:sz w:val="22"/>
        </w:rPr>
        <w:t>时间：2023 年 1 月 30 日</w:t>
      </w:r>
    </w:p>
    <w:p>
      <w:pPr>
        <w:numPr>
          <w:numId w:val="9"/>
        </w:numPr>
        <w:spacing w:before="120" w:after="120" w:line="288" w:lineRule="auto"/>
        <w:ind w:left="0"/>
        <w:jc w:val="left"/>
      </w:pPr>
      <w:r>
        <w:rPr>
          <w:rFonts w:eastAsia="等线" w:ascii="Arial" w:cs="Arial" w:hAnsi="Arial"/>
          <w:sz w:val="22"/>
        </w:rPr>
        <w:t>地点：公司第二会议室</w:t>
      </w:r>
    </w:p>
    <w:p>
      <w:pPr>
        <w:pStyle w:val="2"/>
        <w:spacing w:before="320" w:after="120" w:line="288" w:lineRule="auto"/>
        <w:ind w:left="0"/>
        <w:jc w:val="left"/>
        <w:outlineLvl w:val="1"/>
      </w:pPr>
      <w:bookmarkStart w:name="heading_5" w:id="5"/>
      <w:r>
        <w:rPr>
          <w:rFonts w:eastAsia="等线" w:ascii="Arial" w:cs="Arial" w:hAnsi="Arial"/>
          <w:b w:val="true"/>
          <w:sz w:val="32"/>
        </w:rPr>
        <w:t>五、参加评审部门（人员）</w:t>
      </w:r>
      <w:bookmarkEnd w:id="5"/>
    </w:p>
    <w:p>
      <w:pPr>
        <w:numPr>
          <w:numId w:val="10"/>
        </w:numPr>
        <w:spacing w:before="120" w:after="120" w:line="288" w:lineRule="auto"/>
        <w:ind w:left="0"/>
        <w:jc w:val="left"/>
      </w:pPr>
      <w:r>
        <w:rPr>
          <w:rFonts w:eastAsia="等线" w:ascii="Arial" w:cs="Arial" w:hAnsi="Arial"/>
          <w:sz w:val="22"/>
        </w:rPr>
        <w:t>会议主持：总经理 陆涛</w:t>
      </w:r>
    </w:p>
    <w:p>
      <w:pPr>
        <w:numPr>
          <w:numId w:val="11"/>
        </w:numPr>
        <w:spacing w:before="120" w:after="120" w:line="288" w:lineRule="auto"/>
        <w:ind w:left="0"/>
        <w:jc w:val="left"/>
      </w:pPr>
      <w:r>
        <w:rPr>
          <w:rFonts w:eastAsia="等线" w:ascii="Arial" w:cs="Arial" w:hAnsi="Arial"/>
          <w:sz w:val="22"/>
        </w:rPr>
        <w:t>体系覆盖部门负责人：吴艳、谢广胜、卢肖依、李彦、周丽、胡刚、杨洁等</w:t>
      </w:r>
    </w:p>
    <w:p>
      <w:pPr>
        <w:pStyle w:val="2"/>
        <w:spacing w:before="320" w:after="120" w:line="288" w:lineRule="auto"/>
        <w:ind w:left="0"/>
        <w:jc w:val="left"/>
        <w:outlineLvl w:val="1"/>
      </w:pPr>
      <w:bookmarkStart w:name="heading_6" w:id="6"/>
      <w:r>
        <w:rPr>
          <w:rFonts w:eastAsia="等线" w:ascii="Arial" w:cs="Arial" w:hAnsi="Arial"/>
          <w:b w:val="true"/>
          <w:sz w:val="32"/>
        </w:rPr>
        <w:t>六、管理评审计划输入的准备（各部门需准备资料，包括口头发言和建议）</w:t>
      </w:r>
      <w:bookmarkEnd w:id="6"/>
    </w:p>
    <w:p>
      <w:pPr>
        <w:numPr>
          <w:numId w:val="12"/>
        </w:numPr>
        <w:spacing w:before="120" w:after="120" w:line="288" w:lineRule="auto"/>
        <w:ind w:left="0"/>
        <w:jc w:val="left"/>
      </w:pPr>
      <w:r>
        <w:rPr>
          <w:rFonts w:eastAsia="等线" w:ascii="Arial" w:cs="Arial" w:hAnsi="Arial"/>
          <w:sz w:val="22"/>
        </w:rPr>
        <w:t>公司各项管理目标（指标）的实现情况</w:t>
      </w:r>
    </w:p>
    <w:p>
      <w:pPr>
        <w:numPr>
          <w:numId w:val="13"/>
        </w:numPr>
        <w:spacing w:before="120" w:after="120" w:line="288" w:lineRule="auto"/>
        <w:ind w:left="0"/>
        <w:jc w:val="left"/>
      </w:pPr>
      <w:r>
        <w:rPr>
          <w:rFonts w:eastAsia="等线" w:ascii="Arial" w:cs="Arial" w:hAnsi="Arial"/>
          <w:sz w:val="22"/>
        </w:rPr>
        <w:t>运维服务的评价选择及履约状况</w:t>
      </w:r>
    </w:p>
    <w:p>
      <w:pPr>
        <w:numPr>
          <w:numId w:val="14"/>
        </w:numPr>
        <w:spacing w:before="120" w:after="120" w:line="288" w:lineRule="auto"/>
        <w:ind w:left="0"/>
        <w:jc w:val="left"/>
      </w:pPr>
      <w:r>
        <w:rPr>
          <w:rFonts w:eastAsia="等线" w:ascii="Arial" w:cs="Arial" w:hAnsi="Arial"/>
          <w:sz w:val="22"/>
        </w:rPr>
        <w:t>对各职能部门管理活动监督检查情况的综合分析</w:t>
      </w:r>
    </w:p>
    <w:p>
      <w:pPr>
        <w:numPr>
          <w:numId w:val="15"/>
        </w:numPr>
        <w:spacing w:before="120" w:after="120" w:line="288" w:lineRule="auto"/>
        <w:ind w:left="0"/>
        <w:jc w:val="left"/>
      </w:pPr>
      <w:r>
        <w:rPr>
          <w:rFonts w:eastAsia="等线" w:ascii="Arial" w:cs="Arial" w:hAnsi="Arial"/>
          <w:sz w:val="22"/>
        </w:rPr>
        <w:t>内部和外部管理体系审核结果（包括审核中发现的不符合项及分布情况）</w:t>
      </w:r>
    </w:p>
    <w:p>
      <w:pPr>
        <w:numPr>
          <w:numId w:val="16"/>
        </w:numPr>
        <w:spacing w:before="120" w:after="120" w:line="288" w:lineRule="auto"/>
        <w:ind w:left="0"/>
        <w:jc w:val="left"/>
      </w:pPr>
      <w:r>
        <w:rPr>
          <w:rFonts w:eastAsia="等线" w:ascii="Arial" w:cs="Arial" w:hAnsi="Arial"/>
          <w:sz w:val="22"/>
        </w:rPr>
        <w:t>上次管理评审提出改进措施的落实情况</w:t>
      </w:r>
    </w:p>
    <w:p>
      <w:pPr>
        <w:numPr>
          <w:numId w:val="17"/>
        </w:numPr>
        <w:spacing w:before="120" w:after="120" w:line="288" w:lineRule="auto"/>
        <w:ind w:left="0"/>
        <w:jc w:val="left"/>
      </w:pPr>
      <w:r>
        <w:rPr>
          <w:rFonts w:eastAsia="等线" w:ascii="Arial" w:cs="Arial" w:hAnsi="Arial"/>
          <w:sz w:val="22"/>
        </w:rPr>
        <w:t>可能影响管理体系的变更情况以及改进建议等</w:t>
      </w:r>
    </w:p>
    <w:p>
      <w:pPr>
        <w:numPr>
          <w:numId w:val="18"/>
        </w:numPr>
        <w:spacing w:before="120" w:after="120" w:line="288" w:lineRule="auto"/>
        <w:ind w:left="0"/>
        <w:jc w:val="left"/>
      </w:pPr>
      <w:r>
        <w:rPr>
          <w:rFonts w:eastAsia="等线" w:ascii="Arial" w:cs="Arial" w:hAnsi="Arial"/>
          <w:sz w:val="22"/>
        </w:rPr>
        <w:t>综合管理部质量管理组其他相关信息的收集、分析和利用等</w:t>
      </w:r>
    </w:p>
    <w:p>
      <w:pPr>
        <w:numPr>
          <w:numId w:val="19"/>
        </w:numPr>
        <w:spacing w:before="120" w:after="120" w:line="288" w:lineRule="auto"/>
        <w:ind w:left="0"/>
        <w:jc w:val="left"/>
      </w:pPr>
      <w:r>
        <w:rPr>
          <w:rFonts w:eastAsia="等线" w:ascii="Arial" w:cs="Arial" w:hAnsi="Arial"/>
          <w:sz w:val="22"/>
        </w:rPr>
        <w:t>运维服务的符合性（满足运维有关方、法律法规及公司自身要求的符合性），包括质量创优活动等</w:t>
      </w:r>
    </w:p>
    <w:p>
      <w:pPr>
        <w:numPr>
          <w:numId w:val="20"/>
        </w:numPr>
        <w:spacing w:before="120" w:after="120" w:line="288" w:lineRule="auto"/>
        <w:ind w:left="0"/>
        <w:jc w:val="left"/>
      </w:pPr>
      <w:r>
        <w:rPr>
          <w:rFonts w:eastAsia="等线" w:ascii="Arial" w:cs="Arial" w:hAnsi="Arial"/>
          <w:sz w:val="22"/>
        </w:rPr>
        <w:t>对运维服务能力管理活动监督检查情况分析</w:t>
      </w:r>
    </w:p>
    <w:p>
      <w:pPr>
        <w:numPr>
          <w:numId w:val="21"/>
        </w:numPr>
        <w:spacing w:before="120" w:after="120" w:line="288" w:lineRule="auto"/>
        <w:ind w:left="0"/>
        <w:jc w:val="left"/>
      </w:pPr>
      <w:r>
        <w:rPr>
          <w:rFonts w:eastAsia="等线" w:ascii="Arial" w:cs="Arial" w:hAnsi="Arial"/>
          <w:sz w:val="22"/>
        </w:rPr>
        <w:t>运维服务质量的纠正措施和预防措施状况</w:t>
      </w:r>
    </w:p>
    <w:p>
      <w:pPr>
        <w:numPr>
          <w:numId w:val="22"/>
        </w:numPr>
        <w:spacing w:before="120" w:after="120" w:line="288" w:lineRule="auto"/>
        <w:ind w:left="0"/>
        <w:jc w:val="left"/>
      </w:pPr>
      <w:r>
        <w:rPr>
          <w:rFonts w:eastAsia="等线" w:ascii="Arial" w:cs="Arial" w:hAnsi="Arial"/>
          <w:sz w:val="22"/>
        </w:rPr>
        <w:t>运维服务有关方（顾客）对运维服务质量的满意程度，以及提高顾客满意的改进措施和实施情况、建议等</w:t>
      </w:r>
    </w:p>
    <w:p>
      <w:pPr>
        <w:numPr>
          <w:numId w:val="23"/>
        </w:numPr>
        <w:spacing w:before="120" w:after="120" w:line="288" w:lineRule="auto"/>
        <w:ind w:left="0"/>
        <w:jc w:val="left"/>
      </w:pPr>
      <w:r>
        <w:rPr>
          <w:rFonts w:eastAsia="等线" w:ascii="Arial" w:cs="Arial" w:hAnsi="Arial"/>
          <w:sz w:val="22"/>
        </w:rPr>
        <w:t>运维服务合同履约情况分析</w:t>
      </w:r>
    </w:p>
    <w:p>
      <w:pPr>
        <w:numPr>
          <w:numId w:val="24"/>
        </w:numPr>
        <w:spacing w:before="120" w:after="120" w:line="288" w:lineRule="auto"/>
        <w:ind w:left="0"/>
        <w:jc w:val="left"/>
      </w:pPr>
      <w:r>
        <w:rPr>
          <w:rFonts w:eastAsia="等线" w:ascii="Arial" w:cs="Arial" w:hAnsi="Arial"/>
          <w:sz w:val="22"/>
        </w:rPr>
        <w:t>过程管理的符合性（满足运维相关方、法律法规及公司自身要求的符合性），包括质量创优活动等</w:t>
      </w:r>
    </w:p>
    <w:p>
      <w:pPr>
        <w:numPr>
          <w:numId w:val="25"/>
        </w:numPr>
        <w:spacing w:before="120" w:after="120" w:line="288" w:lineRule="auto"/>
        <w:ind w:left="0"/>
        <w:jc w:val="left"/>
      </w:pPr>
      <w:r>
        <w:rPr>
          <w:rFonts w:eastAsia="等线" w:ascii="Arial" w:cs="Arial" w:hAnsi="Arial"/>
          <w:sz w:val="22"/>
        </w:rPr>
        <w:t>对过程管理活动监控情况分析</w:t>
      </w:r>
    </w:p>
    <w:p>
      <w:pPr>
        <w:numPr>
          <w:numId w:val="26"/>
        </w:numPr>
        <w:spacing w:before="120" w:after="120" w:line="288" w:lineRule="auto"/>
        <w:ind w:left="0"/>
        <w:jc w:val="left"/>
      </w:pPr>
      <w:r>
        <w:rPr>
          <w:rFonts w:eastAsia="等线" w:ascii="Arial" w:cs="Arial" w:hAnsi="Arial"/>
          <w:sz w:val="22"/>
        </w:rPr>
        <w:t>对知识库管理活动监控情况分析</w:t>
      </w:r>
    </w:p>
    <w:p>
      <w:pPr>
        <w:numPr>
          <w:numId w:val="27"/>
        </w:numPr>
        <w:spacing w:before="120" w:after="120" w:line="288" w:lineRule="auto"/>
        <w:ind w:left="0"/>
        <w:jc w:val="left"/>
      </w:pPr>
      <w:r>
        <w:rPr>
          <w:rFonts w:eastAsia="等线" w:ascii="Arial" w:cs="Arial" w:hAnsi="Arial"/>
          <w:sz w:val="22"/>
        </w:rPr>
        <w:t>对服务台管理活动监督检查情况分析</w:t>
      </w:r>
    </w:p>
    <w:p>
      <w:pPr>
        <w:numPr>
          <w:numId w:val="28"/>
        </w:numPr>
        <w:spacing w:before="120" w:after="120" w:line="288" w:lineRule="auto"/>
        <w:ind w:left="0"/>
        <w:jc w:val="left"/>
      </w:pPr>
      <w:r>
        <w:rPr>
          <w:rFonts w:eastAsia="等线" w:ascii="Arial" w:cs="Arial" w:hAnsi="Arial"/>
          <w:sz w:val="22"/>
        </w:rPr>
        <w:t>运维服务项目备品备件的采购或租赁管理情况，包括对供方的评价</w:t>
      </w:r>
    </w:p>
    <w:p>
      <w:pPr>
        <w:numPr>
          <w:numId w:val="29"/>
        </w:numPr>
        <w:spacing w:before="120" w:after="120" w:line="288" w:lineRule="auto"/>
        <w:ind w:left="0"/>
        <w:jc w:val="left"/>
      </w:pPr>
      <w:r>
        <w:rPr>
          <w:rFonts w:eastAsia="等线" w:ascii="Arial" w:cs="Arial" w:hAnsi="Arial"/>
          <w:sz w:val="22"/>
        </w:rPr>
        <w:t>备品备件采购的总结分析，包括对供方的评价选择和再评价情况</w:t>
      </w:r>
    </w:p>
    <w:p>
      <w:pPr>
        <w:numPr>
          <w:numId w:val="30"/>
        </w:numPr>
        <w:spacing w:before="120" w:after="120" w:line="288" w:lineRule="auto"/>
        <w:ind w:left="0"/>
        <w:jc w:val="left"/>
      </w:pPr>
      <w:r>
        <w:rPr>
          <w:rFonts w:eastAsia="等线" w:ascii="Arial" w:cs="Arial" w:hAnsi="Arial"/>
          <w:sz w:val="22"/>
        </w:rPr>
        <w:t>备品备件的库房管理进行监督检查的情况</w:t>
      </w:r>
    </w:p>
    <w:p>
      <w:pPr>
        <w:numPr>
          <w:numId w:val="31"/>
        </w:numPr>
        <w:spacing w:before="120" w:after="120" w:line="288" w:lineRule="auto"/>
        <w:ind w:left="0"/>
        <w:jc w:val="left"/>
      </w:pPr>
      <w:r>
        <w:rPr>
          <w:rFonts w:eastAsia="等线" w:ascii="Arial" w:cs="Arial" w:hAnsi="Arial"/>
          <w:sz w:val="22"/>
        </w:rPr>
        <w:t>备品备件采购和管理的其他相关信息的收集、分析和利用</w:t>
      </w:r>
    </w:p>
    <w:p>
      <w:pPr>
        <w:numPr>
          <w:numId w:val="32"/>
        </w:numPr>
        <w:spacing w:before="120" w:after="120" w:line="288" w:lineRule="auto"/>
        <w:ind w:left="0"/>
        <w:jc w:val="left"/>
      </w:pPr>
      <w:r>
        <w:rPr>
          <w:rFonts w:eastAsia="等线" w:ascii="Arial" w:cs="Arial" w:hAnsi="Arial"/>
          <w:sz w:val="22"/>
        </w:rPr>
        <w:t>信息部软件开发组提供研发状况分析</w:t>
      </w:r>
    </w:p>
    <w:p>
      <w:pPr>
        <w:pStyle w:val="2"/>
        <w:spacing w:before="320" w:after="120" w:line="288" w:lineRule="auto"/>
        <w:ind w:left="0"/>
        <w:jc w:val="left"/>
        <w:outlineLvl w:val="1"/>
      </w:pPr>
      <w:bookmarkStart w:name="heading_7" w:id="7"/>
      <w:r>
        <w:rPr>
          <w:rFonts w:eastAsia="等线" w:ascii="Arial" w:cs="Arial" w:hAnsi="Arial"/>
          <w:b w:val="true"/>
          <w:sz w:val="32"/>
        </w:rPr>
        <w:t>七、管理评审输出</w:t>
      </w:r>
      <w:bookmarkEnd w:id="7"/>
    </w:p>
    <w:p>
      <w:pPr>
        <w:spacing w:before="120" w:after="120" w:line="288" w:lineRule="auto"/>
        <w:ind w:left="0"/>
        <w:jc w:val="left"/>
      </w:pPr>
      <w:r>
        <w:rPr>
          <w:rFonts w:eastAsia="等线" w:ascii="Arial" w:cs="Arial" w:hAnsi="Arial"/>
          <w:sz w:val="22"/>
        </w:rPr>
        <w:t>包括与以下方面有关的决定与措施：</w:t>
      </w:r>
    </w:p>
    <w:p>
      <w:pPr>
        <w:numPr>
          <w:numId w:val="33"/>
        </w:numPr>
        <w:spacing w:before="120" w:after="120" w:line="288" w:lineRule="auto"/>
        <w:ind w:left="0"/>
        <w:jc w:val="left"/>
      </w:pPr>
      <w:r>
        <w:rPr>
          <w:rFonts w:eastAsia="等线" w:ascii="Arial" w:cs="Arial" w:hAnsi="Arial"/>
          <w:sz w:val="22"/>
        </w:rPr>
        <w:t>管理方针和目标符合性的结论</w:t>
      </w:r>
    </w:p>
    <w:p>
      <w:pPr>
        <w:numPr>
          <w:numId w:val="34"/>
        </w:numPr>
        <w:spacing w:before="120" w:after="120" w:line="288" w:lineRule="auto"/>
        <w:ind w:left="0"/>
        <w:jc w:val="left"/>
      </w:pPr>
      <w:r>
        <w:rPr>
          <w:rFonts w:eastAsia="等线" w:ascii="Arial" w:cs="Arial" w:hAnsi="Arial"/>
          <w:sz w:val="22"/>
        </w:rPr>
        <w:t>为提高管理体系和过程的有效性的决定和措施</w:t>
      </w:r>
    </w:p>
    <w:p>
      <w:pPr>
        <w:numPr>
          <w:numId w:val="35"/>
        </w:numPr>
        <w:spacing w:before="120" w:after="120" w:line="288" w:lineRule="auto"/>
        <w:ind w:left="0"/>
        <w:jc w:val="left"/>
      </w:pPr>
      <w:r>
        <w:rPr>
          <w:rFonts w:eastAsia="等线" w:ascii="Arial" w:cs="Arial" w:hAnsi="Arial"/>
          <w:sz w:val="22"/>
        </w:rPr>
        <w:t>提高顾客满意度对运维服务质量改进的决定和措施</w:t>
      </w:r>
    </w:p>
    <w:p>
      <w:pPr>
        <w:numPr>
          <w:numId w:val="36"/>
        </w:numPr>
        <w:spacing w:before="120" w:after="120" w:line="288" w:lineRule="auto"/>
        <w:ind w:left="0"/>
        <w:jc w:val="left"/>
      </w:pPr>
      <w:r>
        <w:rPr>
          <w:rFonts w:eastAsia="等线" w:ascii="Arial" w:cs="Arial" w:hAnsi="Arial"/>
          <w:sz w:val="22"/>
        </w:rPr>
        <w:t>改进运维服务绩效的决定和措施</w:t>
      </w:r>
    </w:p>
    <w:p>
      <w:pPr>
        <w:numPr>
          <w:numId w:val="37"/>
        </w:numPr>
        <w:spacing w:before="120" w:after="120" w:line="288" w:lineRule="auto"/>
        <w:ind w:left="0"/>
        <w:jc w:val="left"/>
      </w:pPr>
      <w:r>
        <w:rPr>
          <w:rFonts w:eastAsia="等线" w:ascii="Arial" w:cs="Arial" w:hAnsi="Arial"/>
          <w:sz w:val="22"/>
        </w:rPr>
        <w:t>管理体系各项资源配置的决定和措施</w:t>
      </w:r>
    </w:p>
    <w:p>
      <w:pPr>
        <w:numPr>
          <w:numId w:val="38"/>
        </w:numPr>
        <w:spacing w:before="120" w:after="120" w:line="288" w:lineRule="auto"/>
        <w:ind w:left="0"/>
        <w:jc w:val="left"/>
      </w:pPr>
      <w:r>
        <w:rPr>
          <w:rFonts w:eastAsia="等线" w:ascii="Arial" w:cs="Arial" w:hAnsi="Arial"/>
          <w:sz w:val="22"/>
        </w:rPr>
        <w:t>对管理体系持续的适宜性、充分性和有效性的总体评价</w:t>
      </w:r>
    </w:p>
    <w:p>
      <w:pPr>
        <w:pStyle w:val="2"/>
        <w:spacing w:before="320" w:after="120" w:line="288" w:lineRule="auto"/>
        <w:ind w:left="0"/>
        <w:jc w:val="left"/>
        <w:outlineLvl w:val="1"/>
      </w:pPr>
      <w:bookmarkStart w:name="heading_8" w:id="8"/>
      <w:r>
        <w:rPr>
          <w:rFonts w:eastAsia="等线" w:ascii="Arial" w:cs="Arial" w:hAnsi="Arial"/>
          <w:b w:val="true"/>
          <w:sz w:val="32"/>
        </w:rPr>
        <w:t>八、评审准备工作要求</w:t>
      </w:r>
      <w:bookmarkEnd w:id="8"/>
    </w:p>
    <w:p>
      <w:pPr>
        <w:spacing w:before="120" w:after="120" w:line="288" w:lineRule="auto"/>
        <w:ind w:left="0"/>
        <w:jc w:val="left"/>
      </w:pPr>
      <w:r>
        <w:rPr>
          <w:rFonts w:eastAsia="等线" w:ascii="Arial" w:cs="Arial" w:hAnsi="Arial"/>
          <w:sz w:val="22"/>
        </w:rPr>
        <w:t>各部门需根据《运维服务管理评审程序》及上述评审内容提纲要求，准备管理评审总结及见证性材料。请于2023年1月28日前将年度质量目标统计资料和内审结论交至综合管理部质量管理组；内审不符合项责任部门需提交近期整改情况和验证结论文件。</w:t>
      </w:r>
    </w:p>
    <w:p>
      <w:pPr>
        <w:pStyle w:val="2"/>
        <w:spacing w:before="320" w:after="120" w:line="288" w:lineRule="auto"/>
        <w:ind w:left="0"/>
        <w:jc w:val="left"/>
        <w:outlineLvl w:val="1"/>
      </w:pPr>
      <w:bookmarkStart w:name="heading_9" w:id="9"/>
      <w:r>
        <w:rPr>
          <w:rFonts w:eastAsia="等线" w:ascii="Arial" w:cs="Arial" w:hAnsi="Arial"/>
          <w:b w:val="true"/>
          <w:sz w:val="32"/>
        </w:rPr>
        <w:t>九、管理评审报告的完成日期</w:t>
      </w:r>
      <w:bookmarkEnd w:id="9"/>
    </w:p>
    <w:p>
      <w:pPr>
        <w:spacing w:before="120" w:after="120" w:line="288" w:lineRule="auto"/>
        <w:ind w:left="0"/>
        <w:jc w:val="left"/>
      </w:pPr>
      <w:r>
        <w:rPr>
          <w:rFonts w:eastAsia="等线" w:ascii="Arial" w:cs="Arial" w:hAnsi="Arial"/>
          <w:sz w:val="22"/>
        </w:rPr>
        <w:t>评审会后一周之内形成管理评审报告，并下发实施。</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83195">
    <w:lvl>
      <w:numFmt w:val="bullet"/>
      <w:suff w:val="tab"/>
      <w:lvlText w:val="•"/>
      <w:rPr>
        <w:color w:val="3370ff"/>
      </w:rPr>
    </w:lvl>
  </w:abstractNum>
  <w:abstractNum w:abstractNumId="1083196">
    <w:lvl>
      <w:numFmt w:val="bullet"/>
      <w:suff w:val="tab"/>
      <w:lvlText w:val="•"/>
      <w:rPr>
        <w:color w:val="3370ff"/>
      </w:rPr>
    </w:lvl>
  </w:abstractNum>
  <w:abstractNum w:abstractNumId="1083197">
    <w:lvl>
      <w:numFmt w:val="bullet"/>
      <w:suff w:val="tab"/>
      <w:lvlText w:val="•"/>
      <w:rPr>
        <w:color w:val="3370ff"/>
      </w:rPr>
    </w:lvl>
  </w:abstractNum>
  <w:abstractNum w:abstractNumId="1083198">
    <w:lvl>
      <w:numFmt w:val="bullet"/>
      <w:suff w:val="tab"/>
      <w:lvlText w:val="•"/>
      <w:rPr>
        <w:color w:val="3370ff"/>
      </w:rPr>
    </w:lvl>
  </w:abstractNum>
  <w:abstractNum w:abstractNumId="1083199">
    <w:lvl>
      <w:numFmt w:val="bullet"/>
      <w:suff w:val="tab"/>
      <w:lvlText w:val="•"/>
      <w:rPr>
        <w:color w:val="3370ff"/>
      </w:rPr>
    </w:lvl>
  </w:abstractNum>
  <w:abstractNum w:abstractNumId="1083200">
    <w:lvl>
      <w:numFmt w:val="bullet"/>
      <w:suff w:val="tab"/>
      <w:lvlText w:val="•"/>
      <w:rPr>
        <w:color w:val="3370ff"/>
      </w:rPr>
    </w:lvl>
  </w:abstractNum>
  <w:abstractNum w:abstractNumId="1083201">
    <w:lvl>
      <w:numFmt w:val="bullet"/>
      <w:suff w:val="tab"/>
      <w:lvlText w:val="•"/>
      <w:rPr>
        <w:color w:val="3370ff"/>
      </w:rPr>
    </w:lvl>
  </w:abstractNum>
  <w:abstractNum w:abstractNumId="1083202">
    <w:lvl>
      <w:numFmt w:val="bullet"/>
      <w:suff w:val="tab"/>
      <w:lvlText w:val="•"/>
      <w:rPr>
        <w:color w:val="3370ff"/>
      </w:rPr>
    </w:lvl>
  </w:abstractNum>
  <w:abstractNum w:abstractNumId="1083203">
    <w:lvl>
      <w:numFmt w:val="bullet"/>
      <w:suff w:val="tab"/>
      <w:lvlText w:val="•"/>
      <w:rPr>
        <w:color w:val="3370ff"/>
      </w:rPr>
    </w:lvl>
  </w:abstractNum>
  <w:abstractNum w:abstractNumId="1083204">
    <w:lvl>
      <w:numFmt w:val="bullet"/>
      <w:suff w:val="tab"/>
      <w:lvlText w:val="•"/>
      <w:rPr>
        <w:color w:val="3370ff"/>
      </w:rPr>
    </w:lvl>
  </w:abstractNum>
  <w:abstractNum w:abstractNumId="1083205">
    <w:lvl>
      <w:numFmt w:val="bullet"/>
      <w:suff w:val="tab"/>
      <w:lvlText w:val="•"/>
      <w:rPr>
        <w:color w:val="3370ff"/>
      </w:rPr>
    </w:lvl>
  </w:abstractNum>
  <w:abstractNum w:abstractNumId="1083206">
    <w:lvl>
      <w:numFmt w:val="bullet"/>
      <w:suff w:val="tab"/>
      <w:lvlText w:val="•"/>
      <w:rPr>
        <w:color w:val="3370ff"/>
      </w:rPr>
    </w:lvl>
  </w:abstractNum>
  <w:abstractNum w:abstractNumId="1083207">
    <w:lvl>
      <w:numFmt w:val="bullet"/>
      <w:suff w:val="tab"/>
      <w:lvlText w:val="•"/>
      <w:rPr>
        <w:color w:val="3370ff"/>
      </w:rPr>
    </w:lvl>
  </w:abstractNum>
  <w:abstractNum w:abstractNumId="1083208">
    <w:lvl>
      <w:numFmt w:val="bullet"/>
      <w:suff w:val="tab"/>
      <w:lvlText w:val="•"/>
      <w:rPr>
        <w:color w:val="3370ff"/>
      </w:rPr>
    </w:lvl>
  </w:abstractNum>
  <w:abstractNum w:abstractNumId="1083209">
    <w:lvl>
      <w:numFmt w:val="bullet"/>
      <w:suff w:val="tab"/>
      <w:lvlText w:val="•"/>
      <w:rPr>
        <w:color w:val="3370ff"/>
      </w:rPr>
    </w:lvl>
  </w:abstractNum>
  <w:abstractNum w:abstractNumId="1083210">
    <w:lvl>
      <w:numFmt w:val="bullet"/>
      <w:suff w:val="tab"/>
      <w:lvlText w:val="•"/>
      <w:rPr>
        <w:color w:val="3370ff"/>
      </w:rPr>
    </w:lvl>
  </w:abstractNum>
  <w:abstractNum w:abstractNumId="1083211">
    <w:lvl>
      <w:numFmt w:val="bullet"/>
      <w:suff w:val="tab"/>
      <w:lvlText w:val="•"/>
      <w:rPr>
        <w:color w:val="3370ff"/>
      </w:rPr>
    </w:lvl>
  </w:abstractNum>
  <w:abstractNum w:abstractNumId="1083212">
    <w:lvl>
      <w:numFmt w:val="bullet"/>
      <w:suff w:val="tab"/>
      <w:lvlText w:val="•"/>
      <w:rPr>
        <w:color w:val="3370ff"/>
      </w:rPr>
    </w:lvl>
  </w:abstractNum>
  <w:abstractNum w:abstractNumId="1083213">
    <w:lvl>
      <w:numFmt w:val="bullet"/>
      <w:suff w:val="tab"/>
      <w:lvlText w:val="•"/>
      <w:rPr>
        <w:color w:val="3370ff"/>
      </w:rPr>
    </w:lvl>
  </w:abstractNum>
  <w:abstractNum w:abstractNumId="1083214">
    <w:lvl>
      <w:numFmt w:val="bullet"/>
      <w:suff w:val="tab"/>
      <w:lvlText w:val="•"/>
      <w:rPr>
        <w:color w:val="3370ff"/>
      </w:rPr>
    </w:lvl>
  </w:abstractNum>
  <w:abstractNum w:abstractNumId="1083215">
    <w:lvl>
      <w:numFmt w:val="bullet"/>
      <w:suff w:val="tab"/>
      <w:lvlText w:val="•"/>
      <w:rPr>
        <w:color w:val="3370ff"/>
      </w:rPr>
    </w:lvl>
  </w:abstractNum>
  <w:abstractNum w:abstractNumId="1083216">
    <w:lvl>
      <w:numFmt w:val="bullet"/>
      <w:suff w:val="tab"/>
      <w:lvlText w:val="•"/>
      <w:rPr>
        <w:color w:val="3370ff"/>
      </w:rPr>
    </w:lvl>
  </w:abstractNum>
  <w:abstractNum w:abstractNumId="1083217">
    <w:lvl>
      <w:numFmt w:val="bullet"/>
      <w:suff w:val="tab"/>
      <w:lvlText w:val="•"/>
      <w:rPr>
        <w:color w:val="3370ff"/>
      </w:rPr>
    </w:lvl>
  </w:abstractNum>
  <w:abstractNum w:abstractNumId="1083218">
    <w:lvl>
      <w:numFmt w:val="bullet"/>
      <w:suff w:val="tab"/>
      <w:lvlText w:val="•"/>
      <w:rPr>
        <w:color w:val="3370ff"/>
      </w:rPr>
    </w:lvl>
  </w:abstractNum>
  <w:abstractNum w:abstractNumId="1083219">
    <w:lvl>
      <w:numFmt w:val="bullet"/>
      <w:suff w:val="tab"/>
      <w:lvlText w:val="•"/>
      <w:rPr>
        <w:color w:val="3370ff"/>
      </w:rPr>
    </w:lvl>
  </w:abstractNum>
  <w:abstractNum w:abstractNumId="1083220">
    <w:lvl>
      <w:numFmt w:val="bullet"/>
      <w:suff w:val="tab"/>
      <w:lvlText w:val="•"/>
      <w:rPr>
        <w:color w:val="3370ff"/>
      </w:rPr>
    </w:lvl>
  </w:abstractNum>
  <w:abstractNum w:abstractNumId="1083221">
    <w:lvl>
      <w:numFmt w:val="bullet"/>
      <w:suff w:val="tab"/>
      <w:lvlText w:val="•"/>
      <w:rPr>
        <w:color w:val="3370ff"/>
      </w:rPr>
    </w:lvl>
  </w:abstractNum>
  <w:abstractNum w:abstractNumId="1083222">
    <w:lvl>
      <w:numFmt w:val="bullet"/>
      <w:suff w:val="tab"/>
      <w:lvlText w:val="•"/>
      <w:rPr>
        <w:color w:val="3370ff"/>
      </w:rPr>
    </w:lvl>
  </w:abstractNum>
  <w:abstractNum w:abstractNumId="1083223">
    <w:lvl>
      <w:numFmt w:val="bullet"/>
      <w:suff w:val="tab"/>
      <w:lvlText w:val="•"/>
      <w:rPr>
        <w:color w:val="3370ff"/>
      </w:rPr>
    </w:lvl>
  </w:abstractNum>
  <w:abstractNum w:abstractNumId="1083224">
    <w:lvl>
      <w:numFmt w:val="bullet"/>
      <w:suff w:val="tab"/>
      <w:lvlText w:val="•"/>
      <w:rPr>
        <w:color w:val="3370ff"/>
      </w:rPr>
    </w:lvl>
  </w:abstractNum>
  <w:abstractNum w:abstractNumId="1083225">
    <w:lvl>
      <w:numFmt w:val="bullet"/>
      <w:suff w:val="tab"/>
      <w:lvlText w:val="•"/>
      <w:rPr>
        <w:color w:val="3370ff"/>
      </w:rPr>
    </w:lvl>
  </w:abstractNum>
  <w:abstractNum w:abstractNumId="1083226">
    <w:lvl>
      <w:numFmt w:val="bullet"/>
      <w:suff w:val="tab"/>
      <w:lvlText w:val="•"/>
      <w:rPr>
        <w:color w:val="3370ff"/>
      </w:rPr>
    </w:lvl>
  </w:abstractNum>
  <w:abstractNum w:abstractNumId="1083227">
    <w:lvl>
      <w:numFmt w:val="bullet"/>
      <w:suff w:val="tab"/>
      <w:lvlText w:val="•"/>
      <w:rPr>
        <w:color w:val="3370ff"/>
      </w:rPr>
    </w:lvl>
  </w:abstractNum>
  <w:abstractNum w:abstractNumId="1083228">
    <w:lvl>
      <w:numFmt w:val="bullet"/>
      <w:suff w:val="tab"/>
      <w:lvlText w:val="•"/>
      <w:rPr>
        <w:color w:val="3370ff"/>
      </w:rPr>
    </w:lvl>
  </w:abstractNum>
  <w:abstractNum w:abstractNumId="1083229">
    <w:lvl>
      <w:numFmt w:val="bullet"/>
      <w:suff w:val="tab"/>
      <w:lvlText w:val="•"/>
      <w:rPr>
        <w:color w:val="3370ff"/>
      </w:rPr>
    </w:lvl>
  </w:abstractNum>
  <w:abstractNum w:abstractNumId="1083230">
    <w:lvl>
      <w:numFmt w:val="bullet"/>
      <w:suff w:val="tab"/>
      <w:lvlText w:val="•"/>
      <w:rPr>
        <w:color w:val="3370ff"/>
      </w:rPr>
    </w:lvl>
  </w:abstractNum>
  <w:abstractNum w:abstractNumId="1083231">
    <w:lvl>
      <w:numFmt w:val="bullet"/>
      <w:suff w:val="tab"/>
      <w:lvlText w:val="•"/>
      <w:rPr>
        <w:color w:val="3370ff"/>
      </w:rPr>
    </w:lvl>
  </w:abstractNum>
  <w:abstractNum w:abstractNumId="1083232">
    <w:lvl>
      <w:numFmt w:val="bullet"/>
      <w:suff w:val="tab"/>
      <w:lvlText w:val="•"/>
      <w:rPr>
        <w:color w:val="3370ff"/>
      </w:rPr>
    </w:lvl>
  </w:abstractNum>
  <w:num w:numId="1">
    <w:abstractNumId w:val="1083195"/>
  </w:num>
  <w:num w:numId="2">
    <w:abstractNumId w:val="1083196"/>
  </w:num>
  <w:num w:numId="3">
    <w:abstractNumId w:val="1083197"/>
  </w:num>
  <w:num w:numId="4">
    <w:abstractNumId w:val="1083198"/>
  </w:num>
  <w:num w:numId="5">
    <w:abstractNumId w:val="1083199"/>
  </w:num>
  <w:num w:numId="6">
    <w:abstractNumId w:val="1083200"/>
  </w:num>
  <w:num w:numId="7">
    <w:abstractNumId w:val="1083201"/>
  </w:num>
  <w:num w:numId="8">
    <w:abstractNumId w:val="1083202"/>
  </w:num>
  <w:num w:numId="9">
    <w:abstractNumId w:val="1083203"/>
  </w:num>
  <w:num w:numId="10">
    <w:abstractNumId w:val="1083204"/>
  </w:num>
  <w:num w:numId="11">
    <w:abstractNumId w:val="1083205"/>
  </w:num>
  <w:num w:numId="12">
    <w:abstractNumId w:val="1083206"/>
  </w:num>
  <w:num w:numId="13">
    <w:abstractNumId w:val="1083207"/>
  </w:num>
  <w:num w:numId="14">
    <w:abstractNumId w:val="1083208"/>
  </w:num>
  <w:num w:numId="15">
    <w:abstractNumId w:val="1083209"/>
  </w:num>
  <w:num w:numId="16">
    <w:abstractNumId w:val="1083210"/>
  </w:num>
  <w:num w:numId="17">
    <w:abstractNumId w:val="1083211"/>
  </w:num>
  <w:num w:numId="18">
    <w:abstractNumId w:val="1083212"/>
  </w:num>
  <w:num w:numId="19">
    <w:abstractNumId w:val="1083213"/>
  </w:num>
  <w:num w:numId="20">
    <w:abstractNumId w:val="1083214"/>
  </w:num>
  <w:num w:numId="21">
    <w:abstractNumId w:val="1083215"/>
  </w:num>
  <w:num w:numId="22">
    <w:abstractNumId w:val="1083216"/>
  </w:num>
  <w:num w:numId="23">
    <w:abstractNumId w:val="1083217"/>
  </w:num>
  <w:num w:numId="24">
    <w:abstractNumId w:val="1083218"/>
  </w:num>
  <w:num w:numId="25">
    <w:abstractNumId w:val="1083219"/>
  </w:num>
  <w:num w:numId="26">
    <w:abstractNumId w:val="1083220"/>
  </w:num>
  <w:num w:numId="27">
    <w:abstractNumId w:val="1083221"/>
  </w:num>
  <w:num w:numId="28">
    <w:abstractNumId w:val="1083222"/>
  </w:num>
  <w:num w:numId="29">
    <w:abstractNumId w:val="1083223"/>
  </w:num>
  <w:num w:numId="30">
    <w:abstractNumId w:val="1083224"/>
  </w:num>
  <w:num w:numId="31">
    <w:abstractNumId w:val="1083225"/>
  </w:num>
  <w:num w:numId="32">
    <w:abstractNumId w:val="1083226"/>
  </w:num>
  <w:num w:numId="33">
    <w:abstractNumId w:val="1083227"/>
  </w:num>
  <w:num w:numId="34">
    <w:abstractNumId w:val="1083228"/>
  </w:num>
  <w:num w:numId="35">
    <w:abstractNumId w:val="1083229"/>
  </w:num>
  <w:num w:numId="36">
    <w:abstractNumId w:val="1083230"/>
  </w:num>
  <w:num w:numId="37">
    <w:abstractNumId w:val="1083231"/>
  </w:num>
  <w:num w:numId="38">
    <w:abstractNumId w:val="10832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2025-12-13T03:16:44Z</dcterms:created>
  <dc:creator>Apache POI</dc:creator>
</cp:coreProperties>
</file>