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09704D">
      <w:pPr>
        <w:pStyle w:val="24"/>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lang w:val="en-US" w:eastAsia="zh-CN"/>
        </w:rPr>
      </w:pPr>
      <w:bookmarkStart w:id="0" w:name="_Toc28889"/>
      <w:r>
        <w:rPr>
          <w:rFonts w:hint="eastAsia"/>
          <w:lang w:val="en-US" w:eastAsia="zh-CN"/>
        </w:rPr>
        <w:t>云南腾电科技有限公司</w:t>
      </w:r>
      <w:bookmarkEnd w:id="0"/>
    </w:p>
    <w:p w14:paraId="49BB6A81">
      <w:pPr>
        <w:pStyle w:val="25"/>
        <w:keepNext w:val="0"/>
        <w:keepLines w:val="0"/>
        <w:pageBreakBefore w:val="0"/>
        <w:widowControl w:val="0"/>
        <w:kinsoku w:val="0"/>
        <w:wordWrap/>
        <w:overflowPunct/>
        <w:topLinePunct w:val="0"/>
        <w:autoSpaceDE w:val="0"/>
        <w:autoSpaceDN w:val="0"/>
        <w:bidi w:val="0"/>
        <w:adjustRightInd w:val="0"/>
        <w:snapToGrid w:val="0"/>
        <w:spacing w:before="0" w:after="0" w:afterLines="0"/>
        <w:ind w:left="0" w:leftChars="0" w:right="0" w:rightChars="0" w:firstLine="0" w:firstLineChars="0"/>
        <w:jc w:val="center"/>
        <w:textAlignment w:val="baseline"/>
        <w:rPr>
          <w:rFonts w:hint="eastAsia"/>
          <w:lang w:val="en-US" w:eastAsia="zh-CN"/>
        </w:rPr>
      </w:pPr>
      <w:bookmarkStart w:id="1" w:name="_Toc1752"/>
      <w:r>
        <w:rPr>
          <w:rFonts w:hint="eastAsia"/>
          <w:lang w:val="en-US" w:eastAsia="zh-CN"/>
        </w:rPr>
        <w:t>客户沟通管理制度</w:t>
      </w:r>
      <w:bookmarkEnd w:id="1"/>
    </w:p>
    <w:p w14:paraId="44992887">
      <w:pPr>
        <w:pStyle w:val="25"/>
        <w:keepNext w:val="0"/>
        <w:keepLines w:val="0"/>
        <w:pageBreakBefore w:val="0"/>
        <w:widowControl w:val="0"/>
        <w:kinsoku w:val="0"/>
        <w:wordWrap/>
        <w:overflowPunct/>
        <w:topLinePunct w:val="0"/>
        <w:autoSpaceDE w:val="0"/>
        <w:autoSpaceDN w:val="0"/>
        <w:bidi w:val="0"/>
        <w:adjustRightInd w:val="0"/>
        <w:snapToGrid w:val="0"/>
        <w:spacing w:before="0" w:after="0" w:afterLines="0"/>
        <w:ind w:left="0" w:leftChars="0" w:right="0" w:rightChars="0" w:firstLine="0" w:firstLineChars="0"/>
        <w:jc w:val="center"/>
        <w:textAlignment w:val="baseline"/>
        <w:rPr>
          <w:rFonts w:hint="eastAsia"/>
          <w:lang w:val="en-US" w:eastAsia="zh-CN"/>
        </w:rPr>
      </w:pPr>
      <w:bookmarkStart w:id="2" w:name="_Toc30294"/>
      <w:r>
        <w:rPr>
          <w:rFonts w:hint="eastAsia"/>
          <w:lang w:val="en-US" w:eastAsia="zh-CN"/>
        </w:rPr>
        <w:t>（YNTD-ITSS-0406）</w:t>
      </w:r>
      <w:bookmarkEnd w:id="2"/>
    </w:p>
    <w:p w14:paraId="07DEF31E">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06B036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tcPr>
          <w:p w14:paraId="08B5CF21">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default"/>
                <w:vertAlign w:val="baseline"/>
                <w:lang w:val="en-US" w:eastAsia="zh-CN"/>
              </w:rPr>
            </w:pPr>
            <w:r>
              <w:rPr>
                <w:rFonts w:hint="eastAsia"/>
                <w:vertAlign w:val="baseline"/>
                <w:lang w:val="en-US" w:eastAsia="zh-CN"/>
              </w:rPr>
              <w:t>编制人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吴杰</w:t>
            </w:r>
          </w:p>
        </w:tc>
        <w:tc>
          <w:tcPr>
            <w:tcW w:w="4261" w:type="dxa"/>
          </w:tcPr>
          <w:p w14:paraId="39FA7DB4">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right"/>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2025.01.07</w:t>
            </w:r>
          </w:p>
        </w:tc>
      </w:tr>
      <w:tr w14:paraId="4A6245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shd w:val="clear" w:color="auto" w:fill="auto"/>
          </w:tcPr>
          <w:p w14:paraId="044B37A8">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赵建中</w:t>
            </w:r>
          </w:p>
        </w:tc>
        <w:tc>
          <w:tcPr>
            <w:tcW w:w="4261" w:type="dxa"/>
            <w:shd w:val="clear" w:color="auto" w:fill="auto"/>
          </w:tcPr>
          <w:p w14:paraId="7C0A16A6">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right"/>
              <w:textAlignment w:val="baseline"/>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2025.01.07</w:t>
            </w:r>
          </w:p>
        </w:tc>
      </w:tr>
      <w:tr w14:paraId="6FC958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1818" w:type="dxa"/>
          </w:tcPr>
          <w:p w14:paraId="629D833A">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eastAsia"/>
                <w:vertAlign w:val="baseline"/>
                <w:lang w:val="en-US" w:eastAsia="zh-CN"/>
              </w:rPr>
            </w:pPr>
            <w:r>
              <w:rPr>
                <w:rFonts w:hint="eastAsia"/>
                <w:vertAlign w:val="baseline"/>
                <w:lang w:val="en-US" w:eastAsia="zh-CN"/>
              </w:rPr>
              <w:t>批准人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陆涛</w:t>
            </w:r>
          </w:p>
        </w:tc>
        <w:tc>
          <w:tcPr>
            <w:tcW w:w="4261" w:type="dxa"/>
          </w:tcPr>
          <w:p w14:paraId="656B221E">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right"/>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2025.01.07</w:t>
            </w:r>
          </w:p>
        </w:tc>
      </w:tr>
    </w:tbl>
    <w:p w14:paraId="46327F79">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14:paraId="7342B97F">
      <w:pPr>
        <w:keepNext w:val="0"/>
        <w:keepLines w:val="0"/>
        <w:pageBreakBefore w:val="0"/>
        <w:widowControl w:val="0"/>
        <w:kinsoku w:val="0"/>
        <w:wordWrap/>
        <w:overflowPunct/>
        <w:topLinePunct w:val="0"/>
        <w:autoSpaceDE w:val="0"/>
        <w:autoSpaceDN w:val="0"/>
        <w:bidi w:val="0"/>
        <w:adjustRightInd w:val="0"/>
        <w:snapToGrid w:val="0"/>
        <w:spacing w:before="98" w:line="220" w:lineRule="auto"/>
        <w:ind w:left="3195"/>
        <w:textAlignment w:val="baseline"/>
        <w:outlineLvl w:val="0"/>
        <w:rPr>
          <w:rFonts w:ascii="宋体" w:hAnsi="宋体" w:eastAsia="宋体" w:cs="宋体"/>
          <w:sz w:val="30"/>
          <w:szCs w:val="30"/>
        </w:rPr>
      </w:pPr>
      <w:bookmarkStart w:id="3" w:name="_Toc7575"/>
      <w:r>
        <w:rPr>
          <w:rFonts w:ascii="宋体" w:hAnsi="宋体" w:eastAsia="宋体" w:cs="宋体"/>
          <w:b/>
          <w:bCs/>
          <w:spacing w:val="-4"/>
          <w:sz w:val="30"/>
          <w:szCs w:val="30"/>
        </w:rPr>
        <w:t>文件编制和变更履历</w:t>
      </w:r>
      <w:bookmarkEnd w:id="3"/>
    </w:p>
    <w:tbl>
      <w:tblPr>
        <w:tblStyle w:val="42"/>
        <w:tblW w:w="9005" w:type="dxa"/>
        <w:tblInd w:w="3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45"/>
        <w:gridCol w:w="881"/>
        <w:gridCol w:w="1274"/>
        <w:gridCol w:w="957"/>
        <w:gridCol w:w="1377"/>
        <w:gridCol w:w="1017"/>
        <w:gridCol w:w="1271"/>
        <w:gridCol w:w="1383"/>
      </w:tblGrid>
      <w:tr w14:paraId="3FD110D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89" w:hRule="atLeast"/>
        </w:trPr>
        <w:tc>
          <w:tcPr>
            <w:tcW w:w="845" w:type="dxa"/>
            <w:vMerge w:val="restart"/>
            <w:tcBorders>
              <w:top w:val="single" w:color="000000" w:sz="10" w:space="0"/>
              <w:left w:val="single" w:color="000000" w:sz="10" w:space="0"/>
              <w:bottom w:val="nil"/>
            </w:tcBorders>
            <w:shd w:val="clear" w:color="auto" w:fill="D9D9D9"/>
          </w:tcPr>
          <w:p w14:paraId="171B868C">
            <w:pPr>
              <w:keepNext w:val="0"/>
              <w:keepLines w:val="0"/>
              <w:pageBreakBefore w:val="0"/>
              <w:widowControl w:val="0"/>
              <w:kinsoku w:val="0"/>
              <w:wordWrap/>
              <w:overflowPunct/>
              <w:topLinePunct w:val="0"/>
              <w:autoSpaceDE w:val="0"/>
              <w:autoSpaceDN w:val="0"/>
              <w:bidi w:val="0"/>
              <w:adjustRightInd w:val="0"/>
              <w:snapToGrid w:val="0"/>
              <w:spacing w:line="350" w:lineRule="auto"/>
              <w:textAlignment w:val="baseline"/>
              <w:rPr>
                <w:rFonts w:ascii="Arial"/>
                <w:sz w:val="21"/>
              </w:rPr>
            </w:pPr>
          </w:p>
          <w:p w14:paraId="7C1D57C9">
            <w:pPr>
              <w:keepNext w:val="0"/>
              <w:keepLines w:val="0"/>
              <w:pageBreakBefore w:val="0"/>
              <w:widowControl w:val="0"/>
              <w:kinsoku w:val="0"/>
              <w:wordWrap/>
              <w:overflowPunct/>
              <w:topLinePunct w:val="0"/>
              <w:autoSpaceDE w:val="0"/>
              <w:autoSpaceDN w:val="0"/>
              <w:bidi w:val="0"/>
              <w:adjustRightInd w:val="0"/>
              <w:snapToGrid w:val="0"/>
              <w:spacing w:before="78" w:line="219" w:lineRule="auto"/>
              <w:ind w:left="172"/>
              <w:textAlignment w:val="baseline"/>
              <w:rPr>
                <w:rFonts w:ascii="宋体" w:hAnsi="宋体" w:eastAsia="宋体" w:cs="宋体"/>
                <w:sz w:val="24"/>
                <w:szCs w:val="24"/>
              </w:rPr>
            </w:pPr>
            <w:r>
              <w:rPr>
                <w:rFonts w:ascii="宋体" w:hAnsi="宋体" w:eastAsia="宋体" w:cs="宋体"/>
                <w:b/>
                <w:bCs/>
                <w:spacing w:val="-5"/>
                <w:sz w:val="24"/>
                <w:szCs w:val="24"/>
              </w:rPr>
              <w:t>版本</w:t>
            </w:r>
          </w:p>
        </w:tc>
        <w:tc>
          <w:tcPr>
            <w:tcW w:w="2155" w:type="dxa"/>
            <w:gridSpan w:val="2"/>
            <w:tcBorders>
              <w:top w:val="single" w:color="000000" w:sz="10" w:space="0"/>
            </w:tcBorders>
            <w:shd w:val="clear" w:color="auto" w:fill="D9D9D9"/>
          </w:tcPr>
          <w:p w14:paraId="5C31873F">
            <w:pPr>
              <w:keepNext w:val="0"/>
              <w:keepLines w:val="0"/>
              <w:pageBreakBefore w:val="0"/>
              <w:widowControl w:val="0"/>
              <w:kinsoku w:val="0"/>
              <w:wordWrap/>
              <w:overflowPunct/>
              <w:topLinePunct w:val="0"/>
              <w:autoSpaceDE w:val="0"/>
              <w:autoSpaceDN w:val="0"/>
              <w:bidi w:val="0"/>
              <w:adjustRightInd w:val="0"/>
              <w:snapToGrid w:val="0"/>
              <w:spacing w:before="181" w:line="220" w:lineRule="auto"/>
              <w:ind w:left="528"/>
              <w:textAlignment w:val="baseline"/>
              <w:rPr>
                <w:rFonts w:ascii="宋体" w:hAnsi="宋体" w:eastAsia="宋体" w:cs="宋体"/>
                <w:sz w:val="24"/>
                <w:szCs w:val="24"/>
              </w:rPr>
            </w:pPr>
            <w:r>
              <w:rPr>
                <w:rFonts w:ascii="宋体" w:hAnsi="宋体" w:eastAsia="宋体" w:cs="宋体"/>
                <w:b/>
                <w:bCs/>
                <w:spacing w:val="-4"/>
                <w:sz w:val="24"/>
                <w:szCs w:val="24"/>
              </w:rPr>
              <w:t>编制/更改</w:t>
            </w:r>
          </w:p>
        </w:tc>
        <w:tc>
          <w:tcPr>
            <w:tcW w:w="2334" w:type="dxa"/>
            <w:gridSpan w:val="2"/>
            <w:tcBorders>
              <w:top w:val="single" w:color="000000" w:sz="10" w:space="0"/>
            </w:tcBorders>
            <w:shd w:val="clear" w:color="auto" w:fill="D9D9D9"/>
          </w:tcPr>
          <w:p w14:paraId="0CDCE20E">
            <w:pPr>
              <w:keepNext w:val="0"/>
              <w:keepLines w:val="0"/>
              <w:pageBreakBefore w:val="0"/>
              <w:widowControl w:val="0"/>
              <w:kinsoku w:val="0"/>
              <w:wordWrap/>
              <w:overflowPunct/>
              <w:topLinePunct w:val="0"/>
              <w:autoSpaceDE w:val="0"/>
              <w:autoSpaceDN w:val="0"/>
              <w:bidi w:val="0"/>
              <w:adjustRightInd w:val="0"/>
              <w:snapToGrid w:val="0"/>
              <w:spacing w:before="181" w:line="219" w:lineRule="auto"/>
              <w:ind w:left="927"/>
              <w:textAlignment w:val="baseline"/>
              <w:rPr>
                <w:rFonts w:ascii="宋体" w:hAnsi="宋体" w:eastAsia="宋体" w:cs="宋体"/>
                <w:sz w:val="24"/>
                <w:szCs w:val="24"/>
              </w:rPr>
            </w:pPr>
            <w:r>
              <w:rPr>
                <w:rFonts w:ascii="宋体" w:hAnsi="宋体" w:eastAsia="宋体" w:cs="宋体"/>
                <w:b/>
                <w:bCs/>
                <w:spacing w:val="-6"/>
                <w:sz w:val="24"/>
                <w:szCs w:val="24"/>
              </w:rPr>
              <w:t>发布</w:t>
            </w:r>
          </w:p>
        </w:tc>
        <w:tc>
          <w:tcPr>
            <w:tcW w:w="2288" w:type="dxa"/>
            <w:gridSpan w:val="2"/>
            <w:tcBorders>
              <w:top w:val="single" w:color="000000" w:sz="10" w:space="0"/>
            </w:tcBorders>
            <w:shd w:val="clear" w:color="auto" w:fill="D9D9D9"/>
          </w:tcPr>
          <w:p w14:paraId="5D044F35">
            <w:pPr>
              <w:keepNext w:val="0"/>
              <w:keepLines w:val="0"/>
              <w:pageBreakBefore w:val="0"/>
              <w:widowControl w:val="0"/>
              <w:kinsoku w:val="0"/>
              <w:wordWrap/>
              <w:overflowPunct/>
              <w:topLinePunct w:val="0"/>
              <w:autoSpaceDE w:val="0"/>
              <w:autoSpaceDN w:val="0"/>
              <w:bidi w:val="0"/>
              <w:adjustRightInd w:val="0"/>
              <w:snapToGrid w:val="0"/>
              <w:spacing w:before="181" w:line="220" w:lineRule="auto"/>
              <w:ind w:left="911"/>
              <w:textAlignment w:val="baseline"/>
              <w:rPr>
                <w:rFonts w:ascii="宋体" w:hAnsi="宋体" w:eastAsia="宋体" w:cs="宋体"/>
                <w:sz w:val="24"/>
                <w:szCs w:val="24"/>
              </w:rPr>
            </w:pPr>
            <w:r>
              <w:rPr>
                <w:rFonts w:ascii="宋体" w:hAnsi="宋体" w:eastAsia="宋体" w:cs="宋体"/>
                <w:b/>
                <w:bCs/>
                <w:spacing w:val="-6"/>
                <w:sz w:val="24"/>
                <w:szCs w:val="24"/>
              </w:rPr>
              <w:t>实施</w:t>
            </w:r>
          </w:p>
        </w:tc>
        <w:tc>
          <w:tcPr>
            <w:tcW w:w="1383" w:type="dxa"/>
            <w:vMerge w:val="restart"/>
            <w:tcBorders>
              <w:top w:val="single" w:color="000000" w:sz="10" w:space="0"/>
              <w:bottom w:val="nil"/>
              <w:right w:val="single" w:color="000000" w:sz="10" w:space="0"/>
            </w:tcBorders>
            <w:shd w:val="clear" w:color="auto" w:fill="D9D9D9"/>
          </w:tcPr>
          <w:p w14:paraId="59686762">
            <w:pPr>
              <w:keepNext w:val="0"/>
              <w:keepLines w:val="0"/>
              <w:pageBreakBefore w:val="0"/>
              <w:widowControl w:val="0"/>
              <w:kinsoku w:val="0"/>
              <w:wordWrap/>
              <w:overflowPunct/>
              <w:topLinePunct w:val="0"/>
              <w:autoSpaceDE w:val="0"/>
              <w:autoSpaceDN w:val="0"/>
              <w:bidi w:val="0"/>
              <w:adjustRightInd w:val="0"/>
              <w:snapToGrid w:val="0"/>
              <w:spacing w:line="350" w:lineRule="auto"/>
              <w:textAlignment w:val="baseline"/>
              <w:rPr>
                <w:rFonts w:ascii="Arial"/>
                <w:sz w:val="21"/>
              </w:rPr>
            </w:pPr>
          </w:p>
          <w:p w14:paraId="1036D608">
            <w:pPr>
              <w:keepNext w:val="0"/>
              <w:keepLines w:val="0"/>
              <w:pageBreakBefore w:val="0"/>
              <w:widowControl w:val="0"/>
              <w:kinsoku w:val="0"/>
              <w:wordWrap/>
              <w:overflowPunct/>
              <w:topLinePunct w:val="0"/>
              <w:autoSpaceDE w:val="0"/>
              <w:autoSpaceDN w:val="0"/>
              <w:bidi w:val="0"/>
              <w:adjustRightInd w:val="0"/>
              <w:snapToGrid w:val="0"/>
              <w:spacing w:before="78" w:line="220" w:lineRule="auto"/>
              <w:ind w:left="217"/>
              <w:textAlignment w:val="baseline"/>
              <w:rPr>
                <w:rFonts w:ascii="宋体" w:hAnsi="宋体" w:eastAsia="宋体" w:cs="宋体"/>
                <w:sz w:val="24"/>
                <w:szCs w:val="24"/>
              </w:rPr>
            </w:pPr>
            <w:r>
              <w:rPr>
                <w:rFonts w:ascii="宋体" w:hAnsi="宋体" w:eastAsia="宋体" w:cs="宋体"/>
                <w:b/>
                <w:bCs/>
                <w:spacing w:val="-5"/>
                <w:sz w:val="24"/>
                <w:szCs w:val="24"/>
              </w:rPr>
              <w:t>更改记录</w:t>
            </w:r>
          </w:p>
        </w:tc>
      </w:tr>
      <w:tr w14:paraId="6AD1717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79" w:hRule="atLeast"/>
        </w:trPr>
        <w:tc>
          <w:tcPr>
            <w:tcW w:w="845" w:type="dxa"/>
            <w:vMerge w:val="continue"/>
            <w:tcBorders>
              <w:top w:val="nil"/>
              <w:left w:val="single" w:color="000000" w:sz="10" w:space="0"/>
            </w:tcBorders>
          </w:tcPr>
          <w:p w14:paraId="7739B0BC">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881" w:type="dxa"/>
            <w:shd w:val="clear" w:color="auto" w:fill="D9D9D9"/>
          </w:tcPr>
          <w:p w14:paraId="0640307D">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191"/>
              <w:textAlignment w:val="baseline"/>
              <w:rPr>
                <w:rFonts w:ascii="宋体" w:hAnsi="宋体" w:eastAsia="宋体" w:cs="宋体"/>
                <w:sz w:val="24"/>
                <w:szCs w:val="24"/>
              </w:rPr>
            </w:pPr>
            <w:r>
              <w:rPr>
                <w:rFonts w:ascii="宋体" w:hAnsi="宋体" w:eastAsia="宋体" w:cs="宋体"/>
                <w:b/>
                <w:bCs/>
                <w:spacing w:val="-5"/>
                <w:sz w:val="24"/>
                <w:szCs w:val="24"/>
              </w:rPr>
              <w:t>作者</w:t>
            </w:r>
          </w:p>
        </w:tc>
        <w:tc>
          <w:tcPr>
            <w:tcW w:w="1274" w:type="dxa"/>
            <w:shd w:val="clear" w:color="auto" w:fill="D9D9D9"/>
          </w:tcPr>
          <w:p w14:paraId="0644A745">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30"/>
              <w:textAlignment w:val="baseline"/>
              <w:rPr>
                <w:rFonts w:ascii="宋体" w:hAnsi="宋体" w:eastAsia="宋体" w:cs="宋体"/>
                <w:sz w:val="24"/>
                <w:szCs w:val="24"/>
              </w:rPr>
            </w:pPr>
            <w:r>
              <w:rPr>
                <w:rFonts w:ascii="宋体" w:hAnsi="宋体" w:eastAsia="宋体" w:cs="宋体"/>
                <w:b/>
                <w:bCs/>
                <w:spacing w:val="-15"/>
                <w:sz w:val="24"/>
                <w:szCs w:val="24"/>
              </w:rPr>
              <w:t>日期</w:t>
            </w:r>
          </w:p>
        </w:tc>
        <w:tc>
          <w:tcPr>
            <w:tcW w:w="957" w:type="dxa"/>
            <w:shd w:val="clear" w:color="auto" w:fill="D9D9D9"/>
          </w:tcPr>
          <w:p w14:paraId="799EE85A">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244"/>
              <w:textAlignment w:val="baseline"/>
              <w:rPr>
                <w:rFonts w:ascii="宋体" w:hAnsi="宋体" w:eastAsia="宋体" w:cs="宋体"/>
                <w:sz w:val="24"/>
                <w:szCs w:val="24"/>
              </w:rPr>
            </w:pPr>
            <w:r>
              <w:rPr>
                <w:rFonts w:ascii="宋体" w:hAnsi="宋体" w:eastAsia="宋体" w:cs="宋体"/>
                <w:b/>
                <w:bCs/>
                <w:spacing w:val="-8"/>
                <w:sz w:val="24"/>
                <w:szCs w:val="24"/>
              </w:rPr>
              <w:t>审核</w:t>
            </w:r>
          </w:p>
        </w:tc>
        <w:tc>
          <w:tcPr>
            <w:tcW w:w="1377" w:type="dxa"/>
            <w:shd w:val="clear" w:color="auto" w:fill="D9D9D9"/>
          </w:tcPr>
          <w:p w14:paraId="0A0944D8">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87"/>
              <w:textAlignment w:val="baseline"/>
              <w:rPr>
                <w:rFonts w:ascii="宋体" w:hAnsi="宋体" w:eastAsia="宋体" w:cs="宋体"/>
                <w:sz w:val="24"/>
                <w:szCs w:val="24"/>
              </w:rPr>
            </w:pPr>
            <w:r>
              <w:rPr>
                <w:rFonts w:ascii="宋体" w:hAnsi="宋体" w:eastAsia="宋体" w:cs="宋体"/>
                <w:b/>
                <w:bCs/>
                <w:spacing w:val="-15"/>
                <w:sz w:val="24"/>
                <w:szCs w:val="24"/>
              </w:rPr>
              <w:t>日期</w:t>
            </w:r>
          </w:p>
        </w:tc>
        <w:tc>
          <w:tcPr>
            <w:tcW w:w="1017" w:type="dxa"/>
            <w:shd w:val="clear" w:color="auto" w:fill="D9D9D9"/>
          </w:tcPr>
          <w:p w14:paraId="338ED4DB">
            <w:pPr>
              <w:keepNext w:val="0"/>
              <w:keepLines w:val="0"/>
              <w:pageBreakBefore w:val="0"/>
              <w:widowControl w:val="0"/>
              <w:kinsoku w:val="0"/>
              <w:wordWrap/>
              <w:overflowPunct/>
              <w:topLinePunct w:val="0"/>
              <w:autoSpaceDE w:val="0"/>
              <w:autoSpaceDN w:val="0"/>
              <w:bidi w:val="0"/>
              <w:adjustRightInd w:val="0"/>
              <w:snapToGrid w:val="0"/>
              <w:spacing w:before="176" w:line="221" w:lineRule="auto"/>
              <w:ind w:left="268"/>
              <w:textAlignment w:val="baseline"/>
              <w:rPr>
                <w:rFonts w:ascii="宋体" w:hAnsi="宋体" w:eastAsia="宋体" w:cs="宋体"/>
                <w:sz w:val="24"/>
                <w:szCs w:val="24"/>
              </w:rPr>
            </w:pPr>
            <w:r>
              <w:rPr>
                <w:rFonts w:ascii="宋体" w:hAnsi="宋体" w:eastAsia="宋体" w:cs="宋体"/>
                <w:b/>
                <w:bCs/>
                <w:spacing w:val="-5"/>
                <w:sz w:val="24"/>
                <w:szCs w:val="24"/>
              </w:rPr>
              <w:t>批准</w:t>
            </w:r>
          </w:p>
        </w:tc>
        <w:tc>
          <w:tcPr>
            <w:tcW w:w="1271" w:type="dxa"/>
            <w:shd w:val="clear" w:color="auto" w:fill="D9D9D9"/>
          </w:tcPr>
          <w:p w14:paraId="2D6F740B">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41"/>
              <w:textAlignment w:val="baseline"/>
              <w:rPr>
                <w:rFonts w:ascii="宋体" w:hAnsi="宋体" w:eastAsia="宋体" w:cs="宋体"/>
                <w:sz w:val="24"/>
                <w:szCs w:val="24"/>
              </w:rPr>
            </w:pPr>
            <w:r>
              <w:rPr>
                <w:rFonts w:ascii="宋体" w:hAnsi="宋体" w:eastAsia="宋体" w:cs="宋体"/>
                <w:b/>
                <w:bCs/>
                <w:spacing w:val="-15"/>
                <w:sz w:val="24"/>
                <w:szCs w:val="24"/>
              </w:rPr>
              <w:t>日期</w:t>
            </w:r>
          </w:p>
        </w:tc>
        <w:tc>
          <w:tcPr>
            <w:tcW w:w="1383" w:type="dxa"/>
            <w:vMerge w:val="continue"/>
            <w:tcBorders>
              <w:top w:val="nil"/>
              <w:right w:val="single" w:color="000000" w:sz="10" w:space="0"/>
            </w:tcBorders>
          </w:tcPr>
          <w:p w14:paraId="0D1CE5FB">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r>
      <w:tr w14:paraId="710E34C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51" w:hRule="atLeast"/>
        </w:trPr>
        <w:tc>
          <w:tcPr>
            <w:tcW w:w="845" w:type="dxa"/>
            <w:tcBorders>
              <w:left w:val="single" w:color="000000" w:sz="10" w:space="0"/>
            </w:tcBorders>
          </w:tcPr>
          <w:p w14:paraId="3C883D7D">
            <w:pPr>
              <w:pStyle w:val="27"/>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95"/>
              <w:textAlignment w:val="baseline"/>
            </w:pPr>
            <w:r>
              <w:rPr>
                <w:spacing w:val="-1"/>
              </w:rPr>
              <w:t>V1.0</w:t>
            </w:r>
          </w:p>
        </w:tc>
        <w:tc>
          <w:tcPr>
            <w:tcW w:w="881" w:type="dxa"/>
          </w:tcPr>
          <w:p w14:paraId="7FB962C6">
            <w:pPr>
              <w:pStyle w:val="27"/>
              <w:keepNext w:val="0"/>
              <w:keepLines w:val="0"/>
              <w:pageBreakBefore w:val="0"/>
              <w:widowControl w:val="0"/>
              <w:kinsoku w:val="0"/>
              <w:wordWrap/>
              <w:overflowPunct/>
              <w:topLinePunct w:val="0"/>
              <w:autoSpaceDE w:val="0"/>
              <w:autoSpaceDN w:val="0"/>
              <w:bidi w:val="0"/>
              <w:adjustRightInd w:val="0"/>
              <w:snapToGrid w:val="0"/>
              <w:spacing w:before="230" w:line="219" w:lineRule="auto"/>
              <w:ind w:left="125"/>
              <w:textAlignment w:val="baseline"/>
            </w:pPr>
            <w:r>
              <w:rPr>
                <w:rFonts w:hint="eastAsia"/>
                <w:spacing w:val="-4"/>
              </w:rPr>
              <w:t>吴杰</w:t>
            </w:r>
          </w:p>
        </w:tc>
        <w:tc>
          <w:tcPr>
            <w:tcW w:w="1274" w:type="dxa"/>
          </w:tcPr>
          <w:p w14:paraId="0B391C79">
            <w:pPr>
              <w:pStyle w:val="27"/>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04"/>
              <w:textAlignment w:val="baseline"/>
            </w:pPr>
            <w:r>
              <w:rPr>
                <w:spacing w:val="-1"/>
              </w:rPr>
              <w:t>2025.1.7</w:t>
            </w:r>
          </w:p>
        </w:tc>
        <w:tc>
          <w:tcPr>
            <w:tcW w:w="957" w:type="dxa"/>
          </w:tcPr>
          <w:p w14:paraId="0806E2DD">
            <w:pPr>
              <w:pStyle w:val="27"/>
              <w:keepNext w:val="0"/>
              <w:keepLines w:val="0"/>
              <w:pageBreakBefore w:val="0"/>
              <w:widowControl w:val="0"/>
              <w:kinsoku w:val="0"/>
              <w:wordWrap/>
              <w:overflowPunct/>
              <w:topLinePunct w:val="0"/>
              <w:autoSpaceDE w:val="0"/>
              <w:autoSpaceDN w:val="0"/>
              <w:bidi w:val="0"/>
              <w:adjustRightInd w:val="0"/>
              <w:snapToGrid w:val="0"/>
              <w:spacing w:before="230" w:line="219" w:lineRule="auto"/>
              <w:ind w:left="168"/>
              <w:textAlignment w:val="baseline"/>
            </w:pPr>
            <w:r>
              <w:rPr>
                <w:spacing w:val="-4"/>
              </w:rPr>
              <w:t>赵建中</w:t>
            </w:r>
          </w:p>
        </w:tc>
        <w:tc>
          <w:tcPr>
            <w:tcW w:w="1377" w:type="dxa"/>
          </w:tcPr>
          <w:p w14:paraId="0320F66E">
            <w:pPr>
              <w:pStyle w:val="27"/>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61"/>
              <w:textAlignment w:val="baseline"/>
            </w:pPr>
            <w:r>
              <w:rPr>
                <w:spacing w:val="-1"/>
              </w:rPr>
              <w:t>2025.1.7</w:t>
            </w:r>
          </w:p>
        </w:tc>
        <w:tc>
          <w:tcPr>
            <w:tcW w:w="1017" w:type="dxa"/>
          </w:tcPr>
          <w:p w14:paraId="7B95F9C2">
            <w:pPr>
              <w:pStyle w:val="27"/>
              <w:keepNext w:val="0"/>
              <w:keepLines w:val="0"/>
              <w:pageBreakBefore w:val="0"/>
              <w:widowControl w:val="0"/>
              <w:kinsoku w:val="0"/>
              <w:wordWrap/>
              <w:overflowPunct/>
              <w:topLinePunct w:val="0"/>
              <w:autoSpaceDE w:val="0"/>
              <w:autoSpaceDN w:val="0"/>
              <w:bidi w:val="0"/>
              <w:adjustRightInd w:val="0"/>
              <w:snapToGrid w:val="0"/>
              <w:spacing w:before="230" w:line="220" w:lineRule="auto"/>
              <w:ind w:left="202"/>
              <w:textAlignment w:val="baseline"/>
            </w:pPr>
            <w:r>
              <w:rPr>
                <w:spacing w:val="-3"/>
              </w:rPr>
              <w:t>陆涛</w:t>
            </w:r>
          </w:p>
        </w:tc>
        <w:tc>
          <w:tcPr>
            <w:tcW w:w="1271" w:type="dxa"/>
          </w:tcPr>
          <w:p w14:paraId="76E7ED73">
            <w:pPr>
              <w:pStyle w:val="27"/>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220"/>
              <w:textAlignment w:val="baseline"/>
            </w:pPr>
            <w:r>
              <w:rPr>
                <w:spacing w:val="-1"/>
              </w:rPr>
              <w:t>2025.1.7</w:t>
            </w:r>
          </w:p>
        </w:tc>
        <w:tc>
          <w:tcPr>
            <w:tcW w:w="1383" w:type="dxa"/>
            <w:tcBorders>
              <w:right w:val="single" w:color="000000" w:sz="10" w:space="0"/>
            </w:tcBorders>
          </w:tcPr>
          <w:p w14:paraId="1A5ABD82">
            <w:pPr>
              <w:pStyle w:val="27"/>
              <w:keepNext w:val="0"/>
              <w:keepLines w:val="0"/>
              <w:pageBreakBefore w:val="0"/>
              <w:widowControl w:val="0"/>
              <w:kinsoku w:val="0"/>
              <w:wordWrap/>
              <w:overflowPunct/>
              <w:topLinePunct w:val="0"/>
              <w:autoSpaceDE w:val="0"/>
              <w:autoSpaceDN w:val="0"/>
              <w:bidi w:val="0"/>
              <w:adjustRightInd w:val="0"/>
              <w:snapToGrid w:val="0"/>
              <w:spacing w:before="230" w:line="217" w:lineRule="auto"/>
              <w:ind w:left="341"/>
              <w:textAlignment w:val="baseline"/>
            </w:pPr>
            <w:r>
              <w:rPr>
                <w:spacing w:val="-5"/>
              </w:rPr>
              <w:t>首次发布</w:t>
            </w:r>
          </w:p>
        </w:tc>
      </w:tr>
      <w:tr w14:paraId="74A769E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85" w:hRule="atLeast"/>
        </w:trPr>
        <w:tc>
          <w:tcPr>
            <w:tcW w:w="845" w:type="dxa"/>
            <w:tcBorders>
              <w:left w:val="single" w:color="000000" w:sz="10" w:space="0"/>
            </w:tcBorders>
          </w:tcPr>
          <w:p w14:paraId="3DAB5E6A">
            <w:pPr>
              <w:pStyle w:val="27"/>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195"/>
              <w:textAlignment w:val="baseline"/>
            </w:pPr>
          </w:p>
        </w:tc>
        <w:tc>
          <w:tcPr>
            <w:tcW w:w="881" w:type="dxa"/>
          </w:tcPr>
          <w:p w14:paraId="304E0B0C">
            <w:pPr>
              <w:pStyle w:val="27"/>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125"/>
              <w:textAlignment w:val="baseline"/>
            </w:pPr>
          </w:p>
        </w:tc>
        <w:tc>
          <w:tcPr>
            <w:tcW w:w="1274" w:type="dxa"/>
          </w:tcPr>
          <w:p w14:paraId="66497D48">
            <w:pPr>
              <w:pStyle w:val="27"/>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10"/>
              <w:textAlignment w:val="baseline"/>
            </w:pPr>
          </w:p>
        </w:tc>
        <w:tc>
          <w:tcPr>
            <w:tcW w:w="957" w:type="dxa"/>
          </w:tcPr>
          <w:p w14:paraId="1FE3C12A">
            <w:pPr>
              <w:pStyle w:val="27"/>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168"/>
              <w:textAlignment w:val="baseline"/>
            </w:pPr>
          </w:p>
        </w:tc>
        <w:tc>
          <w:tcPr>
            <w:tcW w:w="1377" w:type="dxa"/>
          </w:tcPr>
          <w:p w14:paraId="012EE647">
            <w:pPr>
              <w:pStyle w:val="27"/>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67"/>
              <w:textAlignment w:val="baseline"/>
            </w:pPr>
          </w:p>
        </w:tc>
        <w:tc>
          <w:tcPr>
            <w:tcW w:w="1017" w:type="dxa"/>
          </w:tcPr>
          <w:p w14:paraId="75BDB48B">
            <w:pPr>
              <w:pStyle w:val="27"/>
              <w:keepNext w:val="0"/>
              <w:keepLines w:val="0"/>
              <w:pageBreakBefore w:val="0"/>
              <w:widowControl w:val="0"/>
              <w:kinsoku w:val="0"/>
              <w:wordWrap/>
              <w:overflowPunct/>
              <w:topLinePunct w:val="0"/>
              <w:autoSpaceDE w:val="0"/>
              <w:autoSpaceDN w:val="0"/>
              <w:bidi w:val="0"/>
              <w:adjustRightInd w:val="0"/>
              <w:snapToGrid w:val="0"/>
              <w:spacing w:before="152" w:line="220" w:lineRule="auto"/>
              <w:ind w:left="202"/>
              <w:textAlignment w:val="baseline"/>
            </w:pPr>
          </w:p>
        </w:tc>
        <w:tc>
          <w:tcPr>
            <w:tcW w:w="1271" w:type="dxa"/>
          </w:tcPr>
          <w:p w14:paraId="7A74C2F1">
            <w:pPr>
              <w:pStyle w:val="27"/>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20"/>
              <w:textAlignment w:val="baseline"/>
            </w:pPr>
          </w:p>
        </w:tc>
        <w:tc>
          <w:tcPr>
            <w:tcW w:w="1383" w:type="dxa"/>
            <w:tcBorders>
              <w:right w:val="single" w:color="000000" w:sz="10" w:space="0"/>
            </w:tcBorders>
          </w:tcPr>
          <w:p w14:paraId="120E8B79">
            <w:pPr>
              <w:pStyle w:val="27"/>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436"/>
              <w:textAlignment w:val="baseline"/>
            </w:pPr>
          </w:p>
        </w:tc>
      </w:tr>
      <w:tr w14:paraId="7CAEAEF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03" w:hRule="atLeast"/>
        </w:trPr>
        <w:tc>
          <w:tcPr>
            <w:tcW w:w="845" w:type="dxa"/>
            <w:tcBorders>
              <w:left w:val="single" w:color="000000" w:sz="10" w:space="0"/>
              <w:bottom w:val="single" w:color="000000" w:sz="10" w:space="0"/>
            </w:tcBorders>
          </w:tcPr>
          <w:p w14:paraId="5787F63E">
            <w:pPr>
              <w:pStyle w:val="27"/>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195"/>
              <w:textAlignment w:val="baseline"/>
            </w:pPr>
          </w:p>
        </w:tc>
        <w:tc>
          <w:tcPr>
            <w:tcW w:w="881" w:type="dxa"/>
            <w:tcBorders>
              <w:bottom w:val="single" w:color="000000" w:sz="10" w:space="0"/>
            </w:tcBorders>
          </w:tcPr>
          <w:p w14:paraId="2BD69362">
            <w:pPr>
              <w:pStyle w:val="27"/>
              <w:keepNext w:val="0"/>
              <w:keepLines w:val="0"/>
              <w:pageBreakBefore w:val="0"/>
              <w:widowControl w:val="0"/>
              <w:kinsoku w:val="0"/>
              <w:wordWrap/>
              <w:overflowPunct/>
              <w:topLinePunct w:val="0"/>
              <w:autoSpaceDE w:val="0"/>
              <w:autoSpaceDN w:val="0"/>
              <w:bidi w:val="0"/>
              <w:adjustRightInd w:val="0"/>
              <w:snapToGrid w:val="0"/>
              <w:spacing w:before="157" w:line="219" w:lineRule="auto"/>
              <w:ind w:left="125"/>
              <w:textAlignment w:val="baseline"/>
            </w:pPr>
          </w:p>
        </w:tc>
        <w:tc>
          <w:tcPr>
            <w:tcW w:w="1274" w:type="dxa"/>
            <w:tcBorders>
              <w:bottom w:val="single" w:color="000000" w:sz="10" w:space="0"/>
            </w:tcBorders>
          </w:tcPr>
          <w:p w14:paraId="519DD42E">
            <w:pPr>
              <w:pStyle w:val="27"/>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10"/>
              <w:textAlignment w:val="baseline"/>
            </w:pPr>
          </w:p>
        </w:tc>
        <w:tc>
          <w:tcPr>
            <w:tcW w:w="957" w:type="dxa"/>
            <w:tcBorders>
              <w:bottom w:val="single" w:color="000000" w:sz="10" w:space="0"/>
            </w:tcBorders>
          </w:tcPr>
          <w:p w14:paraId="264D4828">
            <w:pPr>
              <w:pStyle w:val="27"/>
              <w:keepNext w:val="0"/>
              <w:keepLines w:val="0"/>
              <w:pageBreakBefore w:val="0"/>
              <w:widowControl w:val="0"/>
              <w:kinsoku w:val="0"/>
              <w:wordWrap/>
              <w:overflowPunct/>
              <w:topLinePunct w:val="0"/>
              <w:autoSpaceDE w:val="0"/>
              <w:autoSpaceDN w:val="0"/>
              <w:bidi w:val="0"/>
              <w:adjustRightInd w:val="0"/>
              <w:snapToGrid w:val="0"/>
              <w:spacing w:before="157" w:line="218" w:lineRule="auto"/>
              <w:ind w:left="164"/>
              <w:textAlignment w:val="baseline"/>
            </w:pPr>
          </w:p>
        </w:tc>
        <w:tc>
          <w:tcPr>
            <w:tcW w:w="1377" w:type="dxa"/>
            <w:tcBorders>
              <w:bottom w:val="single" w:color="000000" w:sz="10" w:space="0"/>
            </w:tcBorders>
          </w:tcPr>
          <w:p w14:paraId="324414F2">
            <w:pPr>
              <w:pStyle w:val="27"/>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67"/>
              <w:textAlignment w:val="baseline"/>
            </w:pPr>
          </w:p>
        </w:tc>
        <w:tc>
          <w:tcPr>
            <w:tcW w:w="1017" w:type="dxa"/>
            <w:tcBorders>
              <w:bottom w:val="single" w:color="000000" w:sz="10" w:space="0"/>
            </w:tcBorders>
          </w:tcPr>
          <w:p w14:paraId="0FD934D7">
            <w:pPr>
              <w:pStyle w:val="27"/>
              <w:keepNext w:val="0"/>
              <w:keepLines w:val="0"/>
              <w:pageBreakBefore w:val="0"/>
              <w:widowControl w:val="0"/>
              <w:kinsoku w:val="0"/>
              <w:wordWrap/>
              <w:overflowPunct/>
              <w:topLinePunct w:val="0"/>
              <w:autoSpaceDE w:val="0"/>
              <w:autoSpaceDN w:val="0"/>
              <w:bidi w:val="0"/>
              <w:adjustRightInd w:val="0"/>
              <w:snapToGrid w:val="0"/>
              <w:spacing w:before="157" w:line="220" w:lineRule="auto"/>
              <w:ind w:left="202"/>
              <w:textAlignment w:val="baseline"/>
            </w:pPr>
          </w:p>
        </w:tc>
        <w:tc>
          <w:tcPr>
            <w:tcW w:w="1271" w:type="dxa"/>
            <w:tcBorders>
              <w:bottom w:val="single" w:color="000000" w:sz="10" w:space="0"/>
            </w:tcBorders>
          </w:tcPr>
          <w:p w14:paraId="225C6788">
            <w:pPr>
              <w:pStyle w:val="27"/>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20"/>
              <w:textAlignment w:val="baseline"/>
            </w:pPr>
          </w:p>
        </w:tc>
        <w:tc>
          <w:tcPr>
            <w:tcW w:w="1383" w:type="dxa"/>
            <w:tcBorders>
              <w:bottom w:val="single" w:color="000000" w:sz="10" w:space="0"/>
              <w:right w:val="single" w:color="000000" w:sz="10" w:space="0"/>
            </w:tcBorders>
          </w:tcPr>
          <w:p w14:paraId="3E77818D">
            <w:pPr>
              <w:pStyle w:val="27"/>
              <w:keepNext w:val="0"/>
              <w:keepLines w:val="0"/>
              <w:pageBreakBefore w:val="0"/>
              <w:widowControl w:val="0"/>
              <w:kinsoku w:val="0"/>
              <w:wordWrap/>
              <w:overflowPunct/>
              <w:topLinePunct w:val="0"/>
              <w:autoSpaceDE w:val="0"/>
              <w:autoSpaceDN w:val="0"/>
              <w:bidi w:val="0"/>
              <w:adjustRightInd w:val="0"/>
              <w:snapToGrid w:val="0"/>
              <w:spacing w:before="157" w:line="219" w:lineRule="auto"/>
              <w:ind w:left="436"/>
              <w:textAlignment w:val="baseline"/>
            </w:pPr>
          </w:p>
        </w:tc>
      </w:tr>
    </w:tbl>
    <w:p w14:paraId="6C9B8326">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sdt>
      <w:sdtPr>
        <w:rPr>
          <w:rFonts w:ascii="宋体" w:hAnsi="宋体" w:eastAsia="宋体" w:cs="Arial"/>
          <w:snapToGrid w:val="0"/>
          <w:color w:val="000000"/>
          <w:kern w:val="0"/>
          <w:sz w:val="21"/>
          <w:szCs w:val="21"/>
          <w:lang w:val="en-US" w:eastAsia="en-US" w:bidi="ar-SA"/>
        </w:rPr>
        <w:id w:val="147471870"/>
        <w15:color w:val="DBDBDB"/>
        <w:docPartObj>
          <w:docPartGallery w:val="Table of Contents"/>
          <w:docPartUnique/>
        </w:docPartObj>
      </w:sdtPr>
      <w:sdtContent>
        <w:p w14:paraId="20D3F13A">
          <w:pPr>
            <w:spacing w:before="0" w:beforeLines="0" w:after="0" w:afterLines="0" w:line="240" w:lineRule="auto"/>
            <w:ind w:left="0" w:leftChars="0" w:right="0" w:rightChars="0" w:firstLine="0" w:firstLineChars="0"/>
            <w:jc w:val="center"/>
          </w:pPr>
          <w:r>
            <w:rPr>
              <w:rFonts w:ascii="宋体" w:hAnsi="宋体" w:eastAsia="宋体"/>
              <w:sz w:val="21"/>
            </w:rPr>
            <w:t>目录</w:t>
          </w:r>
        </w:p>
        <w:p w14:paraId="22CAD8A2">
          <w:pPr>
            <w:pStyle w:val="16"/>
            <w:tabs>
              <w:tab w:val="right" w:leader="dot" w:pos="8306"/>
            </w:tabs>
          </w:pPr>
          <w:r>
            <w:fldChar w:fldCharType="begin"/>
          </w:r>
          <w:r>
            <w:instrText xml:space="preserve">TOC \o "1-3" \h \u </w:instrText>
          </w:r>
          <w:r>
            <w:fldChar w:fldCharType="separate"/>
          </w:r>
          <w:r>
            <w:fldChar w:fldCharType="begin"/>
          </w:r>
          <w:r>
            <w:instrText xml:space="preserve"> HYPERLINK \l _Toc28889 </w:instrText>
          </w:r>
          <w:r>
            <w:fldChar w:fldCharType="separate"/>
          </w:r>
          <w:r>
            <w:rPr>
              <w:rFonts w:hint="eastAsia"/>
              <w:lang w:val="en-US" w:eastAsia="zh-CN"/>
            </w:rPr>
            <w:t>云南腾电科技有限公司</w:t>
          </w:r>
          <w:r>
            <w:tab/>
          </w:r>
          <w:r>
            <w:fldChar w:fldCharType="begin"/>
          </w:r>
          <w:r>
            <w:instrText xml:space="preserve"> PAGEREF _Toc28889 \h </w:instrText>
          </w:r>
          <w:r>
            <w:fldChar w:fldCharType="separate"/>
          </w:r>
          <w:r>
            <w:t>1</w:t>
          </w:r>
          <w:r>
            <w:fldChar w:fldCharType="end"/>
          </w:r>
          <w:r>
            <w:fldChar w:fldCharType="end"/>
          </w:r>
        </w:p>
        <w:p w14:paraId="42DC7AE7">
          <w:pPr>
            <w:pStyle w:val="16"/>
            <w:tabs>
              <w:tab w:val="right" w:leader="dot" w:pos="8306"/>
            </w:tabs>
          </w:pPr>
          <w:r>
            <w:fldChar w:fldCharType="begin"/>
          </w:r>
          <w:r>
            <w:instrText xml:space="preserve"> HYPERLINK \l _Toc1752 </w:instrText>
          </w:r>
          <w:r>
            <w:fldChar w:fldCharType="separate"/>
          </w:r>
          <w:r>
            <w:rPr>
              <w:rFonts w:hint="eastAsia"/>
              <w:lang w:val="en-US" w:eastAsia="zh-CN"/>
            </w:rPr>
            <w:t>客户沟通管理制度</w:t>
          </w:r>
          <w:r>
            <w:tab/>
          </w:r>
          <w:r>
            <w:fldChar w:fldCharType="begin"/>
          </w:r>
          <w:r>
            <w:instrText xml:space="preserve"> PAGEREF _Toc1752 \h </w:instrText>
          </w:r>
          <w:r>
            <w:fldChar w:fldCharType="separate"/>
          </w:r>
          <w:r>
            <w:t>1</w:t>
          </w:r>
          <w:r>
            <w:fldChar w:fldCharType="end"/>
          </w:r>
          <w:r>
            <w:fldChar w:fldCharType="end"/>
          </w:r>
        </w:p>
        <w:p w14:paraId="5B930EBE">
          <w:pPr>
            <w:pStyle w:val="16"/>
            <w:tabs>
              <w:tab w:val="right" w:leader="dot" w:pos="8306"/>
            </w:tabs>
          </w:pPr>
          <w:r>
            <w:fldChar w:fldCharType="begin"/>
          </w:r>
          <w:r>
            <w:instrText xml:space="preserve"> HYPERLINK \l _Toc30294 </w:instrText>
          </w:r>
          <w:r>
            <w:fldChar w:fldCharType="separate"/>
          </w:r>
          <w:r>
            <w:rPr>
              <w:rFonts w:hint="eastAsia"/>
              <w:lang w:val="en-US" w:eastAsia="zh-CN"/>
            </w:rPr>
            <w:t>（YNTD-ITSS-0406）</w:t>
          </w:r>
          <w:r>
            <w:tab/>
          </w:r>
          <w:r>
            <w:fldChar w:fldCharType="begin"/>
          </w:r>
          <w:r>
            <w:instrText xml:space="preserve"> PAGEREF _Toc30294 \h </w:instrText>
          </w:r>
          <w:r>
            <w:fldChar w:fldCharType="separate"/>
          </w:r>
          <w:r>
            <w:t>1</w:t>
          </w:r>
          <w:r>
            <w:fldChar w:fldCharType="end"/>
          </w:r>
          <w:r>
            <w:fldChar w:fldCharType="end"/>
          </w:r>
        </w:p>
        <w:p w14:paraId="18ADEEBB">
          <w:pPr>
            <w:pStyle w:val="16"/>
            <w:tabs>
              <w:tab w:val="right" w:leader="dot" w:pos="8306"/>
            </w:tabs>
          </w:pPr>
          <w:r>
            <w:fldChar w:fldCharType="begin"/>
          </w:r>
          <w:r>
            <w:instrText xml:space="preserve"> HYPERLINK \l _Toc7575 </w:instrText>
          </w:r>
          <w:r>
            <w:fldChar w:fldCharType="separate"/>
          </w:r>
          <w:r>
            <w:rPr>
              <w:rFonts w:ascii="宋体" w:hAnsi="宋体" w:eastAsia="宋体" w:cs="宋体"/>
              <w:bCs/>
              <w:spacing w:val="-4"/>
              <w:szCs w:val="30"/>
            </w:rPr>
            <w:t>文件编制和变更履历</w:t>
          </w:r>
          <w:r>
            <w:tab/>
          </w:r>
          <w:r>
            <w:fldChar w:fldCharType="begin"/>
          </w:r>
          <w:r>
            <w:instrText xml:space="preserve"> PAGEREF _Toc7575 \h </w:instrText>
          </w:r>
          <w:r>
            <w:fldChar w:fldCharType="separate"/>
          </w:r>
          <w:r>
            <w:t>2</w:t>
          </w:r>
          <w:r>
            <w:fldChar w:fldCharType="end"/>
          </w:r>
          <w:r>
            <w:fldChar w:fldCharType="end"/>
          </w:r>
        </w:p>
        <w:p w14:paraId="56323A44">
          <w:pPr>
            <w:pStyle w:val="16"/>
            <w:tabs>
              <w:tab w:val="right" w:leader="dot" w:pos="8306"/>
            </w:tabs>
          </w:pPr>
          <w:r>
            <w:fldChar w:fldCharType="begin"/>
          </w:r>
          <w:r>
            <w:instrText xml:space="preserve"> HYPERLINK \l _Toc26647 </w:instrText>
          </w:r>
          <w:r>
            <w:fldChar w:fldCharType="separate"/>
          </w:r>
          <w:r>
            <w:rPr>
              <w:rFonts w:hint="default"/>
              <w:lang w:val="en-US" w:eastAsia="zh-CN"/>
            </w:rPr>
            <w:t>1. 目的</w:t>
          </w:r>
          <w:r>
            <w:tab/>
          </w:r>
          <w:r>
            <w:fldChar w:fldCharType="begin"/>
          </w:r>
          <w:r>
            <w:instrText xml:space="preserve"> PAGEREF _Toc26647 \h </w:instrText>
          </w:r>
          <w:r>
            <w:fldChar w:fldCharType="separate"/>
          </w:r>
          <w:r>
            <w:t>4</w:t>
          </w:r>
          <w:r>
            <w:fldChar w:fldCharType="end"/>
          </w:r>
          <w:r>
            <w:fldChar w:fldCharType="end"/>
          </w:r>
        </w:p>
        <w:p w14:paraId="05CC73D3">
          <w:pPr>
            <w:pStyle w:val="16"/>
            <w:tabs>
              <w:tab w:val="right" w:leader="dot" w:pos="8306"/>
            </w:tabs>
          </w:pPr>
          <w:r>
            <w:fldChar w:fldCharType="begin"/>
          </w:r>
          <w:r>
            <w:instrText xml:space="preserve"> HYPERLINK \l _Toc9085 </w:instrText>
          </w:r>
          <w:r>
            <w:fldChar w:fldCharType="separate"/>
          </w:r>
          <w:r>
            <w:rPr>
              <w:rFonts w:hint="default"/>
              <w:lang w:val="en-US" w:eastAsia="zh-CN"/>
            </w:rPr>
            <w:t>2. 适用范围</w:t>
          </w:r>
          <w:r>
            <w:tab/>
          </w:r>
          <w:r>
            <w:fldChar w:fldCharType="begin"/>
          </w:r>
          <w:r>
            <w:instrText xml:space="preserve"> PAGEREF _Toc9085 \h </w:instrText>
          </w:r>
          <w:r>
            <w:fldChar w:fldCharType="separate"/>
          </w:r>
          <w:r>
            <w:t>4</w:t>
          </w:r>
          <w:r>
            <w:fldChar w:fldCharType="end"/>
          </w:r>
          <w:r>
            <w:fldChar w:fldCharType="end"/>
          </w:r>
        </w:p>
        <w:p w14:paraId="48E58D80">
          <w:pPr>
            <w:pStyle w:val="16"/>
            <w:tabs>
              <w:tab w:val="right" w:leader="dot" w:pos="8306"/>
            </w:tabs>
          </w:pPr>
          <w:r>
            <w:fldChar w:fldCharType="begin"/>
          </w:r>
          <w:r>
            <w:instrText xml:space="preserve"> HYPERLINK \l _Toc19848 </w:instrText>
          </w:r>
          <w:r>
            <w:fldChar w:fldCharType="separate"/>
          </w:r>
          <w:r>
            <w:rPr>
              <w:rFonts w:hint="default"/>
              <w:lang w:val="en-US" w:eastAsia="zh-CN"/>
            </w:rPr>
            <w:t>3. 职责</w:t>
          </w:r>
          <w:r>
            <w:tab/>
          </w:r>
          <w:r>
            <w:fldChar w:fldCharType="begin"/>
          </w:r>
          <w:r>
            <w:instrText xml:space="preserve"> PAGEREF _Toc19848 \h </w:instrText>
          </w:r>
          <w:r>
            <w:fldChar w:fldCharType="separate"/>
          </w:r>
          <w:r>
            <w:t>4</w:t>
          </w:r>
          <w:r>
            <w:fldChar w:fldCharType="end"/>
          </w:r>
          <w:r>
            <w:fldChar w:fldCharType="end"/>
          </w:r>
        </w:p>
        <w:p w14:paraId="7E9CBD96">
          <w:pPr>
            <w:pStyle w:val="16"/>
            <w:tabs>
              <w:tab w:val="right" w:leader="dot" w:pos="8306"/>
            </w:tabs>
          </w:pPr>
          <w:r>
            <w:fldChar w:fldCharType="begin"/>
          </w:r>
          <w:r>
            <w:instrText xml:space="preserve"> HYPERLINK \l _Toc29666 </w:instrText>
          </w:r>
          <w:r>
            <w:fldChar w:fldCharType="separate"/>
          </w:r>
          <w:r>
            <w:rPr>
              <w:rFonts w:hint="default"/>
              <w:lang w:val="en-US" w:eastAsia="zh-CN"/>
            </w:rPr>
            <w:t>4. 工作程序</w:t>
          </w:r>
          <w:r>
            <w:tab/>
          </w:r>
          <w:r>
            <w:fldChar w:fldCharType="begin"/>
          </w:r>
          <w:r>
            <w:instrText xml:space="preserve"> PAGEREF _Toc29666 \h </w:instrText>
          </w:r>
          <w:r>
            <w:fldChar w:fldCharType="separate"/>
          </w:r>
          <w:r>
            <w:t>4</w:t>
          </w:r>
          <w:r>
            <w:fldChar w:fldCharType="end"/>
          </w:r>
          <w:r>
            <w:fldChar w:fldCharType="end"/>
          </w:r>
        </w:p>
        <w:p w14:paraId="3FA9F716">
          <w:pPr>
            <w:pStyle w:val="17"/>
            <w:tabs>
              <w:tab w:val="right" w:leader="dot" w:pos="8306"/>
            </w:tabs>
          </w:pPr>
          <w:r>
            <w:fldChar w:fldCharType="begin"/>
          </w:r>
          <w:r>
            <w:instrText xml:space="preserve"> HYPERLINK \l _Toc10197 </w:instrText>
          </w:r>
          <w:r>
            <w:fldChar w:fldCharType="separate"/>
          </w:r>
          <w:r>
            <w:rPr>
              <w:rFonts w:hint="default"/>
              <w:lang w:val="en-US" w:eastAsia="zh-CN"/>
            </w:rPr>
            <w:t>4.1. 高层主动沟通</w:t>
          </w:r>
          <w:r>
            <w:tab/>
          </w:r>
          <w:r>
            <w:fldChar w:fldCharType="begin"/>
          </w:r>
          <w:r>
            <w:instrText xml:space="preserve"> PAGEREF _Toc10197 \h </w:instrText>
          </w:r>
          <w:r>
            <w:fldChar w:fldCharType="separate"/>
          </w:r>
          <w:r>
            <w:t>4</w:t>
          </w:r>
          <w:r>
            <w:fldChar w:fldCharType="end"/>
          </w:r>
          <w:r>
            <w:fldChar w:fldCharType="end"/>
          </w:r>
        </w:p>
        <w:p w14:paraId="03BD12E5">
          <w:pPr>
            <w:pStyle w:val="17"/>
            <w:tabs>
              <w:tab w:val="right" w:leader="dot" w:pos="8306"/>
            </w:tabs>
          </w:pPr>
          <w:r>
            <w:fldChar w:fldCharType="begin"/>
          </w:r>
          <w:r>
            <w:instrText xml:space="preserve"> HYPERLINK \l _Toc6570 </w:instrText>
          </w:r>
          <w:r>
            <w:fldChar w:fldCharType="separate"/>
          </w:r>
          <w:r>
            <w:rPr>
              <w:rFonts w:hint="default"/>
              <w:lang w:val="en-US" w:eastAsia="zh-CN"/>
            </w:rPr>
            <w:t>4.2. 4.2 服务报告</w:t>
          </w:r>
          <w:r>
            <w:tab/>
          </w:r>
          <w:r>
            <w:fldChar w:fldCharType="begin"/>
          </w:r>
          <w:r>
            <w:instrText xml:space="preserve"> PAGEREF _Toc6570 \h </w:instrText>
          </w:r>
          <w:r>
            <w:fldChar w:fldCharType="separate"/>
          </w:r>
          <w:r>
            <w:t>4</w:t>
          </w:r>
          <w:r>
            <w:fldChar w:fldCharType="end"/>
          </w:r>
          <w:r>
            <w:fldChar w:fldCharType="end"/>
          </w:r>
        </w:p>
        <w:p w14:paraId="4E21B3CE">
          <w:pPr>
            <w:pStyle w:val="17"/>
            <w:tabs>
              <w:tab w:val="right" w:leader="dot" w:pos="8306"/>
            </w:tabs>
          </w:pPr>
          <w:r>
            <w:fldChar w:fldCharType="begin"/>
          </w:r>
          <w:r>
            <w:instrText xml:space="preserve"> HYPERLINK \l _Toc21267 </w:instrText>
          </w:r>
          <w:r>
            <w:fldChar w:fldCharType="separate"/>
          </w:r>
          <w:r>
            <w:rPr>
              <w:rFonts w:hint="default"/>
              <w:lang w:val="en-US" w:eastAsia="zh-CN"/>
            </w:rPr>
            <w:t>4.3. 服务台沟通渠道</w:t>
          </w:r>
          <w:r>
            <w:tab/>
          </w:r>
          <w:r>
            <w:fldChar w:fldCharType="begin"/>
          </w:r>
          <w:r>
            <w:instrText xml:space="preserve"> PAGEREF _Toc21267 \h </w:instrText>
          </w:r>
          <w:r>
            <w:fldChar w:fldCharType="separate"/>
          </w:r>
          <w:r>
            <w:t>4</w:t>
          </w:r>
          <w:r>
            <w:fldChar w:fldCharType="end"/>
          </w:r>
          <w:r>
            <w:fldChar w:fldCharType="end"/>
          </w:r>
        </w:p>
        <w:p w14:paraId="6C09053C">
          <w:pPr>
            <w:pStyle w:val="17"/>
            <w:tabs>
              <w:tab w:val="right" w:leader="dot" w:pos="8306"/>
            </w:tabs>
          </w:pPr>
          <w:r>
            <w:fldChar w:fldCharType="begin"/>
          </w:r>
          <w:r>
            <w:instrText xml:space="preserve"> HYPERLINK \l _Toc4687 </w:instrText>
          </w:r>
          <w:r>
            <w:fldChar w:fldCharType="separate"/>
          </w:r>
          <w:r>
            <w:rPr>
              <w:rFonts w:hint="default"/>
              <w:lang w:val="en-US" w:eastAsia="zh-CN"/>
            </w:rPr>
            <w:t>4.4. 客户投诉管理</w:t>
          </w:r>
          <w:r>
            <w:tab/>
          </w:r>
          <w:r>
            <w:fldChar w:fldCharType="begin"/>
          </w:r>
          <w:r>
            <w:instrText xml:space="preserve"> PAGEREF _Toc4687 \h </w:instrText>
          </w:r>
          <w:r>
            <w:fldChar w:fldCharType="separate"/>
          </w:r>
          <w:r>
            <w:t>4</w:t>
          </w:r>
          <w:r>
            <w:fldChar w:fldCharType="end"/>
          </w:r>
          <w:r>
            <w:fldChar w:fldCharType="end"/>
          </w:r>
        </w:p>
        <w:p w14:paraId="31F1EF5F">
          <w:pPr>
            <w:pStyle w:val="17"/>
            <w:tabs>
              <w:tab w:val="right" w:leader="dot" w:pos="8306"/>
            </w:tabs>
          </w:pPr>
          <w:r>
            <w:fldChar w:fldCharType="begin"/>
          </w:r>
          <w:r>
            <w:instrText xml:space="preserve"> HYPERLINK \l _Toc2468 </w:instrText>
          </w:r>
          <w:r>
            <w:fldChar w:fldCharType="separate"/>
          </w:r>
          <w:r>
            <w:rPr>
              <w:rFonts w:hint="default"/>
              <w:lang w:val="en-US" w:eastAsia="zh-CN"/>
            </w:rPr>
            <w:t>4.5. 客户满意度管理</w:t>
          </w:r>
          <w:r>
            <w:tab/>
          </w:r>
          <w:r>
            <w:fldChar w:fldCharType="begin"/>
          </w:r>
          <w:r>
            <w:instrText xml:space="preserve"> PAGEREF _Toc2468 \h </w:instrText>
          </w:r>
          <w:r>
            <w:fldChar w:fldCharType="separate"/>
          </w:r>
          <w:r>
            <w:t>5</w:t>
          </w:r>
          <w:r>
            <w:fldChar w:fldCharType="end"/>
          </w:r>
          <w:r>
            <w:fldChar w:fldCharType="end"/>
          </w:r>
        </w:p>
        <w:p w14:paraId="2E4C04E5">
          <w:pPr>
            <w:pStyle w:val="16"/>
            <w:tabs>
              <w:tab w:val="right" w:leader="dot" w:pos="8306"/>
            </w:tabs>
          </w:pPr>
          <w:r>
            <w:fldChar w:fldCharType="begin"/>
          </w:r>
          <w:r>
            <w:instrText xml:space="preserve"> HYPERLINK \l _Toc24117 </w:instrText>
          </w:r>
          <w:r>
            <w:fldChar w:fldCharType="separate"/>
          </w:r>
          <w:r>
            <w:rPr>
              <w:rFonts w:hint="default"/>
              <w:lang w:val="en-US" w:eastAsia="zh-CN"/>
            </w:rPr>
            <w:t>5. 沟通机制</w:t>
          </w:r>
          <w:r>
            <w:tab/>
          </w:r>
          <w:r>
            <w:fldChar w:fldCharType="begin"/>
          </w:r>
          <w:r>
            <w:instrText xml:space="preserve"> PAGEREF _Toc24117 \h </w:instrText>
          </w:r>
          <w:r>
            <w:fldChar w:fldCharType="separate"/>
          </w:r>
          <w:r>
            <w:t>5</w:t>
          </w:r>
          <w:r>
            <w:fldChar w:fldCharType="end"/>
          </w:r>
          <w:r>
            <w:fldChar w:fldCharType="end"/>
          </w:r>
        </w:p>
        <w:p w14:paraId="77F54FB7">
          <w:pPr>
            <w:pStyle w:val="17"/>
            <w:tabs>
              <w:tab w:val="right" w:leader="dot" w:pos="8306"/>
            </w:tabs>
          </w:pPr>
          <w:r>
            <w:fldChar w:fldCharType="begin"/>
          </w:r>
          <w:r>
            <w:instrText xml:space="preserve"> HYPERLINK \l _Toc25539 </w:instrText>
          </w:r>
          <w:r>
            <w:fldChar w:fldCharType="separate"/>
          </w:r>
          <w:r>
            <w:rPr>
              <w:rFonts w:hint="default"/>
              <w:lang w:val="en-US" w:eastAsia="zh-CN"/>
            </w:rPr>
            <w:t>5.1. 电话沟通</w:t>
          </w:r>
          <w:r>
            <w:tab/>
          </w:r>
          <w:r>
            <w:fldChar w:fldCharType="begin"/>
          </w:r>
          <w:r>
            <w:instrText xml:space="preserve"> PAGEREF _Toc25539 \h </w:instrText>
          </w:r>
          <w:r>
            <w:fldChar w:fldCharType="separate"/>
          </w:r>
          <w:r>
            <w:t>5</w:t>
          </w:r>
          <w:r>
            <w:fldChar w:fldCharType="end"/>
          </w:r>
          <w:r>
            <w:fldChar w:fldCharType="end"/>
          </w:r>
        </w:p>
        <w:p w14:paraId="57C56F4F">
          <w:pPr>
            <w:pStyle w:val="17"/>
            <w:tabs>
              <w:tab w:val="right" w:leader="dot" w:pos="8306"/>
            </w:tabs>
          </w:pPr>
          <w:r>
            <w:fldChar w:fldCharType="begin"/>
          </w:r>
          <w:r>
            <w:instrText xml:space="preserve"> HYPERLINK \l _Toc28810 </w:instrText>
          </w:r>
          <w:r>
            <w:fldChar w:fldCharType="separate"/>
          </w:r>
          <w:r>
            <w:rPr>
              <w:rFonts w:hint="default"/>
              <w:lang w:val="en-US" w:eastAsia="zh-CN"/>
            </w:rPr>
            <w:t>5.2. 邮件沟通</w:t>
          </w:r>
          <w:r>
            <w:tab/>
          </w:r>
          <w:r>
            <w:fldChar w:fldCharType="begin"/>
          </w:r>
          <w:r>
            <w:instrText xml:space="preserve"> PAGEREF _Toc28810 \h </w:instrText>
          </w:r>
          <w:r>
            <w:fldChar w:fldCharType="separate"/>
          </w:r>
          <w:r>
            <w:t>5</w:t>
          </w:r>
          <w:r>
            <w:fldChar w:fldCharType="end"/>
          </w:r>
          <w:r>
            <w:fldChar w:fldCharType="end"/>
          </w:r>
        </w:p>
        <w:p w14:paraId="2DDE7437">
          <w:pPr>
            <w:pStyle w:val="17"/>
            <w:tabs>
              <w:tab w:val="right" w:leader="dot" w:pos="8306"/>
            </w:tabs>
          </w:pPr>
          <w:r>
            <w:fldChar w:fldCharType="begin"/>
          </w:r>
          <w:r>
            <w:instrText xml:space="preserve"> HYPERLINK \l _Toc15444 </w:instrText>
          </w:r>
          <w:r>
            <w:fldChar w:fldCharType="separate"/>
          </w:r>
          <w:r>
            <w:rPr>
              <w:rFonts w:hint="default"/>
              <w:lang w:val="en-US" w:eastAsia="zh-CN"/>
            </w:rPr>
            <w:t>5.3. 会议</w:t>
          </w:r>
          <w:r>
            <w:tab/>
          </w:r>
          <w:r>
            <w:fldChar w:fldCharType="begin"/>
          </w:r>
          <w:r>
            <w:instrText xml:space="preserve"> PAGEREF _Toc15444 \h </w:instrText>
          </w:r>
          <w:r>
            <w:fldChar w:fldCharType="separate"/>
          </w:r>
          <w:r>
            <w:t>5</w:t>
          </w:r>
          <w:r>
            <w:fldChar w:fldCharType="end"/>
          </w:r>
          <w:r>
            <w:fldChar w:fldCharType="end"/>
          </w:r>
        </w:p>
        <w:p w14:paraId="37528F7C">
          <w:pPr>
            <w:pStyle w:val="16"/>
            <w:tabs>
              <w:tab w:val="right" w:leader="dot" w:pos="8306"/>
            </w:tabs>
          </w:pPr>
          <w:r>
            <w:fldChar w:fldCharType="begin"/>
          </w:r>
          <w:r>
            <w:instrText xml:space="preserve"> HYPERLINK \l _Toc25412 </w:instrText>
          </w:r>
          <w:r>
            <w:fldChar w:fldCharType="separate"/>
          </w:r>
          <w:r>
            <w:rPr>
              <w:rFonts w:hint="default"/>
              <w:lang w:val="en-US" w:eastAsia="zh-CN"/>
            </w:rPr>
            <w:t>6. 相关记录</w:t>
          </w:r>
          <w:r>
            <w:tab/>
          </w:r>
          <w:r>
            <w:fldChar w:fldCharType="begin"/>
          </w:r>
          <w:r>
            <w:instrText xml:space="preserve"> PAGEREF _Toc25412 \h </w:instrText>
          </w:r>
          <w:r>
            <w:fldChar w:fldCharType="separate"/>
          </w:r>
          <w:r>
            <w:t>6</w:t>
          </w:r>
          <w:r>
            <w:fldChar w:fldCharType="end"/>
          </w:r>
          <w:r>
            <w:fldChar w:fldCharType="end"/>
          </w:r>
        </w:p>
        <w:p w14:paraId="4F4CDA6A">
          <w:r>
            <w:fldChar w:fldCharType="end"/>
          </w:r>
        </w:p>
      </w:sdtContent>
    </w:sdt>
    <w:p w14:paraId="7D34DE8E">
      <w:bookmarkStart w:id="18" w:name="_GoBack"/>
      <w:bookmarkEnd w:id="18"/>
    </w:p>
    <w:p w14:paraId="161F85B7">
      <w:pPr>
        <w:rPr>
          <w:rFonts w:hint="default"/>
          <w:lang w:val="en-US" w:eastAsia="zh-CN"/>
        </w:rPr>
      </w:pPr>
      <w:r>
        <w:rPr>
          <w:rFonts w:hint="default"/>
          <w:lang w:val="en-US" w:eastAsia="zh-CN"/>
        </w:rPr>
        <w:br w:type="page"/>
      </w:r>
    </w:p>
    <w:p w14:paraId="2CACE296">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 w:name="_Toc26647"/>
      <w:r>
        <w:rPr>
          <w:rFonts w:hint="default"/>
          <w:lang w:val="en-US" w:eastAsia="zh-CN"/>
        </w:rPr>
        <w:t>目的</w:t>
      </w:r>
      <w:bookmarkEnd w:id="4"/>
    </w:p>
    <w:p w14:paraId="56936FB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与顾客进行有效的沟通，及时解决顾客提出的问题，了解顾客的需求。</w:t>
      </w:r>
    </w:p>
    <w:p w14:paraId="0EC6BE6B">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 w:name="_Toc9085"/>
      <w:r>
        <w:rPr>
          <w:rFonts w:hint="default"/>
          <w:lang w:val="en-US" w:eastAsia="zh-CN"/>
        </w:rPr>
        <w:t>适用范围</w:t>
      </w:r>
      <w:bookmarkEnd w:id="5"/>
    </w:p>
    <w:p w14:paraId="1E5CC98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适用于本公司所有运维服务项目。</w:t>
      </w:r>
    </w:p>
    <w:p w14:paraId="7E957203">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 w:name="_Toc19848"/>
      <w:r>
        <w:rPr>
          <w:rFonts w:hint="default"/>
          <w:lang w:val="en-US" w:eastAsia="zh-CN"/>
        </w:rPr>
        <w:t>职责</w:t>
      </w:r>
      <w:bookmarkEnd w:id="6"/>
    </w:p>
    <w:p w14:paraId="6439138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公司高层负责与客户高层沟通。</w:t>
      </w:r>
    </w:p>
    <w:p w14:paraId="6C16F41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运维部</w:t>
      </w:r>
      <w:r>
        <w:rPr>
          <w:rFonts w:hint="default"/>
          <w:lang w:val="en-US" w:eastAsia="zh-CN"/>
        </w:rPr>
        <w:t>负责保持服务台渠道的畅通和投诉的有效处理，及时向客户提交运维服务报告。</w:t>
      </w:r>
    </w:p>
    <w:p w14:paraId="36D6D14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质量部</w:t>
      </w:r>
      <w:r>
        <w:rPr>
          <w:rFonts w:hint="default"/>
          <w:lang w:val="en-US" w:eastAsia="zh-CN"/>
        </w:rPr>
        <w:t>负责客户投诉得到妥善处理，并组织进行客户满意度调查。</w:t>
      </w:r>
    </w:p>
    <w:p w14:paraId="703D28DA">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7" w:name="_Toc29666"/>
      <w:r>
        <w:rPr>
          <w:rFonts w:hint="default"/>
          <w:lang w:val="en-US" w:eastAsia="zh-CN"/>
        </w:rPr>
        <w:t>工作程序</w:t>
      </w:r>
      <w:bookmarkEnd w:id="7"/>
    </w:p>
    <w:p w14:paraId="7B391B6D">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8" w:name="_Toc10197"/>
      <w:r>
        <w:rPr>
          <w:rFonts w:hint="default"/>
          <w:lang w:val="en-US" w:eastAsia="zh-CN"/>
        </w:rPr>
        <w:t>高层主动沟通</w:t>
      </w:r>
      <w:bookmarkEnd w:id="8"/>
    </w:p>
    <w:p w14:paraId="2DFF70D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公司高层应在每年年底需对重要客户高层领导进行一次业务沟通汇报，应向客户领导汇报公司业务发展情况，了解客户需求，听取客户领导层对运维项目的总体意见和建议。</w:t>
      </w:r>
    </w:p>
    <w:p w14:paraId="3428B151">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9" w:name="_Toc6570"/>
      <w:r>
        <w:rPr>
          <w:rFonts w:hint="default"/>
          <w:lang w:val="en-US" w:eastAsia="zh-CN"/>
        </w:rPr>
        <w:t>4.2 服务报告</w:t>
      </w:r>
      <w:bookmarkEnd w:id="9"/>
    </w:p>
    <w:p w14:paraId="18207A0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运维部</w:t>
      </w:r>
      <w:r>
        <w:rPr>
          <w:rFonts w:hint="default"/>
          <w:lang w:val="en-US" w:eastAsia="zh-CN"/>
        </w:rPr>
        <w:t>应严格按照与客户签订的服务级别协议，定期向客户提供运维服务报告，总结SLA达成情况，提出改进方向。提供的服务报告应获得客户的确认。</w:t>
      </w:r>
    </w:p>
    <w:p w14:paraId="5C6510FC">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0" w:name="_Toc21267"/>
      <w:r>
        <w:rPr>
          <w:rFonts w:hint="default"/>
          <w:lang w:val="en-US" w:eastAsia="zh-CN"/>
        </w:rPr>
        <w:t>服务台沟通渠道</w:t>
      </w:r>
      <w:bookmarkEnd w:id="10"/>
    </w:p>
    <w:p w14:paraId="37FE65D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运维部</w:t>
      </w:r>
      <w:r>
        <w:rPr>
          <w:rFonts w:hint="default"/>
          <w:lang w:val="en-US" w:eastAsia="zh-CN"/>
        </w:rPr>
        <w:t>与客户签订服务合同后，将</w:t>
      </w:r>
      <w:r>
        <w:rPr>
          <w:rFonts w:hint="eastAsia"/>
          <w:lang w:val="en-US" w:eastAsia="zh-CN"/>
        </w:rPr>
        <w:t>服务台</w:t>
      </w:r>
      <w:r>
        <w:rPr>
          <w:rFonts w:hint="default"/>
          <w:lang w:val="en-US" w:eastAsia="zh-CN"/>
        </w:rPr>
        <w:t>的沟通方式第一时间传达给客户。按照事件处理流程，服务台应将在事件处理完成后及时进行事件抽样做满意度调查。</w:t>
      </w:r>
    </w:p>
    <w:p w14:paraId="489B46A6">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1" w:name="_Toc4687"/>
      <w:r>
        <w:rPr>
          <w:rFonts w:hint="default"/>
          <w:lang w:val="en-US" w:eastAsia="zh-CN"/>
        </w:rPr>
        <w:t>客户投诉管理</w:t>
      </w:r>
      <w:bookmarkEnd w:id="11"/>
    </w:p>
    <w:p w14:paraId="6CA65D8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在公司与客户签订服务合同后，</w:t>
      </w:r>
      <w:r>
        <w:rPr>
          <w:rFonts w:hint="eastAsia"/>
          <w:lang w:val="en-US" w:eastAsia="zh-CN"/>
        </w:rPr>
        <w:t>运维人员</w:t>
      </w:r>
      <w:r>
        <w:rPr>
          <w:rFonts w:hint="default"/>
          <w:lang w:val="en-US" w:eastAsia="zh-CN"/>
        </w:rPr>
        <w:t>应第一时间将投诉热线公布给客户。由</w:t>
      </w:r>
      <w:r>
        <w:rPr>
          <w:rFonts w:hint="eastAsia"/>
          <w:lang w:val="en-US" w:eastAsia="zh-CN"/>
        </w:rPr>
        <w:t>运维</w:t>
      </w:r>
      <w:r>
        <w:rPr>
          <w:rFonts w:hint="default"/>
          <w:lang w:val="en-US" w:eastAsia="zh-CN"/>
        </w:rPr>
        <w:t>部负责投诉的具体处理，对投诉的处理进行跟踪与监督，确保投诉得到妥善解决。具体参见《客户投诉管理制度》。</w:t>
      </w:r>
    </w:p>
    <w:p w14:paraId="4370FEB3">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2" w:name="_Toc2468"/>
      <w:r>
        <w:rPr>
          <w:rFonts w:hint="default"/>
          <w:lang w:val="en-US" w:eastAsia="zh-CN"/>
        </w:rPr>
        <w:t>客户满意度管理</w:t>
      </w:r>
      <w:bookmarkEnd w:id="12"/>
    </w:p>
    <w:p w14:paraId="0E90F21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为了整体掌握客户对公司运维服务的满意度，</w:t>
      </w:r>
      <w:r>
        <w:rPr>
          <w:rFonts w:hint="eastAsia"/>
          <w:lang w:val="en-US" w:eastAsia="zh-CN"/>
        </w:rPr>
        <w:t>质量部</w:t>
      </w:r>
      <w:r>
        <w:rPr>
          <w:rFonts w:hint="default"/>
          <w:lang w:val="en-US" w:eastAsia="zh-CN"/>
        </w:rPr>
        <w:t>应定期组织客户满意度调查。具体参见《客户满意度调查管理制度》。</w:t>
      </w:r>
    </w:p>
    <w:p w14:paraId="362480A8">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3" w:name="_Toc24117"/>
      <w:r>
        <w:rPr>
          <w:rFonts w:hint="default"/>
          <w:lang w:val="en-US" w:eastAsia="zh-CN"/>
        </w:rPr>
        <w:t>沟通机制</w:t>
      </w:r>
      <w:bookmarkEnd w:id="13"/>
    </w:p>
    <w:p w14:paraId="51CE283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与客户的沟通主要通过以下方式：</w:t>
      </w:r>
    </w:p>
    <w:p w14:paraId="4F02D30F">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电话沟通；</w:t>
      </w:r>
    </w:p>
    <w:p w14:paraId="4A3B5AB5">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邮件沟通；</w:t>
      </w:r>
    </w:p>
    <w:p w14:paraId="2F5BF7FA">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会议（现场会议、电话会议、网络会议）；</w:t>
      </w:r>
    </w:p>
    <w:p w14:paraId="36D80D12">
      <w:pPr>
        <w:pStyle w:val="30"/>
        <w:bidi w:val="0"/>
        <w:rPr>
          <w:rFonts w:hint="default"/>
          <w:lang w:val="en-US" w:eastAsia="zh-CN"/>
        </w:rPr>
      </w:pPr>
      <w:bookmarkStart w:id="14" w:name="_Toc25539"/>
      <w:r>
        <w:rPr>
          <w:rFonts w:hint="default"/>
          <w:lang w:val="en-US" w:eastAsia="zh-CN"/>
        </w:rPr>
        <w:t>电话沟通</w:t>
      </w:r>
      <w:bookmarkEnd w:id="14"/>
    </w:p>
    <w:p w14:paraId="4B2CA71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电话沟通主要适用于需要及时反馈的远程请求应答和事件解决，服务台和运维工程师在日常运维工作中，主要沟通电话和客户沟通，处理客户的服务请求、解决客户遇到的问题。</w:t>
      </w:r>
    </w:p>
    <w:p w14:paraId="6381DB5E">
      <w:pPr>
        <w:pStyle w:val="30"/>
        <w:bidi w:val="0"/>
        <w:rPr>
          <w:rFonts w:hint="default"/>
          <w:lang w:val="en-US" w:eastAsia="zh-CN"/>
        </w:rPr>
      </w:pPr>
      <w:bookmarkStart w:id="15" w:name="_Toc28810"/>
      <w:r>
        <w:rPr>
          <w:rFonts w:hint="default"/>
          <w:lang w:val="en-US" w:eastAsia="zh-CN"/>
        </w:rPr>
        <w:t>邮件沟通</w:t>
      </w:r>
      <w:bookmarkEnd w:id="15"/>
    </w:p>
    <w:p w14:paraId="49ADC33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邮件沟通是一种比较正式的沟通方式，服务台及运维工程师均可以通过邮件处理客户的无需及时反馈的服务请求及事件解决。重要的且需要要得到客户反馈的沟通建议使用邮件沟通方式。</w:t>
      </w:r>
    </w:p>
    <w:p w14:paraId="61011022">
      <w:pPr>
        <w:pStyle w:val="30"/>
        <w:bidi w:val="0"/>
        <w:rPr>
          <w:rFonts w:hint="default"/>
          <w:lang w:val="en-US" w:eastAsia="zh-CN"/>
        </w:rPr>
      </w:pPr>
      <w:bookmarkStart w:id="16" w:name="_Toc15444"/>
      <w:r>
        <w:rPr>
          <w:rFonts w:hint="default"/>
          <w:lang w:val="en-US" w:eastAsia="zh-CN"/>
        </w:rPr>
        <w:t>会议</w:t>
      </w:r>
      <w:bookmarkEnd w:id="16"/>
    </w:p>
    <w:p w14:paraId="543E3DD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会议沟通是最正式和有效的的沟通方式，项目经理根据与客户签订的服务合同安排各种沟通会议，例如：运维需求沟通会、运维服务报告会、运维服务验收会、专题沟通会等。</w:t>
      </w:r>
    </w:p>
    <w:p w14:paraId="794CEA3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在会议之前，项目经理需提前准备沟通内容，并做好会议安排，会议结束后需要编制相应的会议纪要并得到客户的确认。</w:t>
      </w:r>
    </w:p>
    <w:p w14:paraId="3C7510A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运维需求沟通会由项目经理组织发起，在运维前期和客户沟通，主要获取客户的运维需求。</w:t>
      </w:r>
    </w:p>
    <w:p w14:paraId="2A55D0A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运维服务报告会由</w:t>
      </w:r>
      <w:r>
        <w:rPr>
          <w:rFonts w:hint="eastAsia"/>
          <w:lang w:val="en-US" w:eastAsia="zh-CN"/>
        </w:rPr>
        <w:t>项目经理</w:t>
      </w:r>
      <w:r>
        <w:rPr>
          <w:rFonts w:hint="default"/>
          <w:lang w:val="en-US" w:eastAsia="zh-CN"/>
        </w:rPr>
        <w:t>组织发起，在运维过程中主要向客户汇报某一段周期内的运维服务遵守情况，项目运维过程中遇到的关键问题及处理情况等，按照服务协议要求定期进行运维服务情况汇报。</w:t>
      </w:r>
    </w:p>
    <w:p w14:paraId="6FD6A5A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运维服务验收会由</w:t>
      </w:r>
      <w:r>
        <w:rPr>
          <w:rFonts w:hint="eastAsia"/>
          <w:lang w:val="en-US" w:eastAsia="zh-CN"/>
        </w:rPr>
        <w:t>项目经理</w:t>
      </w:r>
      <w:r>
        <w:rPr>
          <w:rFonts w:hint="default"/>
          <w:lang w:val="en-US" w:eastAsia="zh-CN"/>
        </w:rPr>
        <w:t>组织发起，在运维项目结束时向客户总体汇报此运维服务的情况，SLA满足情况，事件和问题处理情况，客户投诉处理等，并最终由客户验收运维项目。</w:t>
      </w:r>
    </w:p>
    <w:p w14:paraId="2FF321D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在运维过程中如果遇到重大服务变更事项或重大服务事故，可临时召开专题沟通会议。专题沟通会议需明确沟通主题及参会人员，并针对沟通的问题形成结论，在会议纪要中记录。</w:t>
      </w:r>
    </w:p>
    <w:p w14:paraId="5B8FD94B">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7" w:name="_Toc25412"/>
      <w:r>
        <w:rPr>
          <w:rFonts w:hint="default"/>
          <w:lang w:val="en-US" w:eastAsia="zh-CN"/>
        </w:rPr>
        <w:t>相关记录</w:t>
      </w:r>
      <w:bookmarkEnd w:id="17"/>
    </w:p>
    <w:p w14:paraId="24A4C51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《项目沟通记录》</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6C9F46CC"/>
    <w:multiLevelType w:val="singleLevel"/>
    <w:tmpl w:val="6C9F46CC"/>
    <w:lvl w:ilvl="0" w:tentative="0">
      <w:start w:val="1"/>
      <w:numFmt w:val="decimal"/>
      <w:lvlText w:val="%1."/>
      <w:lvlJc w:val="left"/>
      <w:pPr>
        <w:ind w:left="425" w:hanging="425"/>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0421CE"/>
    <w:rsid w:val="00247D20"/>
    <w:rsid w:val="00523EB0"/>
    <w:rsid w:val="00813BDB"/>
    <w:rsid w:val="00FE5DE6"/>
    <w:rsid w:val="01115B19"/>
    <w:rsid w:val="0117719B"/>
    <w:rsid w:val="01232ED2"/>
    <w:rsid w:val="01814CB8"/>
    <w:rsid w:val="01F561BC"/>
    <w:rsid w:val="02217FDE"/>
    <w:rsid w:val="025C5D80"/>
    <w:rsid w:val="025F37F9"/>
    <w:rsid w:val="027A149C"/>
    <w:rsid w:val="028440C8"/>
    <w:rsid w:val="02B0310F"/>
    <w:rsid w:val="02EB73E1"/>
    <w:rsid w:val="03431E67"/>
    <w:rsid w:val="041D47D5"/>
    <w:rsid w:val="044F0706"/>
    <w:rsid w:val="0466617C"/>
    <w:rsid w:val="053242B0"/>
    <w:rsid w:val="05524952"/>
    <w:rsid w:val="0553766A"/>
    <w:rsid w:val="05B41169"/>
    <w:rsid w:val="05B95683"/>
    <w:rsid w:val="06363CF6"/>
    <w:rsid w:val="065A1D10"/>
    <w:rsid w:val="06F061D0"/>
    <w:rsid w:val="07C97778"/>
    <w:rsid w:val="084D609E"/>
    <w:rsid w:val="08C37623"/>
    <w:rsid w:val="08CE78BD"/>
    <w:rsid w:val="090D12BC"/>
    <w:rsid w:val="09524F20"/>
    <w:rsid w:val="097F55EA"/>
    <w:rsid w:val="09E3201C"/>
    <w:rsid w:val="09E57B43"/>
    <w:rsid w:val="0A177422"/>
    <w:rsid w:val="0A2902B6"/>
    <w:rsid w:val="0A2F0DBE"/>
    <w:rsid w:val="0B667E81"/>
    <w:rsid w:val="0B7D3DAB"/>
    <w:rsid w:val="0B7F4B2F"/>
    <w:rsid w:val="0C352456"/>
    <w:rsid w:val="0CA937E0"/>
    <w:rsid w:val="0CEE4F60"/>
    <w:rsid w:val="0DCD1019"/>
    <w:rsid w:val="0E4B1F3E"/>
    <w:rsid w:val="0E6F3E7F"/>
    <w:rsid w:val="0E7B2823"/>
    <w:rsid w:val="0F0245DB"/>
    <w:rsid w:val="0F8C0A60"/>
    <w:rsid w:val="0FCD552D"/>
    <w:rsid w:val="102A4C6C"/>
    <w:rsid w:val="10A2678D"/>
    <w:rsid w:val="10EC17B7"/>
    <w:rsid w:val="10FD3DC3"/>
    <w:rsid w:val="11072A94"/>
    <w:rsid w:val="110E3A9D"/>
    <w:rsid w:val="112C6057"/>
    <w:rsid w:val="115A28E4"/>
    <w:rsid w:val="11743EDB"/>
    <w:rsid w:val="123E44FA"/>
    <w:rsid w:val="128E7347"/>
    <w:rsid w:val="12A52565"/>
    <w:rsid w:val="12CC5D44"/>
    <w:rsid w:val="13540457"/>
    <w:rsid w:val="13AD4FA0"/>
    <w:rsid w:val="13E7683E"/>
    <w:rsid w:val="140E5EE8"/>
    <w:rsid w:val="14740441"/>
    <w:rsid w:val="14A423A8"/>
    <w:rsid w:val="14A95C11"/>
    <w:rsid w:val="14E74C9B"/>
    <w:rsid w:val="151E466B"/>
    <w:rsid w:val="1534197E"/>
    <w:rsid w:val="153F2867"/>
    <w:rsid w:val="157A28AF"/>
    <w:rsid w:val="15C745A0"/>
    <w:rsid w:val="16306010"/>
    <w:rsid w:val="16436C21"/>
    <w:rsid w:val="16BB1304"/>
    <w:rsid w:val="170D692B"/>
    <w:rsid w:val="171E6442"/>
    <w:rsid w:val="172F463D"/>
    <w:rsid w:val="17936E30"/>
    <w:rsid w:val="179761F4"/>
    <w:rsid w:val="17EE4066"/>
    <w:rsid w:val="181141F9"/>
    <w:rsid w:val="184C03FD"/>
    <w:rsid w:val="186D58D3"/>
    <w:rsid w:val="19A1335A"/>
    <w:rsid w:val="19F618F8"/>
    <w:rsid w:val="1A0A7151"/>
    <w:rsid w:val="1A6F22D2"/>
    <w:rsid w:val="1A943AF7"/>
    <w:rsid w:val="1A9A6727"/>
    <w:rsid w:val="1AC11F06"/>
    <w:rsid w:val="1B636A3F"/>
    <w:rsid w:val="1C4C39E7"/>
    <w:rsid w:val="1C80194D"/>
    <w:rsid w:val="1C9A47BD"/>
    <w:rsid w:val="1CA47DEB"/>
    <w:rsid w:val="1CD777BF"/>
    <w:rsid w:val="1CFA34AD"/>
    <w:rsid w:val="1D9B4896"/>
    <w:rsid w:val="1E566E09"/>
    <w:rsid w:val="1E85324A"/>
    <w:rsid w:val="1EA700D7"/>
    <w:rsid w:val="1EC5443A"/>
    <w:rsid w:val="1EF74B09"/>
    <w:rsid w:val="1F775289"/>
    <w:rsid w:val="20054643"/>
    <w:rsid w:val="200D2936"/>
    <w:rsid w:val="201C62F8"/>
    <w:rsid w:val="20411092"/>
    <w:rsid w:val="20D72EFF"/>
    <w:rsid w:val="20F070A1"/>
    <w:rsid w:val="215238B8"/>
    <w:rsid w:val="21696E53"/>
    <w:rsid w:val="21CF315A"/>
    <w:rsid w:val="22AD4B1E"/>
    <w:rsid w:val="23492A98"/>
    <w:rsid w:val="2371284F"/>
    <w:rsid w:val="23753F08"/>
    <w:rsid w:val="237948B6"/>
    <w:rsid w:val="24034DE3"/>
    <w:rsid w:val="24286B52"/>
    <w:rsid w:val="242E1C8E"/>
    <w:rsid w:val="24316771"/>
    <w:rsid w:val="2446022B"/>
    <w:rsid w:val="2480073C"/>
    <w:rsid w:val="24A361D8"/>
    <w:rsid w:val="24B51776"/>
    <w:rsid w:val="251763AC"/>
    <w:rsid w:val="25216A19"/>
    <w:rsid w:val="25F9498E"/>
    <w:rsid w:val="263151E3"/>
    <w:rsid w:val="26976211"/>
    <w:rsid w:val="27800A4E"/>
    <w:rsid w:val="27E77427"/>
    <w:rsid w:val="27FA6A57"/>
    <w:rsid w:val="281125F8"/>
    <w:rsid w:val="283E4B96"/>
    <w:rsid w:val="2907571B"/>
    <w:rsid w:val="295F4405"/>
    <w:rsid w:val="29752839"/>
    <w:rsid w:val="29BA649E"/>
    <w:rsid w:val="2A012DF7"/>
    <w:rsid w:val="2A726D79"/>
    <w:rsid w:val="2A7725E1"/>
    <w:rsid w:val="2B7D22D9"/>
    <w:rsid w:val="2BE3076A"/>
    <w:rsid w:val="2C7E7C57"/>
    <w:rsid w:val="2CE455E0"/>
    <w:rsid w:val="2E0E6DB8"/>
    <w:rsid w:val="2E160B93"/>
    <w:rsid w:val="2E3D6201"/>
    <w:rsid w:val="2E60513A"/>
    <w:rsid w:val="2E6E3CFB"/>
    <w:rsid w:val="2EAC037F"/>
    <w:rsid w:val="2EC678FB"/>
    <w:rsid w:val="2F2B1BEC"/>
    <w:rsid w:val="2F511653"/>
    <w:rsid w:val="2FC260AC"/>
    <w:rsid w:val="2FD00080"/>
    <w:rsid w:val="300C3788"/>
    <w:rsid w:val="3034062C"/>
    <w:rsid w:val="304B42F4"/>
    <w:rsid w:val="305A62E5"/>
    <w:rsid w:val="309F019C"/>
    <w:rsid w:val="30A05CC2"/>
    <w:rsid w:val="30C776F3"/>
    <w:rsid w:val="30E06864"/>
    <w:rsid w:val="30F73B34"/>
    <w:rsid w:val="30FA6C7D"/>
    <w:rsid w:val="311D52E5"/>
    <w:rsid w:val="316136A3"/>
    <w:rsid w:val="325C4224"/>
    <w:rsid w:val="327D275F"/>
    <w:rsid w:val="32D22AAA"/>
    <w:rsid w:val="33C80FA0"/>
    <w:rsid w:val="33DC5263"/>
    <w:rsid w:val="33FE78CF"/>
    <w:rsid w:val="34580D8D"/>
    <w:rsid w:val="34B00BC9"/>
    <w:rsid w:val="34F62AA4"/>
    <w:rsid w:val="35244234"/>
    <w:rsid w:val="353B6B36"/>
    <w:rsid w:val="35847960"/>
    <w:rsid w:val="36237179"/>
    <w:rsid w:val="36687282"/>
    <w:rsid w:val="36A26B39"/>
    <w:rsid w:val="36B52BBF"/>
    <w:rsid w:val="37211741"/>
    <w:rsid w:val="37272C99"/>
    <w:rsid w:val="376F7A7E"/>
    <w:rsid w:val="37BC7885"/>
    <w:rsid w:val="37CE1367"/>
    <w:rsid w:val="37D050DF"/>
    <w:rsid w:val="37D42FEF"/>
    <w:rsid w:val="37E52224"/>
    <w:rsid w:val="38084878"/>
    <w:rsid w:val="38360415"/>
    <w:rsid w:val="39D07993"/>
    <w:rsid w:val="3A2B484E"/>
    <w:rsid w:val="3A887EF3"/>
    <w:rsid w:val="3ADE7B13"/>
    <w:rsid w:val="3BF81334"/>
    <w:rsid w:val="3C0D4B53"/>
    <w:rsid w:val="3C495460"/>
    <w:rsid w:val="3CB46D7D"/>
    <w:rsid w:val="3D006466"/>
    <w:rsid w:val="3E31180A"/>
    <w:rsid w:val="3E636CAD"/>
    <w:rsid w:val="3E95498C"/>
    <w:rsid w:val="3EA57C42"/>
    <w:rsid w:val="3FE43E1D"/>
    <w:rsid w:val="407451A1"/>
    <w:rsid w:val="408E3D89"/>
    <w:rsid w:val="408F46DB"/>
    <w:rsid w:val="411249BA"/>
    <w:rsid w:val="41214BFD"/>
    <w:rsid w:val="4134048C"/>
    <w:rsid w:val="41517290"/>
    <w:rsid w:val="41611082"/>
    <w:rsid w:val="41923405"/>
    <w:rsid w:val="42237A68"/>
    <w:rsid w:val="42644DA1"/>
    <w:rsid w:val="42BF718B"/>
    <w:rsid w:val="43105D77"/>
    <w:rsid w:val="435C09AC"/>
    <w:rsid w:val="43AA1BDB"/>
    <w:rsid w:val="43AD2714"/>
    <w:rsid w:val="4410643E"/>
    <w:rsid w:val="442C5D93"/>
    <w:rsid w:val="446A7E74"/>
    <w:rsid w:val="44BA6EFA"/>
    <w:rsid w:val="45476FB4"/>
    <w:rsid w:val="454F599C"/>
    <w:rsid w:val="45644E54"/>
    <w:rsid w:val="45C21D6F"/>
    <w:rsid w:val="462E7BA0"/>
    <w:rsid w:val="47460F19"/>
    <w:rsid w:val="47705F96"/>
    <w:rsid w:val="477C28E3"/>
    <w:rsid w:val="477F61D9"/>
    <w:rsid w:val="481E234E"/>
    <w:rsid w:val="48425B85"/>
    <w:rsid w:val="48A560A8"/>
    <w:rsid w:val="48C0399E"/>
    <w:rsid w:val="48F52D8D"/>
    <w:rsid w:val="49042E3A"/>
    <w:rsid w:val="49221512"/>
    <w:rsid w:val="49757894"/>
    <w:rsid w:val="49B02AEE"/>
    <w:rsid w:val="4B1F2A17"/>
    <w:rsid w:val="4B3726F6"/>
    <w:rsid w:val="4B3D2633"/>
    <w:rsid w:val="4B5670C1"/>
    <w:rsid w:val="4B83098E"/>
    <w:rsid w:val="4BDE7972"/>
    <w:rsid w:val="4C0849EF"/>
    <w:rsid w:val="4C0C793F"/>
    <w:rsid w:val="4C3E6663"/>
    <w:rsid w:val="4CD01739"/>
    <w:rsid w:val="4D147203"/>
    <w:rsid w:val="4D1A0E7E"/>
    <w:rsid w:val="4D495A2D"/>
    <w:rsid w:val="4DC31516"/>
    <w:rsid w:val="4EB11255"/>
    <w:rsid w:val="4EBD41B7"/>
    <w:rsid w:val="4ED1072C"/>
    <w:rsid w:val="4F3501F1"/>
    <w:rsid w:val="4F3D2C02"/>
    <w:rsid w:val="4F934F18"/>
    <w:rsid w:val="4FFC486B"/>
    <w:rsid w:val="50830AE8"/>
    <w:rsid w:val="50AF18DD"/>
    <w:rsid w:val="50BC224C"/>
    <w:rsid w:val="50E27F05"/>
    <w:rsid w:val="51343ECB"/>
    <w:rsid w:val="51502B40"/>
    <w:rsid w:val="51CE66DB"/>
    <w:rsid w:val="526754B2"/>
    <w:rsid w:val="530879CB"/>
    <w:rsid w:val="53B316E5"/>
    <w:rsid w:val="53D307BE"/>
    <w:rsid w:val="54492DC1"/>
    <w:rsid w:val="54EC75A4"/>
    <w:rsid w:val="552A3C28"/>
    <w:rsid w:val="552E2FF3"/>
    <w:rsid w:val="55780E38"/>
    <w:rsid w:val="565D002E"/>
    <w:rsid w:val="56665134"/>
    <w:rsid w:val="566D0271"/>
    <w:rsid w:val="56876E58"/>
    <w:rsid w:val="56E147BB"/>
    <w:rsid w:val="56E8417F"/>
    <w:rsid w:val="56EC58D0"/>
    <w:rsid w:val="571921A6"/>
    <w:rsid w:val="584E7C2E"/>
    <w:rsid w:val="58733B38"/>
    <w:rsid w:val="5894789F"/>
    <w:rsid w:val="58B205D5"/>
    <w:rsid w:val="58B32187"/>
    <w:rsid w:val="58B7499B"/>
    <w:rsid w:val="58D41A42"/>
    <w:rsid w:val="58F26E18"/>
    <w:rsid w:val="59260BAB"/>
    <w:rsid w:val="59977B9A"/>
    <w:rsid w:val="5A5F4374"/>
    <w:rsid w:val="5A647BDD"/>
    <w:rsid w:val="5AA1498D"/>
    <w:rsid w:val="5AB86683"/>
    <w:rsid w:val="5AC62645"/>
    <w:rsid w:val="5AC71F19"/>
    <w:rsid w:val="5ADC3C17"/>
    <w:rsid w:val="5AF2343A"/>
    <w:rsid w:val="5BBB7CD0"/>
    <w:rsid w:val="5C1318BA"/>
    <w:rsid w:val="5C25339C"/>
    <w:rsid w:val="5C366DE5"/>
    <w:rsid w:val="5C441A74"/>
    <w:rsid w:val="5D235B2D"/>
    <w:rsid w:val="5DBA4BC4"/>
    <w:rsid w:val="5E3033B1"/>
    <w:rsid w:val="5E8B1BDC"/>
    <w:rsid w:val="5EA42C9D"/>
    <w:rsid w:val="5EF61933"/>
    <w:rsid w:val="5F0B4ACB"/>
    <w:rsid w:val="5F3729F3"/>
    <w:rsid w:val="5FB26F83"/>
    <w:rsid w:val="5FFD2BC5"/>
    <w:rsid w:val="60001B6F"/>
    <w:rsid w:val="60C457EE"/>
    <w:rsid w:val="60DA29A7"/>
    <w:rsid w:val="60E92BEA"/>
    <w:rsid w:val="60FF41BB"/>
    <w:rsid w:val="617C1CB0"/>
    <w:rsid w:val="61C13B66"/>
    <w:rsid w:val="628D70B3"/>
    <w:rsid w:val="628F77C1"/>
    <w:rsid w:val="633C17DD"/>
    <w:rsid w:val="636649C5"/>
    <w:rsid w:val="6381535B"/>
    <w:rsid w:val="639332E1"/>
    <w:rsid w:val="63EF49BB"/>
    <w:rsid w:val="63FE69AC"/>
    <w:rsid w:val="64E75692"/>
    <w:rsid w:val="64FC354F"/>
    <w:rsid w:val="65081D5E"/>
    <w:rsid w:val="65120B64"/>
    <w:rsid w:val="652C7705"/>
    <w:rsid w:val="65387F11"/>
    <w:rsid w:val="6582733D"/>
    <w:rsid w:val="65D11E9E"/>
    <w:rsid w:val="66320C06"/>
    <w:rsid w:val="66707909"/>
    <w:rsid w:val="66AA6977"/>
    <w:rsid w:val="66B934EE"/>
    <w:rsid w:val="6744501E"/>
    <w:rsid w:val="67511E0E"/>
    <w:rsid w:val="67630B2B"/>
    <w:rsid w:val="67780823"/>
    <w:rsid w:val="681C38A5"/>
    <w:rsid w:val="681F3395"/>
    <w:rsid w:val="68386205"/>
    <w:rsid w:val="68C53F3C"/>
    <w:rsid w:val="68ED228A"/>
    <w:rsid w:val="692073C4"/>
    <w:rsid w:val="69341E28"/>
    <w:rsid w:val="69407A67"/>
    <w:rsid w:val="6A116D0D"/>
    <w:rsid w:val="6A2D7FEB"/>
    <w:rsid w:val="6A8676FB"/>
    <w:rsid w:val="6A975464"/>
    <w:rsid w:val="6AAB2282"/>
    <w:rsid w:val="6B1C3BBC"/>
    <w:rsid w:val="6B340F05"/>
    <w:rsid w:val="6B735ED1"/>
    <w:rsid w:val="6B895985"/>
    <w:rsid w:val="6C4A2D9F"/>
    <w:rsid w:val="6CD97FB6"/>
    <w:rsid w:val="6CDE737B"/>
    <w:rsid w:val="6CE652AF"/>
    <w:rsid w:val="6CF22E26"/>
    <w:rsid w:val="6D013069"/>
    <w:rsid w:val="6D2D20B0"/>
    <w:rsid w:val="6E535B46"/>
    <w:rsid w:val="6E8421A4"/>
    <w:rsid w:val="6EB63269"/>
    <w:rsid w:val="6ED36C87"/>
    <w:rsid w:val="6EDD6355"/>
    <w:rsid w:val="6F7C0E99"/>
    <w:rsid w:val="6FFE5F86"/>
    <w:rsid w:val="70545BA6"/>
    <w:rsid w:val="70765B1C"/>
    <w:rsid w:val="711C4915"/>
    <w:rsid w:val="71494FDF"/>
    <w:rsid w:val="71997D14"/>
    <w:rsid w:val="72181581"/>
    <w:rsid w:val="72EA5653"/>
    <w:rsid w:val="72F316A6"/>
    <w:rsid w:val="73081ADA"/>
    <w:rsid w:val="73FC458A"/>
    <w:rsid w:val="74542618"/>
    <w:rsid w:val="749033F2"/>
    <w:rsid w:val="749649DF"/>
    <w:rsid w:val="749F4396"/>
    <w:rsid w:val="75481873"/>
    <w:rsid w:val="75AC01D2"/>
    <w:rsid w:val="75D63A4F"/>
    <w:rsid w:val="767F7A6D"/>
    <w:rsid w:val="76BB072D"/>
    <w:rsid w:val="76BD26F7"/>
    <w:rsid w:val="76DF266D"/>
    <w:rsid w:val="77456248"/>
    <w:rsid w:val="77930BD1"/>
    <w:rsid w:val="78542BE7"/>
    <w:rsid w:val="786170B2"/>
    <w:rsid w:val="786C17B3"/>
    <w:rsid w:val="78AE7E54"/>
    <w:rsid w:val="78FB5758"/>
    <w:rsid w:val="79314CD6"/>
    <w:rsid w:val="7A8D418E"/>
    <w:rsid w:val="7A951295"/>
    <w:rsid w:val="7B187F43"/>
    <w:rsid w:val="7B4927AB"/>
    <w:rsid w:val="7B9F38BF"/>
    <w:rsid w:val="7BAA1AC9"/>
    <w:rsid w:val="7C1F350C"/>
    <w:rsid w:val="7C330D65"/>
    <w:rsid w:val="7C457D32"/>
    <w:rsid w:val="7C4B4301"/>
    <w:rsid w:val="7C5C02BC"/>
    <w:rsid w:val="7C641784"/>
    <w:rsid w:val="7C8D2B6B"/>
    <w:rsid w:val="7CA32290"/>
    <w:rsid w:val="7CB67090"/>
    <w:rsid w:val="7D1C27AF"/>
    <w:rsid w:val="7D23702C"/>
    <w:rsid w:val="7D741635"/>
    <w:rsid w:val="7DBF0B02"/>
    <w:rsid w:val="7DCC6DCE"/>
    <w:rsid w:val="7DEE72E6"/>
    <w:rsid w:val="7DF34C50"/>
    <w:rsid w:val="7E953F59"/>
    <w:rsid w:val="7EA366EB"/>
    <w:rsid w:val="7EE43B13"/>
    <w:rsid w:val="7EFB3DBC"/>
    <w:rsid w:val="7F326585"/>
    <w:rsid w:val="7F536501"/>
    <w:rsid w:val="7F6E0A32"/>
    <w:rsid w:val="7FA34F2A"/>
    <w:rsid w:val="7FD665D7"/>
    <w:rsid w:val="7FE40C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1"/>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link w:val="43"/>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paragraph" w:customStyle="1" w:styleId="39">
    <w:name w:val="柴_正文_无缩进"/>
    <w:basedOn w:val="1"/>
    <w:qFormat/>
    <w:uiPriority w:val="0"/>
    <w:pPr>
      <w:ind w:firstLine="0" w:firstLineChars="0"/>
    </w:pPr>
    <w:rPr>
      <w:rFonts w:ascii="Arial" w:hAnsi="Arial"/>
      <w:sz w:val="24"/>
      <w:lang w:eastAsia="zh-CN"/>
    </w:rPr>
  </w:style>
  <w:style w:type="paragraph" w:customStyle="1" w:styleId="40">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9"/>
    <w:qFormat/>
    <w:uiPriority w:val="0"/>
    <w:rPr>
      <w:rFonts w:ascii="Arial" w:hAnsi="Arial" w:eastAsia="宋体"/>
      <w:sz w:val="24"/>
      <w:lang w:eastAsia="zh-CN"/>
    </w:rPr>
  </w:style>
  <w:style w:type="table" w:customStyle="1" w:styleId="42">
    <w:name w:val="Table Normal_0"/>
    <w:semiHidden/>
    <w:unhideWhenUsed/>
    <w:qFormat/>
    <w:uiPriority w:val="0"/>
    <w:tblPr>
      <w:tblCellMar>
        <w:top w:w="0" w:type="dxa"/>
        <w:left w:w="0" w:type="dxa"/>
        <w:bottom w:w="0" w:type="dxa"/>
        <w:right w:w="0" w:type="dxa"/>
      </w:tblCellMar>
    </w:tblPr>
  </w:style>
  <w:style w:type="character" w:customStyle="1" w:styleId="43">
    <w:name w:val="柴_标题3 Char"/>
    <w:link w:val="31"/>
    <w:qFormat/>
    <w:uiPriority w:val="0"/>
    <w:rPr>
      <w:rFonts w:ascii="宋体" w:hAnsi="宋体" w:eastAsia="宋体" w:cs="宋体"/>
      <w:spacing w:val="-2"/>
      <w:sz w:val="24"/>
      <w:szCs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1275</Words>
  <Characters>1348</Characters>
  <Lines>0</Lines>
  <Paragraphs>0</Paragraphs>
  <TotalTime>0</TotalTime>
  <ScaleCrop>false</ScaleCrop>
  <LinksUpToDate>false</LinksUpToDate>
  <CharactersWithSpaces>1349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2025-09-06T12:49:00Z</dcterms:created>
  <dc:creator>18442</dc:creator>
  <cp:lastModifiedBy>郝宇</cp:lastModifiedBy>
  <dcterms:modified xsi:type="dcterms:W3CDTF">2025-12-14T16:33:10Z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0D32182671224755A6D4CE835A5A6EA6_12</vt:lpwstr>
  </property>
  <property fmtid="{D5CDD505-2E9C-101B-9397-08002B2CF9AE}" pid="4" name="KSOTemplateDocerSaveRecord">
    <vt:lpwstr>eyJoZGlkIjoiMDY5NmFjMmM4ZTljMGJiZDAxN2JmYTc0NGI0NmFiNDgiLCJ1c2VySWQiOiIxMDc1MzgyOSJ9</vt:lpwstr>
  </property>
</Properties>
</file>