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0036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1920"/>
      <w:r>
        <w:rPr>
          <w:rFonts w:hint="eastAsia"/>
          <w:lang w:val="en-US" w:eastAsia="zh-CN"/>
        </w:rPr>
        <w:t>客户投诉管理制度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8196"/>
      <w:r>
        <w:rPr>
          <w:rFonts w:hint="eastAsia"/>
          <w:lang w:val="en-US" w:eastAsia="zh-CN"/>
        </w:rPr>
        <w:t>（YNTD-ITSS-0407）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7350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781"/>
        <w15:color w:val="DBDBDB"/>
        <w:docPartObj>
          <w:docPartGallery w:val="Table of Contents"/>
          <w:docPartUnique/>
        </w:docPartObj>
      </w:sdtPr>
      <w:sdtContent>
        <w:p w14:paraId="5885452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43E3B3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_Toc30036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_Toc30036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9A77E5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客户投诉管理制度</w:t>
          </w:r>
          <w:r>
            <w:tab/>
          </w:r>
          <w:r>
            <w:fldChar w:fldCharType="begin"/>
          </w:r>
          <w:r>
            <w:instrText xml:space="preserve"> PAGEREF _Toc1920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CAB8A0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（YNTD-ITSS-0407）</w:t>
          </w:r>
          <w:r>
            <w:tab/>
          </w:r>
          <w:r>
            <w:fldChar w:fldCharType="begin"/>
          </w:r>
          <w:r>
            <w:instrText xml:space="preserve"> PAGEREF _Toc28196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FE8FCB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_Toc7350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_Toc7350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FC8D1C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_Toc31666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5261EA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_Toc10259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D5727A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角色和职责</w:t>
          </w:r>
          <w:r>
            <w:tab/>
          </w:r>
          <w:r>
            <w:fldChar w:fldCharType="begin"/>
          </w:r>
          <w:r>
            <w:instrText xml:space="preserve"> PAGEREF _Toc27297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16965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_Toc8406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_Toc8406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709FD0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_Toc17868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3C5A90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_Toc31900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65C0F4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规定</w:t>
          </w:r>
          <w:r>
            <w:tab/>
          </w:r>
          <w:r>
            <w:fldChar w:fldCharType="begin"/>
          </w:r>
          <w:r>
            <w:instrText xml:space="preserve"> PAGEREF _Toc12738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A64511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接受客户投诉</w:t>
          </w:r>
          <w:r>
            <w:tab/>
          </w:r>
          <w:r>
            <w:fldChar w:fldCharType="begin"/>
          </w:r>
          <w:r>
            <w:instrText xml:space="preserve"> PAGEREF _Toc25980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63225F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记录客户投诉</w:t>
          </w:r>
          <w:r>
            <w:tab/>
          </w:r>
          <w:r>
            <w:fldChar w:fldCharType="begin"/>
          </w:r>
          <w:r>
            <w:instrText xml:space="preserve"> PAGEREF _Toc28926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5EE24C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_Toc14805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客户投诉分析</w:t>
          </w:r>
          <w:r>
            <w:tab/>
          </w:r>
          <w:r>
            <w:fldChar w:fldCharType="begin"/>
          </w:r>
          <w:r>
            <w:instrText xml:space="preserve"> PAGEREF _Toc14805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6861DF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确定投诉处理责任</w:t>
          </w:r>
          <w:r>
            <w:tab/>
          </w:r>
          <w:r>
            <w:fldChar w:fldCharType="begin"/>
          </w:r>
          <w:r>
            <w:instrText xml:space="preserve"> PAGEREF _Toc16107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C715D7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4.5. 调查投诉原因</w:t>
          </w:r>
          <w:r>
            <w:tab/>
          </w:r>
          <w:r>
            <w:fldChar w:fldCharType="begin"/>
          </w:r>
          <w:r>
            <w:instrText xml:space="preserve"> PAGEREF _Toc27596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16B708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4.6. 制定投诉处理方案</w:t>
          </w:r>
          <w:r>
            <w:tab/>
          </w:r>
          <w:r>
            <w:fldChar w:fldCharType="begin"/>
          </w:r>
          <w:r>
            <w:instrText xml:space="preserve"> PAGEREF _Toc24562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F3C1A4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4.7. 回复客户投诉处理方案</w:t>
          </w:r>
          <w:r>
            <w:tab/>
          </w:r>
          <w:r>
            <w:fldChar w:fldCharType="begin"/>
          </w:r>
          <w:r>
            <w:instrText xml:space="preserve"> PAGEREF _Toc17809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8055D8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4.8. 客户投诉结果应用与评估</w:t>
          </w:r>
          <w:r>
            <w:tab/>
          </w:r>
          <w:r>
            <w:fldChar w:fldCharType="begin"/>
          </w:r>
          <w:r>
            <w:instrText xml:space="preserve"> PAGEREF _Toc30510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DE389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相关文件</w:t>
          </w:r>
          <w:r>
            <w:tab/>
          </w:r>
          <w:r>
            <w:fldChar w:fldCharType="begin"/>
          </w:r>
          <w:r>
            <w:instrText xml:space="preserve"> PAGEREF _Toc220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CD303F3">
          <w:r>
            <w:fldChar w:fldCharType="end"/>
          </w:r>
        </w:p>
      </w:sdtContent>
    </w:sdt>
    <w:p w14:paraId="3CA0DF96">
      <w:bookmarkStart w:id="20" w:name="_GoBack"/>
      <w:bookmarkEnd w:id="20"/>
    </w:p>
    <w:p w14:paraId="78DCCA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803A3F">
      <w:pPr>
        <w:pStyle w:val="28"/>
        <w:bidi w:val="0"/>
        <w:rPr>
          <w:rFonts w:hint="default"/>
          <w:lang w:val="en-US" w:eastAsia="zh-CN"/>
        </w:rPr>
      </w:pPr>
      <w:bookmarkStart w:id="4" w:name="_Toc31666"/>
      <w:r>
        <w:rPr>
          <w:rFonts w:hint="default"/>
          <w:lang w:val="en-US" w:eastAsia="zh-CN"/>
        </w:rPr>
        <w:t>目的</w:t>
      </w:r>
      <w:bookmarkEnd w:id="4"/>
    </w:p>
    <w:p w14:paraId="71B764A1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提高服务质量，提升在客户心目中的企业形象；</w:t>
      </w:r>
    </w:p>
    <w:p w14:paraId="3FD6F6B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通过对客户投诉的认真受理，收集市场、客户和服务的相关动态信息、数据，以便公司制定合理化的政策与措施，改进公司的运维服务体系。</w:t>
      </w:r>
    </w:p>
    <w:p w14:paraId="190564A0">
      <w:pPr>
        <w:pStyle w:val="28"/>
        <w:bidi w:val="0"/>
        <w:rPr>
          <w:rFonts w:hint="default"/>
          <w:lang w:val="en-US" w:eastAsia="zh-CN"/>
        </w:rPr>
      </w:pPr>
      <w:bookmarkStart w:id="5" w:name="_Toc10259"/>
      <w:r>
        <w:rPr>
          <w:rFonts w:hint="default"/>
          <w:lang w:val="en-US" w:eastAsia="zh-CN"/>
        </w:rPr>
        <w:t>范围</w:t>
      </w:r>
      <w:bookmarkEnd w:id="5"/>
    </w:p>
    <w:p w14:paraId="3B08FB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适用于与客户服务相关联的各部门。</w:t>
      </w:r>
    </w:p>
    <w:p w14:paraId="76F9C18D">
      <w:pPr>
        <w:pStyle w:val="28"/>
        <w:bidi w:val="0"/>
        <w:rPr>
          <w:rFonts w:hint="default"/>
          <w:lang w:val="en-US" w:eastAsia="zh-CN"/>
        </w:rPr>
      </w:pPr>
      <w:bookmarkStart w:id="6" w:name="_Toc27297"/>
      <w:r>
        <w:rPr>
          <w:rFonts w:hint="default"/>
          <w:lang w:val="en-US" w:eastAsia="zh-CN"/>
        </w:rPr>
        <w:t>角色和职责</w:t>
      </w:r>
      <w:bookmarkEnd w:id="6"/>
    </w:p>
    <w:p w14:paraId="78F62A7D">
      <w:pPr>
        <w:pStyle w:val="30"/>
        <w:bidi w:val="0"/>
        <w:rPr>
          <w:rFonts w:hint="default"/>
          <w:lang w:val="en-US" w:eastAsia="zh-CN"/>
        </w:rPr>
      </w:pPr>
      <w:bookmarkStart w:id="7" w:name="_Toc8406"/>
      <w:r>
        <w:rPr>
          <w:rFonts w:hint="eastAsia"/>
          <w:lang w:val="en-US" w:eastAsia="zh-CN"/>
        </w:rPr>
        <w:t>质量部</w:t>
      </w:r>
      <w:bookmarkEnd w:id="7"/>
    </w:p>
    <w:p w14:paraId="2751A7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负责客户投诉处理的管理工作，搜集客户投诉意见并汇总，及时跟踪客户投诉问题解决情况，对后续的采取再次发生类似的情况提出预防措施。</w:t>
      </w:r>
    </w:p>
    <w:p w14:paraId="40E47124">
      <w:pPr>
        <w:pStyle w:val="30"/>
        <w:bidi w:val="0"/>
        <w:rPr>
          <w:rFonts w:hint="default"/>
          <w:lang w:val="en-US" w:eastAsia="zh-CN"/>
        </w:rPr>
      </w:pPr>
      <w:bookmarkStart w:id="8" w:name="_Toc17868"/>
      <w:r>
        <w:rPr>
          <w:rFonts w:hint="eastAsia"/>
          <w:lang w:val="en-US" w:eastAsia="zh-CN"/>
        </w:rPr>
        <w:t>服务台</w:t>
      </w:r>
      <w:bookmarkEnd w:id="8"/>
    </w:p>
    <w:p w14:paraId="2AD489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负责接收客户投诉建议并回复客户处理结果，向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反馈投诉处理结果。</w:t>
      </w:r>
    </w:p>
    <w:p w14:paraId="0FEEDE73">
      <w:pPr>
        <w:pStyle w:val="30"/>
        <w:bidi w:val="0"/>
        <w:rPr>
          <w:rFonts w:hint="default"/>
          <w:lang w:val="en-US" w:eastAsia="zh-CN"/>
        </w:rPr>
      </w:pPr>
      <w:bookmarkStart w:id="9" w:name="_Toc31900"/>
      <w:r>
        <w:rPr>
          <w:rFonts w:hint="eastAsia"/>
          <w:lang w:val="en-US" w:eastAsia="zh-CN"/>
        </w:rPr>
        <w:t>运维部</w:t>
      </w:r>
      <w:bookmarkEnd w:id="9"/>
    </w:p>
    <w:p w14:paraId="46B777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负责处理客户投诉。</w:t>
      </w:r>
    </w:p>
    <w:p w14:paraId="680013D5">
      <w:pPr>
        <w:pStyle w:val="28"/>
        <w:bidi w:val="0"/>
        <w:rPr>
          <w:rFonts w:hint="default"/>
          <w:lang w:val="en-US" w:eastAsia="zh-CN"/>
        </w:rPr>
      </w:pPr>
      <w:bookmarkStart w:id="10" w:name="_Toc12738"/>
      <w:r>
        <w:rPr>
          <w:rFonts w:hint="default"/>
          <w:lang w:val="en-US" w:eastAsia="zh-CN"/>
        </w:rPr>
        <w:t>规定</w:t>
      </w:r>
      <w:bookmarkEnd w:id="10"/>
    </w:p>
    <w:p w14:paraId="50A71CF2">
      <w:pPr>
        <w:pStyle w:val="30"/>
        <w:bidi w:val="0"/>
        <w:rPr>
          <w:rFonts w:hint="default"/>
          <w:lang w:val="en-US" w:eastAsia="zh-CN"/>
        </w:rPr>
      </w:pPr>
      <w:bookmarkStart w:id="11" w:name="_Toc25980"/>
      <w:r>
        <w:rPr>
          <w:rFonts w:hint="default"/>
          <w:lang w:val="en-US" w:eastAsia="zh-CN"/>
        </w:rPr>
        <w:t>接受客户投诉</w:t>
      </w:r>
      <w:bookmarkEnd w:id="11"/>
    </w:p>
    <w:p w14:paraId="069FBB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服务台为客户提供的各种投诉渠道，如电话、网络、意见反馈卡等；</w:t>
      </w:r>
    </w:p>
    <w:p w14:paraId="3E21328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对于网络以及信件类投诉，服务台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应该联系客户确认投诉内容。</w:t>
      </w:r>
    </w:p>
    <w:p w14:paraId="07F0F167">
      <w:pPr>
        <w:pStyle w:val="30"/>
        <w:bidi w:val="0"/>
        <w:rPr>
          <w:rFonts w:hint="default"/>
          <w:lang w:val="en-US" w:eastAsia="zh-CN"/>
        </w:rPr>
      </w:pPr>
      <w:bookmarkStart w:id="12" w:name="_Toc28926"/>
      <w:r>
        <w:rPr>
          <w:rFonts w:hint="default"/>
          <w:lang w:val="en-US" w:eastAsia="zh-CN"/>
        </w:rPr>
        <w:t>记录客户投诉</w:t>
      </w:r>
      <w:bookmarkEnd w:id="12"/>
    </w:p>
    <w:p w14:paraId="23F367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服务台应及时记录客户投诉的内容，并填写《客户投诉登记表》；</w:t>
      </w:r>
    </w:p>
    <w:p w14:paraId="608582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《客户投诉登记表》应包括客户姓名、投诉事件、所属项目、联系方式、客户投诉内容等。</w:t>
      </w:r>
    </w:p>
    <w:p w14:paraId="62A7E2EA">
      <w:pPr>
        <w:pStyle w:val="30"/>
        <w:bidi w:val="0"/>
        <w:rPr>
          <w:rFonts w:hint="default"/>
          <w:lang w:val="en-US" w:eastAsia="zh-CN"/>
        </w:rPr>
      </w:pPr>
      <w:bookmarkStart w:id="13" w:name="_Toc14805"/>
      <w:r>
        <w:rPr>
          <w:rFonts w:hint="default"/>
          <w:lang w:val="en-US" w:eastAsia="zh-CN"/>
        </w:rPr>
        <w:t>客户投诉分析</w:t>
      </w:r>
      <w:bookmarkEnd w:id="13"/>
    </w:p>
    <w:p w14:paraId="54F7E6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服务台根据《客户投诉登记表》的内容进行分析，判断客户投诉是否成立；</w:t>
      </w:r>
    </w:p>
    <w:p w14:paraId="15CEE45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若投诉不成立，服务台要耐心地向客户说明原因；</w:t>
      </w:r>
    </w:p>
    <w:p w14:paraId="759E6D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若投诉成立并能立刻解决的，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应立刻解决，给客户一个满意的答复；</w:t>
      </w:r>
    </w:p>
    <w:p w14:paraId="55D356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若投诉成立，不能立即解决的，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应认真分析症结所在，并和客户协商确定处理投诉最后期限。</w:t>
      </w:r>
    </w:p>
    <w:p w14:paraId="31ED07F2">
      <w:pPr>
        <w:pStyle w:val="30"/>
        <w:bidi w:val="0"/>
        <w:rPr>
          <w:rFonts w:hint="default"/>
          <w:lang w:val="en-US" w:eastAsia="zh-CN"/>
        </w:rPr>
      </w:pPr>
      <w:bookmarkStart w:id="14" w:name="_Toc16107"/>
      <w:r>
        <w:rPr>
          <w:rFonts w:hint="default"/>
          <w:lang w:val="en-US" w:eastAsia="zh-CN"/>
        </w:rPr>
        <w:t>确定投诉处理责任</w:t>
      </w:r>
      <w:bookmarkEnd w:id="14"/>
    </w:p>
    <w:p w14:paraId="7E3542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服务台负责处理服务质量类投诉；</w:t>
      </w:r>
    </w:p>
    <w:p w14:paraId="50C489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负责处理客户咨询建议类投诉。</w:t>
      </w:r>
    </w:p>
    <w:p w14:paraId="1B25AAD0">
      <w:pPr>
        <w:pStyle w:val="30"/>
        <w:bidi w:val="0"/>
        <w:rPr>
          <w:rFonts w:hint="default"/>
          <w:lang w:val="en-US" w:eastAsia="zh-CN"/>
        </w:rPr>
      </w:pPr>
      <w:bookmarkStart w:id="15" w:name="_Toc27596"/>
      <w:r>
        <w:rPr>
          <w:rFonts w:hint="default"/>
          <w:lang w:val="en-US" w:eastAsia="zh-CN"/>
        </w:rPr>
        <w:t>调查投诉原因</w:t>
      </w:r>
      <w:bookmarkEnd w:id="15"/>
    </w:p>
    <w:p w14:paraId="23A5F8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客户投诉处理责任部门针对客户投诉的问题进行调查，明确导致投诉问题发生的事件、责任人，并归纳出投诉产生的主、客观原因。</w:t>
      </w:r>
    </w:p>
    <w:p w14:paraId="45E77896">
      <w:pPr>
        <w:pStyle w:val="30"/>
        <w:bidi w:val="0"/>
        <w:rPr>
          <w:rFonts w:hint="default"/>
          <w:lang w:val="en-US" w:eastAsia="zh-CN"/>
        </w:rPr>
      </w:pPr>
      <w:bookmarkStart w:id="16" w:name="_Toc24562"/>
      <w:r>
        <w:rPr>
          <w:rFonts w:hint="default"/>
          <w:lang w:val="en-US" w:eastAsia="zh-CN"/>
        </w:rPr>
        <w:t>制定投诉处理方案</w:t>
      </w:r>
      <w:bookmarkEnd w:id="16"/>
    </w:p>
    <w:p w14:paraId="6D5EF1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投诉处理责任人应根据实际情况，参照客户的投诉要求，提出解决投诉的具体方案；</w:t>
      </w:r>
    </w:p>
    <w:p w14:paraId="7AFF87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投诉处理方案中应明确公司承担的责任，并承诺处理的时间。</w:t>
      </w:r>
    </w:p>
    <w:p w14:paraId="2F232FCE">
      <w:pPr>
        <w:pStyle w:val="30"/>
        <w:bidi w:val="0"/>
        <w:rPr>
          <w:rFonts w:hint="default"/>
          <w:lang w:val="en-US" w:eastAsia="zh-CN"/>
        </w:rPr>
      </w:pPr>
      <w:bookmarkStart w:id="17" w:name="_Toc17809"/>
      <w:r>
        <w:rPr>
          <w:rFonts w:hint="default"/>
          <w:lang w:val="en-US" w:eastAsia="zh-CN"/>
        </w:rPr>
        <w:t>回复客户投诉处理方案</w:t>
      </w:r>
      <w:bookmarkEnd w:id="17"/>
    </w:p>
    <w:p w14:paraId="4615C2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应对客户投诉问题给予高度重视，对投诉的处理方案一一过目，并及时做出批示；</w:t>
      </w:r>
    </w:p>
    <w:p w14:paraId="13701B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服务台应根据制定好的客户投诉处理方案，告知客户并征求客户意见。</w:t>
      </w:r>
    </w:p>
    <w:p w14:paraId="10E61DB7">
      <w:pPr>
        <w:pStyle w:val="30"/>
        <w:bidi w:val="0"/>
        <w:rPr>
          <w:rFonts w:hint="default"/>
          <w:lang w:val="en-US" w:eastAsia="zh-CN"/>
        </w:rPr>
      </w:pPr>
      <w:bookmarkStart w:id="18" w:name="_Toc30510"/>
      <w:r>
        <w:rPr>
          <w:rFonts w:hint="default"/>
          <w:lang w:val="en-US" w:eastAsia="zh-CN"/>
        </w:rPr>
        <w:t>客户投诉结果应用与评估</w:t>
      </w:r>
      <w:bookmarkEnd w:id="18"/>
    </w:p>
    <w:p w14:paraId="34D2A5B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服务台对已经处理结案的投诉，应及时进行回访，以检查客户投诉的处理效果；</w:t>
      </w:r>
    </w:p>
    <w:p w14:paraId="1DC40934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要对投诉结果进行总结，吸取经验教训，不断提升信息技术服务运维管理能力，从而提高客户服务质量和服务水平，降低投诉率。</w:t>
      </w:r>
    </w:p>
    <w:p w14:paraId="10A0BF30">
      <w:pPr>
        <w:pStyle w:val="28"/>
        <w:bidi w:val="0"/>
        <w:rPr>
          <w:rFonts w:hint="default"/>
          <w:lang w:val="en-US" w:eastAsia="zh-CN"/>
        </w:rPr>
      </w:pPr>
      <w:bookmarkStart w:id="19" w:name="_Toc220"/>
      <w:r>
        <w:rPr>
          <w:rFonts w:hint="default"/>
          <w:lang w:val="en-US" w:eastAsia="zh-CN"/>
        </w:rPr>
        <w:t>相关文件</w:t>
      </w:r>
      <w:bookmarkEnd w:id="19"/>
    </w:p>
    <w:p w14:paraId="24A4C5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8A21C09"/>
    <w:multiLevelType w:val="singleLevel"/>
    <w:tmpl w:val="D8A21C0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21CE"/>
    <w:rsid w:val="00247D20"/>
    <w:rsid w:val="00523EB0"/>
    <w:rsid w:val="00813BDB"/>
    <w:rsid w:val="00AB7C09"/>
    <w:rsid w:val="00FE5DE6"/>
    <w:rsid w:val="01115B19"/>
    <w:rsid w:val="0117719B"/>
    <w:rsid w:val="01232ED2"/>
    <w:rsid w:val="019A2ACC"/>
    <w:rsid w:val="01F561BC"/>
    <w:rsid w:val="02217FDE"/>
    <w:rsid w:val="025C5D80"/>
    <w:rsid w:val="025F37F9"/>
    <w:rsid w:val="027A149C"/>
    <w:rsid w:val="028440C8"/>
    <w:rsid w:val="02AB3C57"/>
    <w:rsid w:val="02B0310F"/>
    <w:rsid w:val="02EB73E1"/>
    <w:rsid w:val="03431E67"/>
    <w:rsid w:val="041D47D5"/>
    <w:rsid w:val="044F0706"/>
    <w:rsid w:val="0466617C"/>
    <w:rsid w:val="053242B0"/>
    <w:rsid w:val="05524952"/>
    <w:rsid w:val="0553766A"/>
    <w:rsid w:val="05B41169"/>
    <w:rsid w:val="05B95683"/>
    <w:rsid w:val="06363CF6"/>
    <w:rsid w:val="065A1D10"/>
    <w:rsid w:val="06CB4FA1"/>
    <w:rsid w:val="06F061D0"/>
    <w:rsid w:val="07C97778"/>
    <w:rsid w:val="084D609E"/>
    <w:rsid w:val="08C37623"/>
    <w:rsid w:val="08CE78BD"/>
    <w:rsid w:val="090D12BC"/>
    <w:rsid w:val="09524F20"/>
    <w:rsid w:val="097F55EA"/>
    <w:rsid w:val="09E3201C"/>
    <w:rsid w:val="09E57B43"/>
    <w:rsid w:val="09F751BA"/>
    <w:rsid w:val="0A075AEF"/>
    <w:rsid w:val="0A177422"/>
    <w:rsid w:val="0A2902B6"/>
    <w:rsid w:val="0A2F0DBE"/>
    <w:rsid w:val="0B544018"/>
    <w:rsid w:val="0B667E81"/>
    <w:rsid w:val="0B7D3DAB"/>
    <w:rsid w:val="0B7F4B2F"/>
    <w:rsid w:val="0C352456"/>
    <w:rsid w:val="0CA937E0"/>
    <w:rsid w:val="0CEE4F60"/>
    <w:rsid w:val="0DCD1019"/>
    <w:rsid w:val="0E4B1F3E"/>
    <w:rsid w:val="0E6F3E7F"/>
    <w:rsid w:val="0E7B2823"/>
    <w:rsid w:val="0F0245DB"/>
    <w:rsid w:val="0F8C0A60"/>
    <w:rsid w:val="0FCD552D"/>
    <w:rsid w:val="102A4C6C"/>
    <w:rsid w:val="10926AB7"/>
    <w:rsid w:val="10A2678D"/>
    <w:rsid w:val="10EC17B7"/>
    <w:rsid w:val="10FD3DC3"/>
    <w:rsid w:val="11072A94"/>
    <w:rsid w:val="110E3A9D"/>
    <w:rsid w:val="112C6057"/>
    <w:rsid w:val="115A28E4"/>
    <w:rsid w:val="11743EDB"/>
    <w:rsid w:val="12364BD3"/>
    <w:rsid w:val="123E44FA"/>
    <w:rsid w:val="128E7347"/>
    <w:rsid w:val="12A52565"/>
    <w:rsid w:val="12CC5D44"/>
    <w:rsid w:val="13433B2C"/>
    <w:rsid w:val="13540457"/>
    <w:rsid w:val="13AD4FA0"/>
    <w:rsid w:val="13E7683E"/>
    <w:rsid w:val="140E5EE8"/>
    <w:rsid w:val="146A5814"/>
    <w:rsid w:val="14740441"/>
    <w:rsid w:val="14A423A8"/>
    <w:rsid w:val="14A95C11"/>
    <w:rsid w:val="14E74C9B"/>
    <w:rsid w:val="151E466B"/>
    <w:rsid w:val="1534197E"/>
    <w:rsid w:val="153F2867"/>
    <w:rsid w:val="157A28AF"/>
    <w:rsid w:val="15C745A0"/>
    <w:rsid w:val="16306010"/>
    <w:rsid w:val="16436C21"/>
    <w:rsid w:val="16BB1304"/>
    <w:rsid w:val="170D692B"/>
    <w:rsid w:val="171E6442"/>
    <w:rsid w:val="172F463D"/>
    <w:rsid w:val="17936E30"/>
    <w:rsid w:val="179761F4"/>
    <w:rsid w:val="17EE4066"/>
    <w:rsid w:val="181141F9"/>
    <w:rsid w:val="184C03FD"/>
    <w:rsid w:val="186D58D3"/>
    <w:rsid w:val="19A1335A"/>
    <w:rsid w:val="19F618F8"/>
    <w:rsid w:val="1A0A7151"/>
    <w:rsid w:val="1A6F22D2"/>
    <w:rsid w:val="1A943AF7"/>
    <w:rsid w:val="1A9A6727"/>
    <w:rsid w:val="1AC11F06"/>
    <w:rsid w:val="1B636A3F"/>
    <w:rsid w:val="1C4C39E7"/>
    <w:rsid w:val="1C80194D"/>
    <w:rsid w:val="1C9A47BD"/>
    <w:rsid w:val="1CA47DEB"/>
    <w:rsid w:val="1CC050EC"/>
    <w:rsid w:val="1CD777BF"/>
    <w:rsid w:val="1CFA34AD"/>
    <w:rsid w:val="1D9B4896"/>
    <w:rsid w:val="1E566E09"/>
    <w:rsid w:val="1E85324A"/>
    <w:rsid w:val="1EA700D7"/>
    <w:rsid w:val="1EC5443A"/>
    <w:rsid w:val="1EF74B09"/>
    <w:rsid w:val="1F775289"/>
    <w:rsid w:val="20054643"/>
    <w:rsid w:val="200D2936"/>
    <w:rsid w:val="201C62F8"/>
    <w:rsid w:val="20411092"/>
    <w:rsid w:val="20D72EFF"/>
    <w:rsid w:val="20F070A1"/>
    <w:rsid w:val="215238B8"/>
    <w:rsid w:val="21696E53"/>
    <w:rsid w:val="21CF315A"/>
    <w:rsid w:val="22AD4B1E"/>
    <w:rsid w:val="23492A98"/>
    <w:rsid w:val="2371284F"/>
    <w:rsid w:val="23753F08"/>
    <w:rsid w:val="237948B6"/>
    <w:rsid w:val="24034DE3"/>
    <w:rsid w:val="24187653"/>
    <w:rsid w:val="24286B52"/>
    <w:rsid w:val="242E1C8E"/>
    <w:rsid w:val="24316771"/>
    <w:rsid w:val="2446022B"/>
    <w:rsid w:val="2480073C"/>
    <w:rsid w:val="24A361D8"/>
    <w:rsid w:val="24B51776"/>
    <w:rsid w:val="251763AC"/>
    <w:rsid w:val="25216A19"/>
    <w:rsid w:val="25F9498E"/>
    <w:rsid w:val="263151E3"/>
    <w:rsid w:val="26976211"/>
    <w:rsid w:val="27800A4E"/>
    <w:rsid w:val="27E77427"/>
    <w:rsid w:val="27FA6A57"/>
    <w:rsid w:val="281125F8"/>
    <w:rsid w:val="283E4B96"/>
    <w:rsid w:val="2907571B"/>
    <w:rsid w:val="295F4405"/>
    <w:rsid w:val="29752839"/>
    <w:rsid w:val="29BA649E"/>
    <w:rsid w:val="2A012DF7"/>
    <w:rsid w:val="2A3B1FD1"/>
    <w:rsid w:val="2A726D79"/>
    <w:rsid w:val="2A7725E1"/>
    <w:rsid w:val="2B7D22D9"/>
    <w:rsid w:val="2BE3076A"/>
    <w:rsid w:val="2C7E7C57"/>
    <w:rsid w:val="2CE455E0"/>
    <w:rsid w:val="2E0E6DB8"/>
    <w:rsid w:val="2E160B93"/>
    <w:rsid w:val="2E3D6201"/>
    <w:rsid w:val="2E60513A"/>
    <w:rsid w:val="2E6E3CFB"/>
    <w:rsid w:val="2EAC037F"/>
    <w:rsid w:val="2EC678FB"/>
    <w:rsid w:val="2F2B1BEC"/>
    <w:rsid w:val="2F511653"/>
    <w:rsid w:val="2FC260AC"/>
    <w:rsid w:val="2FD00080"/>
    <w:rsid w:val="300C3788"/>
    <w:rsid w:val="3034062C"/>
    <w:rsid w:val="304B42F4"/>
    <w:rsid w:val="305A62E5"/>
    <w:rsid w:val="309F019C"/>
    <w:rsid w:val="30A05CC2"/>
    <w:rsid w:val="30C776F3"/>
    <w:rsid w:val="30E06864"/>
    <w:rsid w:val="30F73B34"/>
    <w:rsid w:val="30FA6C7D"/>
    <w:rsid w:val="311D52E5"/>
    <w:rsid w:val="316136A3"/>
    <w:rsid w:val="319C292D"/>
    <w:rsid w:val="325C4224"/>
    <w:rsid w:val="327D275F"/>
    <w:rsid w:val="32D22AAA"/>
    <w:rsid w:val="33C80FA0"/>
    <w:rsid w:val="33DC5263"/>
    <w:rsid w:val="33FC5905"/>
    <w:rsid w:val="33FE78CF"/>
    <w:rsid w:val="34580D8D"/>
    <w:rsid w:val="34B00BC9"/>
    <w:rsid w:val="34F62AA4"/>
    <w:rsid w:val="35244234"/>
    <w:rsid w:val="353B6B36"/>
    <w:rsid w:val="35847960"/>
    <w:rsid w:val="36237179"/>
    <w:rsid w:val="36687282"/>
    <w:rsid w:val="36A26B39"/>
    <w:rsid w:val="36B52BBF"/>
    <w:rsid w:val="37211741"/>
    <w:rsid w:val="37272C99"/>
    <w:rsid w:val="376F7A7E"/>
    <w:rsid w:val="37BC7885"/>
    <w:rsid w:val="37CE1367"/>
    <w:rsid w:val="37D050DF"/>
    <w:rsid w:val="37D42FEF"/>
    <w:rsid w:val="37E52224"/>
    <w:rsid w:val="38084878"/>
    <w:rsid w:val="38360415"/>
    <w:rsid w:val="385C7203"/>
    <w:rsid w:val="39D07993"/>
    <w:rsid w:val="3A2B484E"/>
    <w:rsid w:val="3A887EF3"/>
    <w:rsid w:val="3ADE7B13"/>
    <w:rsid w:val="3BF81334"/>
    <w:rsid w:val="3C0D4B53"/>
    <w:rsid w:val="3C495460"/>
    <w:rsid w:val="3CB46D7D"/>
    <w:rsid w:val="3D006466"/>
    <w:rsid w:val="3DC43669"/>
    <w:rsid w:val="3E31180A"/>
    <w:rsid w:val="3E636CAD"/>
    <w:rsid w:val="3E95498C"/>
    <w:rsid w:val="3EA57C42"/>
    <w:rsid w:val="3EE33949"/>
    <w:rsid w:val="3FE43E1D"/>
    <w:rsid w:val="407451A1"/>
    <w:rsid w:val="408E3D89"/>
    <w:rsid w:val="408F46DB"/>
    <w:rsid w:val="411249BA"/>
    <w:rsid w:val="41214BFD"/>
    <w:rsid w:val="4134048C"/>
    <w:rsid w:val="41517290"/>
    <w:rsid w:val="41611082"/>
    <w:rsid w:val="41923405"/>
    <w:rsid w:val="42237A68"/>
    <w:rsid w:val="42644DA1"/>
    <w:rsid w:val="42BF718B"/>
    <w:rsid w:val="43105D77"/>
    <w:rsid w:val="435C09AC"/>
    <w:rsid w:val="43AA1BDB"/>
    <w:rsid w:val="43AD2714"/>
    <w:rsid w:val="44103072"/>
    <w:rsid w:val="4410643E"/>
    <w:rsid w:val="442C5D93"/>
    <w:rsid w:val="446A7E74"/>
    <w:rsid w:val="44BA6EFA"/>
    <w:rsid w:val="45476FB4"/>
    <w:rsid w:val="454F599C"/>
    <w:rsid w:val="45644E54"/>
    <w:rsid w:val="45C21D6F"/>
    <w:rsid w:val="4627191A"/>
    <w:rsid w:val="462E7BA0"/>
    <w:rsid w:val="47460F19"/>
    <w:rsid w:val="47705F96"/>
    <w:rsid w:val="477C28E3"/>
    <w:rsid w:val="477F61D9"/>
    <w:rsid w:val="481E234E"/>
    <w:rsid w:val="48425B85"/>
    <w:rsid w:val="48A560A8"/>
    <w:rsid w:val="48C0399E"/>
    <w:rsid w:val="48F52D8D"/>
    <w:rsid w:val="49042E3A"/>
    <w:rsid w:val="49221512"/>
    <w:rsid w:val="49757894"/>
    <w:rsid w:val="49B02AEE"/>
    <w:rsid w:val="4B1F2A17"/>
    <w:rsid w:val="4B3726F6"/>
    <w:rsid w:val="4B3D2633"/>
    <w:rsid w:val="4B5670C1"/>
    <w:rsid w:val="4B83098E"/>
    <w:rsid w:val="4BDE7972"/>
    <w:rsid w:val="4C0849EF"/>
    <w:rsid w:val="4C0C793F"/>
    <w:rsid w:val="4C3E6663"/>
    <w:rsid w:val="4C8C5620"/>
    <w:rsid w:val="4CD01739"/>
    <w:rsid w:val="4D147203"/>
    <w:rsid w:val="4D1A0E7E"/>
    <w:rsid w:val="4D495A2D"/>
    <w:rsid w:val="4DC31516"/>
    <w:rsid w:val="4EB11255"/>
    <w:rsid w:val="4EBD41B7"/>
    <w:rsid w:val="4ED1072C"/>
    <w:rsid w:val="4F3501F1"/>
    <w:rsid w:val="4F3D2C02"/>
    <w:rsid w:val="4F934F18"/>
    <w:rsid w:val="4FFC486B"/>
    <w:rsid w:val="50830AE8"/>
    <w:rsid w:val="50AF18DD"/>
    <w:rsid w:val="50BC224C"/>
    <w:rsid w:val="50E27F05"/>
    <w:rsid w:val="51343ECB"/>
    <w:rsid w:val="51502B40"/>
    <w:rsid w:val="51CE66DB"/>
    <w:rsid w:val="526754B2"/>
    <w:rsid w:val="530879CB"/>
    <w:rsid w:val="53B316E5"/>
    <w:rsid w:val="53D307BE"/>
    <w:rsid w:val="54492DC1"/>
    <w:rsid w:val="54EC75A4"/>
    <w:rsid w:val="552A3C28"/>
    <w:rsid w:val="552E2FF3"/>
    <w:rsid w:val="55780E38"/>
    <w:rsid w:val="565D002E"/>
    <w:rsid w:val="56665134"/>
    <w:rsid w:val="566D0271"/>
    <w:rsid w:val="56876E58"/>
    <w:rsid w:val="56E147BB"/>
    <w:rsid w:val="56E8417F"/>
    <w:rsid w:val="56EC58D0"/>
    <w:rsid w:val="571921A6"/>
    <w:rsid w:val="572172AD"/>
    <w:rsid w:val="584E7C2E"/>
    <w:rsid w:val="58733B38"/>
    <w:rsid w:val="5894789F"/>
    <w:rsid w:val="58B205D5"/>
    <w:rsid w:val="58B32187"/>
    <w:rsid w:val="58B7499B"/>
    <w:rsid w:val="58D41A42"/>
    <w:rsid w:val="58F26E18"/>
    <w:rsid w:val="59260BAB"/>
    <w:rsid w:val="59945B14"/>
    <w:rsid w:val="59977B9A"/>
    <w:rsid w:val="5A5F4374"/>
    <w:rsid w:val="5A647BDD"/>
    <w:rsid w:val="5AA1498D"/>
    <w:rsid w:val="5AB86683"/>
    <w:rsid w:val="5AC62645"/>
    <w:rsid w:val="5AC71F19"/>
    <w:rsid w:val="5AD563E4"/>
    <w:rsid w:val="5ADC3C17"/>
    <w:rsid w:val="5AF2343A"/>
    <w:rsid w:val="5C1318BA"/>
    <w:rsid w:val="5C25339C"/>
    <w:rsid w:val="5C366DE5"/>
    <w:rsid w:val="5C441A74"/>
    <w:rsid w:val="5CF27865"/>
    <w:rsid w:val="5D235B2D"/>
    <w:rsid w:val="5DBA4BC4"/>
    <w:rsid w:val="5E3033B1"/>
    <w:rsid w:val="5E8B1BDC"/>
    <w:rsid w:val="5EA42C9D"/>
    <w:rsid w:val="5EF61933"/>
    <w:rsid w:val="5F0B4ACB"/>
    <w:rsid w:val="5F3729F3"/>
    <w:rsid w:val="5FB26F83"/>
    <w:rsid w:val="5FB962D5"/>
    <w:rsid w:val="5FFD2BC5"/>
    <w:rsid w:val="60001B6F"/>
    <w:rsid w:val="60C457EE"/>
    <w:rsid w:val="60DA29A7"/>
    <w:rsid w:val="60E92BEA"/>
    <w:rsid w:val="60FF41BB"/>
    <w:rsid w:val="617C1CB0"/>
    <w:rsid w:val="61C13B66"/>
    <w:rsid w:val="628D70B3"/>
    <w:rsid w:val="628F77C1"/>
    <w:rsid w:val="633C17DD"/>
    <w:rsid w:val="6381535B"/>
    <w:rsid w:val="639332E1"/>
    <w:rsid w:val="63EF49BB"/>
    <w:rsid w:val="63FE69AC"/>
    <w:rsid w:val="64E75692"/>
    <w:rsid w:val="64FC354F"/>
    <w:rsid w:val="65081D5E"/>
    <w:rsid w:val="65120B64"/>
    <w:rsid w:val="652C7705"/>
    <w:rsid w:val="65387F11"/>
    <w:rsid w:val="6582733D"/>
    <w:rsid w:val="659A476D"/>
    <w:rsid w:val="65D11E9E"/>
    <w:rsid w:val="66320C06"/>
    <w:rsid w:val="66707909"/>
    <w:rsid w:val="66AA6977"/>
    <w:rsid w:val="66B934EE"/>
    <w:rsid w:val="6744501E"/>
    <w:rsid w:val="67511E0E"/>
    <w:rsid w:val="67630B2B"/>
    <w:rsid w:val="67780823"/>
    <w:rsid w:val="679E68F1"/>
    <w:rsid w:val="681C38A5"/>
    <w:rsid w:val="681F3395"/>
    <w:rsid w:val="68386205"/>
    <w:rsid w:val="68C53F3C"/>
    <w:rsid w:val="68ED228A"/>
    <w:rsid w:val="692073C4"/>
    <w:rsid w:val="69341E28"/>
    <w:rsid w:val="69407A67"/>
    <w:rsid w:val="69DF2DDC"/>
    <w:rsid w:val="6A116D0D"/>
    <w:rsid w:val="6A2D7FEB"/>
    <w:rsid w:val="6A8676FB"/>
    <w:rsid w:val="6A975464"/>
    <w:rsid w:val="6AAB2282"/>
    <w:rsid w:val="6B1C3BBC"/>
    <w:rsid w:val="6B340F05"/>
    <w:rsid w:val="6B735ED1"/>
    <w:rsid w:val="6B895985"/>
    <w:rsid w:val="6C4A2D9F"/>
    <w:rsid w:val="6CBF0CA2"/>
    <w:rsid w:val="6CD97FB6"/>
    <w:rsid w:val="6CDE737B"/>
    <w:rsid w:val="6CE652AF"/>
    <w:rsid w:val="6CF22E26"/>
    <w:rsid w:val="6D013069"/>
    <w:rsid w:val="6D2D20B0"/>
    <w:rsid w:val="6D3F3B91"/>
    <w:rsid w:val="6E535B46"/>
    <w:rsid w:val="6E8421A4"/>
    <w:rsid w:val="6EB63269"/>
    <w:rsid w:val="6ED36C87"/>
    <w:rsid w:val="6EDD6355"/>
    <w:rsid w:val="6F7C0E99"/>
    <w:rsid w:val="6FFE5F86"/>
    <w:rsid w:val="70545BA6"/>
    <w:rsid w:val="70765B1C"/>
    <w:rsid w:val="711C4915"/>
    <w:rsid w:val="71494FDF"/>
    <w:rsid w:val="71997D14"/>
    <w:rsid w:val="72181581"/>
    <w:rsid w:val="72EA5653"/>
    <w:rsid w:val="72F316A6"/>
    <w:rsid w:val="73081ADA"/>
    <w:rsid w:val="73FC458A"/>
    <w:rsid w:val="74542618"/>
    <w:rsid w:val="749033F2"/>
    <w:rsid w:val="749649DF"/>
    <w:rsid w:val="749F4396"/>
    <w:rsid w:val="75481873"/>
    <w:rsid w:val="75AC01D2"/>
    <w:rsid w:val="75D63A4F"/>
    <w:rsid w:val="75F1669B"/>
    <w:rsid w:val="767F7A6D"/>
    <w:rsid w:val="76BB072D"/>
    <w:rsid w:val="76BD26F7"/>
    <w:rsid w:val="76DF266D"/>
    <w:rsid w:val="77456248"/>
    <w:rsid w:val="77930BD1"/>
    <w:rsid w:val="78542BE7"/>
    <w:rsid w:val="786170B2"/>
    <w:rsid w:val="786C17B3"/>
    <w:rsid w:val="78AE7E54"/>
    <w:rsid w:val="78FB5758"/>
    <w:rsid w:val="79314CD6"/>
    <w:rsid w:val="7A8D418E"/>
    <w:rsid w:val="7A951295"/>
    <w:rsid w:val="7B187F43"/>
    <w:rsid w:val="7B4927AB"/>
    <w:rsid w:val="7B9F38BF"/>
    <w:rsid w:val="7BAA1AC9"/>
    <w:rsid w:val="7C1F350C"/>
    <w:rsid w:val="7C330D65"/>
    <w:rsid w:val="7C457D32"/>
    <w:rsid w:val="7C4B4301"/>
    <w:rsid w:val="7C5C02BC"/>
    <w:rsid w:val="7C8D2B6B"/>
    <w:rsid w:val="7CB67090"/>
    <w:rsid w:val="7D1C27AF"/>
    <w:rsid w:val="7D23702C"/>
    <w:rsid w:val="7D741635"/>
    <w:rsid w:val="7DBF0B02"/>
    <w:rsid w:val="7DCC6DCE"/>
    <w:rsid w:val="7DEE72E6"/>
    <w:rsid w:val="7DF34C50"/>
    <w:rsid w:val="7E953F59"/>
    <w:rsid w:val="7EA366EB"/>
    <w:rsid w:val="7EE43B13"/>
    <w:rsid w:val="7EFB3DBC"/>
    <w:rsid w:val="7F326585"/>
    <w:rsid w:val="7F536501"/>
    <w:rsid w:val="7F6E0A32"/>
    <w:rsid w:val="7FA34F2A"/>
    <w:rsid w:val="7FD665D7"/>
    <w:rsid w:val="7FE40CF4"/>
    <w:rsid w:val="7FF44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983</Words>
  <Characters>1050</Characters>
  <Lines>0</Lines>
  <Paragraphs>0</Paragraphs>
  <TotalTime>0</TotalTime>
  <ScaleCrop>false</ScaleCrop>
  <LinksUpToDate>false</LinksUpToDate>
  <CharactersWithSpaces>1050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2025-12-14T16:33:36Z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