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运维服务内审计划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（YNTD-ITSS-0410）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0.10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34" w:type="dxa"/>
          </w:tcPr>
          <w:p w14:paraId="76E7ED73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10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B10BE0E">
      <w:pPr>
        <w:spacing w:before="213" w:line="217" w:lineRule="auto"/>
        <w:ind w:left="3711"/>
        <w:outlineLvl w:val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运维服务内审计划</w:t>
      </w:r>
    </w:p>
    <w:p w14:paraId="62F1E205">
      <w:pPr>
        <w:spacing w:before="208"/>
      </w:pPr>
    </w:p>
    <w:tbl>
      <w:tblPr>
        <w:tblStyle w:val="26"/>
        <w:tblW w:w="98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1"/>
        <w:gridCol w:w="4902"/>
      </w:tblGrid>
      <w:tr w14:paraId="604E5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9803" w:type="dxa"/>
            <w:gridSpan w:val="2"/>
          </w:tcPr>
          <w:p w14:paraId="7899CD10">
            <w:pPr>
              <w:spacing w:before="177" w:line="219" w:lineRule="auto"/>
              <w:ind w:left="14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"/>
                <w:sz w:val="28"/>
                <w:szCs w:val="28"/>
              </w:rPr>
              <w:t>审核目的：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确保体系的符合性和有效性，并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得到持续改进.</w:t>
            </w:r>
          </w:p>
        </w:tc>
      </w:tr>
      <w:tr w14:paraId="7FBA49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9803" w:type="dxa"/>
            <w:gridSpan w:val="2"/>
          </w:tcPr>
          <w:p w14:paraId="2E403380">
            <w:pPr>
              <w:spacing w:before="172" w:line="219" w:lineRule="auto"/>
              <w:ind w:left="13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6"/>
                <w:sz w:val="28"/>
                <w:szCs w:val="28"/>
              </w:rPr>
              <w:t>一、</w:t>
            </w:r>
            <w:r>
              <w:rPr>
                <w:rFonts w:ascii="仿宋" w:hAnsi="仿宋" w:eastAsia="仿宋" w:cs="仿宋"/>
                <w:spacing w:val="20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6"/>
                <w:sz w:val="28"/>
                <w:szCs w:val="28"/>
              </w:rPr>
              <w:t>审核范围：</w:t>
            </w:r>
          </w:p>
          <w:p w14:paraId="4E901DFA">
            <w:pPr>
              <w:spacing w:before="234" w:line="217" w:lineRule="auto"/>
              <w:ind w:left="54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ITSS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体系标准覆盖的相关部门及活动</w:t>
            </w:r>
          </w:p>
        </w:tc>
      </w:tr>
      <w:tr w14:paraId="58EE41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2" w:hRule="atLeast"/>
        </w:trPr>
        <w:tc>
          <w:tcPr>
            <w:tcW w:w="9803" w:type="dxa"/>
            <w:gridSpan w:val="2"/>
          </w:tcPr>
          <w:p w14:paraId="36771FA8">
            <w:pPr>
              <w:spacing w:before="172" w:line="219" w:lineRule="auto"/>
              <w:ind w:left="135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二、</w:t>
            </w:r>
            <w:r>
              <w:rPr>
                <w:rFonts w:ascii="仿宋" w:hAnsi="仿宋" w:eastAsia="仿宋" w:cs="仿宋"/>
                <w:spacing w:val="21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审核依据：</w:t>
            </w:r>
          </w:p>
          <w:p w14:paraId="6EAF18A9">
            <w:pPr>
              <w:spacing w:before="233" w:line="360" w:lineRule="auto"/>
              <w:ind w:left="538" w:right="37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《信息技术服务</w:t>
            </w:r>
            <w:r>
              <w:rPr>
                <w:rFonts w:ascii="仿宋" w:hAnsi="仿宋" w:eastAsia="仿宋" w:cs="仿宋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运行维护服务能力成熟度模型》三级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《202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年运维服务管理目标》；</w:t>
            </w:r>
          </w:p>
          <w:p w14:paraId="730C3EFB">
            <w:pPr>
              <w:spacing w:line="217" w:lineRule="auto"/>
              <w:ind w:left="66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公司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ITSS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管理制度及相关制度；</w:t>
            </w:r>
          </w:p>
          <w:p w14:paraId="6DABA5B9">
            <w:pPr>
              <w:spacing w:before="185" w:line="218" w:lineRule="auto"/>
              <w:ind w:left="66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适用的法律法规等</w:t>
            </w:r>
          </w:p>
        </w:tc>
      </w:tr>
      <w:tr w14:paraId="3AF46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9803" w:type="dxa"/>
            <w:gridSpan w:val="2"/>
          </w:tcPr>
          <w:p w14:paraId="7388BB4E">
            <w:pPr>
              <w:spacing w:before="173" w:line="219" w:lineRule="auto"/>
              <w:ind w:left="13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三、</w:t>
            </w:r>
            <w:r>
              <w:rPr>
                <w:rFonts w:ascii="仿宋" w:hAnsi="仿宋" w:eastAsia="仿宋" w:cs="仿宋"/>
                <w:spacing w:val="22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7"/>
                <w:sz w:val="28"/>
                <w:szCs w:val="28"/>
              </w:rPr>
              <w:t>审核时间：</w:t>
            </w:r>
          </w:p>
          <w:p w14:paraId="4C211F25">
            <w:pPr>
              <w:spacing w:before="234" w:line="218" w:lineRule="auto"/>
              <w:ind w:left="56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时间安排：202</w:t>
            </w: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33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33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日</w:t>
            </w:r>
            <w:r>
              <w:rPr>
                <w:rFonts w:ascii="仿宋" w:hAnsi="仿宋" w:eastAsia="仿宋" w:cs="仿宋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至 202</w:t>
            </w: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34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日</w:t>
            </w:r>
          </w:p>
          <w:p w14:paraId="0842126A">
            <w:pPr>
              <w:spacing w:before="184" w:line="218" w:lineRule="auto"/>
              <w:ind w:left="5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会议安排：首次会议时间：</w:t>
            </w:r>
            <w:r>
              <w:rPr>
                <w:rFonts w:ascii="仿宋" w:hAnsi="仿宋" w:eastAsia="仿宋" w:cs="仿宋"/>
                <w:spacing w:val="39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39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日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9：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00时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eastAsia="zh-CN"/>
              </w:rPr>
              <w:t>，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末次会议时间：1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月1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 xml:space="preserve"> 日17:00</w:t>
            </w:r>
            <w:r>
              <w:rPr>
                <w:rFonts w:ascii="仿宋" w:hAnsi="仿宋" w:eastAsia="仿宋" w:cs="仿宋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时</w:t>
            </w:r>
          </w:p>
        </w:tc>
      </w:tr>
      <w:tr w14:paraId="5FE7E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3" w:hRule="atLeast"/>
        </w:trPr>
        <w:tc>
          <w:tcPr>
            <w:tcW w:w="9803" w:type="dxa"/>
            <w:gridSpan w:val="2"/>
          </w:tcPr>
          <w:p w14:paraId="492D72D2">
            <w:pPr>
              <w:spacing w:before="172" w:line="231" w:lineRule="auto"/>
              <w:ind w:left="15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四、</w:t>
            </w:r>
            <w:r>
              <w:rPr>
                <w:rFonts w:ascii="仿宋" w:hAnsi="仿宋" w:eastAsia="仿宋" w:cs="仿宋"/>
                <w:spacing w:val="22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审核组成员</w:t>
            </w:r>
            <w:r>
              <w:rPr>
                <w:rFonts w:ascii="Arial" w:hAnsi="Arial" w:eastAsia="Arial" w:cs="Arial"/>
                <w:b/>
                <w:bCs/>
                <w:spacing w:val="-7"/>
                <w:sz w:val="28"/>
                <w:szCs w:val="28"/>
              </w:rPr>
              <w:t xml:space="preserve">:     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内审组长：</w:t>
            </w: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</w:rPr>
              <w:t>赵建中</w:t>
            </w:r>
          </w:p>
          <w:p w14:paraId="4EC2AF4D">
            <w:pPr>
              <w:spacing w:before="214" w:line="360" w:lineRule="auto"/>
              <w:ind w:left="1322" w:right="182" w:hanging="77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部门：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运维部、质量部、研发部、人力部</w:t>
            </w:r>
          </w:p>
          <w:p w14:paraId="0BA70A85">
            <w:pPr>
              <w:spacing w:line="217" w:lineRule="auto"/>
              <w:ind w:left="567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审核组员：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</w:rPr>
              <w:t>谢广胜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）、马忠（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）、阮郑（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）、吴杰（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D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eastAsia="zh-CN"/>
              </w:rPr>
              <w:t>）</w:t>
            </w:r>
          </w:p>
        </w:tc>
      </w:tr>
      <w:tr w14:paraId="2A5650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9803" w:type="dxa"/>
            <w:gridSpan w:val="2"/>
          </w:tcPr>
          <w:p w14:paraId="1A3A379A">
            <w:pPr>
              <w:pStyle w:val="27"/>
              <w:spacing w:before="170" w:line="219" w:lineRule="auto"/>
              <w:ind w:left="11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b/>
                <w:bCs/>
                <w:spacing w:val="-14"/>
                <w:sz w:val="21"/>
                <w:szCs w:val="21"/>
              </w:rPr>
              <w:t>五、</w:t>
            </w:r>
            <w:r>
              <w:rPr>
                <w:spacing w:val="10"/>
                <w:sz w:val="21"/>
                <w:szCs w:val="21"/>
              </w:rPr>
              <w:t xml:space="preserve">    </w:t>
            </w:r>
            <w:r>
              <w:rPr>
                <w:rFonts w:ascii="仿宋" w:hAnsi="仿宋" w:eastAsia="仿宋" w:cs="仿宋"/>
                <w:b/>
                <w:bCs/>
                <w:spacing w:val="-14"/>
                <w:sz w:val="28"/>
                <w:szCs w:val="28"/>
              </w:rPr>
              <w:t>审核中活动：</w:t>
            </w:r>
          </w:p>
          <w:p w14:paraId="040ADAA7">
            <w:pPr>
              <w:spacing w:before="156" w:line="225" w:lineRule="auto"/>
              <w:ind w:left="382" w:right="2521" w:hanging="1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首、末次会议：最高管理者或其代表与审核有关的管理人员参加。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审核活动：按审核日程安排，被审核方有关人员在本岗位。</w:t>
            </w:r>
          </w:p>
        </w:tc>
      </w:tr>
      <w:tr w14:paraId="091B36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9803" w:type="dxa"/>
            <w:gridSpan w:val="2"/>
            <w:shd w:val="clear" w:color="auto" w:fill="auto"/>
            <w:vAlign w:val="top"/>
          </w:tcPr>
          <w:p w14:paraId="0D07BA1E">
            <w:pPr>
              <w:spacing w:before="169" w:line="234" w:lineRule="auto"/>
              <w:ind w:left="128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六、</w:t>
            </w:r>
            <w:r>
              <w:rPr>
                <w:rFonts w:ascii="仿宋" w:hAnsi="仿宋" w:eastAsia="仿宋" w:cs="仿宋"/>
                <w:spacing w:val="11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备注</w:t>
            </w:r>
            <w:r>
              <w:rPr>
                <w:rFonts w:ascii="Arial" w:hAnsi="Arial" w:eastAsia="Arial" w:cs="Arial"/>
                <w:b/>
                <w:bCs/>
                <w:spacing w:val="-10"/>
                <w:sz w:val="28"/>
                <w:szCs w:val="28"/>
              </w:rPr>
              <w:t>:</w:t>
            </w:r>
          </w:p>
          <w:p w14:paraId="3820234F">
            <w:pPr>
              <w:spacing w:before="132" w:line="215" w:lineRule="auto"/>
              <w:ind w:left="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在内审实施中各部门要配合内审人员进行内审工作;</w:t>
            </w:r>
          </w:p>
          <w:p w14:paraId="6491DFF0">
            <w:pPr>
              <w:spacing w:before="32" w:line="215" w:lineRule="auto"/>
              <w:ind w:left="36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在内审实施中要避免言语冲突的发生;</w:t>
            </w:r>
          </w:p>
          <w:p w14:paraId="2AA789CD">
            <w:pPr>
              <w:spacing w:before="110" w:line="217" w:lineRule="auto"/>
              <w:ind w:left="393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内审员对审核结果要及时记录(无论是否符合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)。</w:t>
            </w:r>
          </w:p>
        </w:tc>
      </w:tr>
      <w:tr w14:paraId="7FCCD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4" w:hRule="atLeast"/>
        </w:trPr>
        <w:tc>
          <w:tcPr>
            <w:tcW w:w="4901" w:type="dxa"/>
            <w:shd w:val="clear" w:color="auto" w:fill="auto"/>
            <w:vAlign w:val="top"/>
          </w:tcPr>
          <w:p w14:paraId="4774394A">
            <w:pPr>
              <w:spacing w:before="236" w:line="217" w:lineRule="auto"/>
              <w:ind w:left="142" w:leftChars="0"/>
              <w:rPr>
                <w:rFonts w:hint="default"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编制人：</w:t>
            </w:r>
            <w:r>
              <w:rPr>
                <w:rFonts w:hint="eastAsia" w:ascii="仿宋" w:hAnsi="仿宋" w:eastAsia="仿宋" w:cs="仿宋"/>
                <w:b/>
                <w:bCs/>
                <w:spacing w:val="-4"/>
                <w:sz w:val="24"/>
                <w:szCs w:val="24"/>
                <w:lang w:val="en-US" w:eastAsia="zh-CN"/>
              </w:rPr>
              <w:t>吴杰</w:t>
            </w:r>
            <w:bookmarkStart w:id="0" w:name="_GoBack"/>
            <w:bookmarkEnd w:id="0"/>
          </w:p>
        </w:tc>
        <w:tc>
          <w:tcPr>
            <w:tcW w:w="4902" w:type="dxa"/>
            <w:shd w:val="clear" w:color="auto" w:fill="auto"/>
            <w:vAlign w:val="top"/>
          </w:tcPr>
          <w:p w14:paraId="4E2E6EFB">
            <w:pPr>
              <w:spacing w:before="236" w:line="218" w:lineRule="auto"/>
              <w:ind w:left="140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审批人：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陆涛</w:t>
            </w:r>
          </w:p>
        </w:tc>
      </w:tr>
    </w:tbl>
    <w:p w14:paraId="3D963B05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3431E67"/>
    <w:rsid w:val="03814846"/>
    <w:rsid w:val="05B95683"/>
    <w:rsid w:val="0A2F0DBE"/>
    <w:rsid w:val="0E4B1F3E"/>
    <w:rsid w:val="10DB1C9F"/>
    <w:rsid w:val="128E7347"/>
    <w:rsid w:val="136C3AC7"/>
    <w:rsid w:val="137D703E"/>
    <w:rsid w:val="15393438"/>
    <w:rsid w:val="157A28AF"/>
    <w:rsid w:val="15E056A4"/>
    <w:rsid w:val="1A9A6727"/>
    <w:rsid w:val="1AC11F06"/>
    <w:rsid w:val="1B2B3823"/>
    <w:rsid w:val="1C4C39E7"/>
    <w:rsid w:val="1CFA34AD"/>
    <w:rsid w:val="26976211"/>
    <w:rsid w:val="295F4405"/>
    <w:rsid w:val="2B7D22D9"/>
    <w:rsid w:val="2FC260AC"/>
    <w:rsid w:val="355C541A"/>
    <w:rsid w:val="3ABB02C8"/>
    <w:rsid w:val="3C0D4B53"/>
    <w:rsid w:val="3E3A0EB7"/>
    <w:rsid w:val="3F262663"/>
    <w:rsid w:val="3F493A54"/>
    <w:rsid w:val="45576E3F"/>
    <w:rsid w:val="480956EA"/>
    <w:rsid w:val="48FD7CFE"/>
    <w:rsid w:val="496970CF"/>
    <w:rsid w:val="4C0E172E"/>
    <w:rsid w:val="4D495A2D"/>
    <w:rsid w:val="4F3501F1"/>
    <w:rsid w:val="50AF18DD"/>
    <w:rsid w:val="53B316E5"/>
    <w:rsid w:val="55052414"/>
    <w:rsid w:val="57144B90"/>
    <w:rsid w:val="58733B38"/>
    <w:rsid w:val="5ADC3C17"/>
    <w:rsid w:val="5E8B1BDC"/>
    <w:rsid w:val="60001B6F"/>
    <w:rsid w:val="67780823"/>
    <w:rsid w:val="68ED228A"/>
    <w:rsid w:val="6A2D7FEB"/>
    <w:rsid w:val="6BE26BB3"/>
    <w:rsid w:val="6EB63269"/>
    <w:rsid w:val="6F7C0E99"/>
    <w:rsid w:val="73272669"/>
    <w:rsid w:val="74542618"/>
    <w:rsid w:val="769431A0"/>
    <w:rsid w:val="76BB072D"/>
    <w:rsid w:val="778E6DEC"/>
    <w:rsid w:val="79314CD6"/>
    <w:rsid w:val="7C1F350C"/>
    <w:rsid w:val="7CB67090"/>
    <w:rsid w:val="7D741635"/>
    <w:rsid w:val="7E543940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495</Words>
  <Characters>590</Characters>
  <Lines>0</Lines>
  <Paragraphs>0</Paragraphs>
  <TotalTime>0</TotalTime>
  <ScaleCrop>false</ScaleCrop>
  <LinksUpToDate>false</LinksUpToDate>
  <CharactersWithSpaces>620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2025-12-13T02:48:53Z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