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2545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7521"/>
      <w:r>
        <w:rPr>
          <w:rFonts w:hint="eastAsia"/>
          <w:lang w:val="en-US" w:eastAsia="zh-CN"/>
        </w:rPr>
        <w:t>工作交接管理办法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8056"/>
      <w:r>
        <w:rPr>
          <w:rFonts w:hint="eastAsia"/>
          <w:lang w:val="en-US" w:eastAsia="zh-CN"/>
        </w:rPr>
        <w:t>（YNTD-ITSS-0506）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968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  <w:bookmarkStart w:id="14" w:name="_GoBack"/>
            <w:bookmarkEnd w:id="14"/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450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46371CE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0D7B54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_Toc32545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_Toc32545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9D0948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_Toc27521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工作交接管理办法</w:t>
          </w:r>
          <w:r>
            <w:tab/>
          </w:r>
          <w:r>
            <w:fldChar w:fldCharType="begin"/>
          </w:r>
          <w:r>
            <w:instrText xml:space="preserve"> PAGEREF _Toc27521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FF5F05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_Toc28056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（YNTD-ITSS-0506）</w:t>
          </w:r>
          <w:r>
            <w:tab/>
          </w:r>
          <w:r>
            <w:fldChar w:fldCharType="begin"/>
          </w:r>
          <w:r>
            <w:instrText xml:space="preserve"> PAGEREF _Toc28056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7C13E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_Toc19683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_Toc19683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EDAF22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_Toc3262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FD10AA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_Toc18598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1. 目的</w:t>
          </w:r>
          <w:r>
            <w:tab/>
          </w:r>
          <w:r>
            <w:fldChar w:fldCharType="begin"/>
          </w:r>
          <w:r>
            <w:instrText xml:space="preserve"> PAGEREF _Toc18598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7042D6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_Toc9335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_Toc9335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6EA34B7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_Toc7321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_Toc7321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589D6E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_Toc8931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工作交接适用情形</w:t>
          </w:r>
          <w:r>
            <w:tab/>
          </w:r>
          <w:r>
            <w:fldChar w:fldCharType="begin"/>
          </w:r>
          <w:r>
            <w:instrText xml:space="preserve"> PAGEREF _Toc8931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FEAE1A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_Toc20391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交接流程与职责</w:t>
          </w:r>
          <w:r>
            <w:tab/>
          </w:r>
          <w:r>
            <w:fldChar w:fldCharType="begin"/>
          </w:r>
          <w:r>
            <w:instrText xml:space="preserve"> PAGEREF _Toc20391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4B7EF7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_Toc10084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_Toc10084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4111F7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_Toc28484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交接三方职责</w:t>
          </w:r>
          <w:r>
            <w:tab/>
          </w:r>
          <w:r>
            <w:fldChar w:fldCharType="begin"/>
          </w:r>
          <w:r>
            <w:instrText xml:space="preserve"> PAGEREF _Toc28484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D3F010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_Toc11984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3.3. 交接步骤</w:t>
          </w:r>
          <w:r>
            <w:tab/>
          </w:r>
          <w:r>
            <w:fldChar w:fldCharType="begin"/>
          </w:r>
          <w:r>
            <w:instrText xml:space="preserve"> PAGEREF _Toc11984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7ED4C6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_Toc23892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3.4. 交接内容与要求</w:t>
          </w:r>
          <w:r>
            <w:tab/>
          </w:r>
          <w:r>
            <w:fldChar w:fldCharType="begin"/>
          </w:r>
          <w:r>
            <w:instrText xml:space="preserve"> PAGEREF _Toc23892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4F979E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default"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743732AC">
      <w:p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053971FC">
      <w:pPr>
        <w:pStyle w:val="28"/>
        <w:bidi w:val="0"/>
        <w:rPr>
          <w:rFonts w:hint="default"/>
          <w:lang w:val="en-US" w:eastAsia="zh-CN"/>
        </w:rPr>
      </w:pPr>
      <w:bookmarkStart w:id="4" w:name="_Toc3262"/>
      <w:r>
        <w:rPr>
          <w:rFonts w:hint="default"/>
          <w:lang w:val="en-US" w:eastAsia="zh-CN"/>
        </w:rPr>
        <w:t>概述</w:t>
      </w:r>
      <w:bookmarkEnd w:id="4"/>
    </w:p>
    <w:p w14:paraId="107AA682">
      <w:pPr>
        <w:pStyle w:val="30"/>
        <w:bidi w:val="0"/>
        <w:rPr>
          <w:rFonts w:hint="default"/>
          <w:lang w:val="en-US" w:eastAsia="zh-CN"/>
        </w:rPr>
      </w:pPr>
      <w:bookmarkStart w:id="5" w:name="_Toc18598"/>
      <w:r>
        <w:rPr>
          <w:rFonts w:hint="default"/>
          <w:lang w:val="en-US" w:eastAsia="zh-CN"/>
        </w:rPr>
        <w:t>1. 目的</w:t>
      </w:r>
      <w:bookmarkEnd w:id="5"/>
    </w:p>
    <w:p w14:paraId="2B6383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为规范员工岗位变动、离职或长期离岗时的工作交接程序，确保工作的连续性、完整性和稳定性，防止因人员变动造成工作延误、资料遗失或责任不清，特制定本制度。</w:t>
      </w:r>
    </w:p>
    <w:p w14:paraId="2EBCE1C2">
      <w:pPr>
        <w:pStyle w:val="30"/>
        <w:bidi w:val="0"/>
        <w:rPr>
          <w:rFonts w:hint="default"/>
          <w:lang w:val="en-US" w:eastAsia="zh-CN"/>
        </w:rPr>
      </w:pPr>
      <w:bookmarkStart w:id="6" w:name="_Toc9335"/>
      <w:r>
        <w:rPr>
          <w:rFonts w:hint="default"/>
          <w:lang w:val="en-US" w:eastAsia="zh-CN"/>
        </w:rPr>
        <w:t>适用范围</w:t>
      </w:r>
      <w:bookmarkEnd w:id="6"/>
    </w:p>
    <w:p w14:paraId="3B3002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本制度适用于公司全体员工因离职、调岗、轮岗、请假（超过5个工作日）或其他原因离岗时的工作交接管理。</w:t>
      </w:r>
    </w:p>
    <w:p w14:paraId="5D55A538">
      <w:pPr>
        <w:pStyle w:val="30"/>
        <w:bidi w:val="0"/>
        <w:rPr>
          <w:rFonts w:hint="default"/>
          <w:lang w:val="en-US" w:eastAsia="zh-CN"/>
        </w:rPr>
      </w:pPr>
      <w:bookmarkStart w:id="7" w:name="_Toc7321"/>
      <w:r>
        <w:rPr>
          <w:rFonts w:hint="default"/>
          <w:lang w:val="en-US" w:eastAsia="zh-CN"/>
        </w:rPr>
        <w:t>基本原则</w:t>
      </w:r>
      <w:bookmarkEnd w:id="7"/>
    </w:p>
    <w:p w14:paraId="6B1FC2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完整性原则：交接内容应全面、系统，覆盖岗位全部职责与资料。</w:t>
      </w:r>
    </w:p>
    <w:p w14:paraId="4C8485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清晰性原则：交接过程应书面化、清单化，确保双方理解一致。</w:t>
      </w:r>
    </w:p>
    <w:p w14:paraId="13F48B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及时性原则：交接应在岗位变动前启动并完成，不得延误。</w:t>
      </w:r>
    </w:p>
    <w:p w14:paraId="1BD3B3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责任到人原则：交接双方及监交人应签字确认，对交接内容负责。</w:t>
      </w:r>
    </w:p>
    <w:p w14:paraId="6C2097A9">
      <w:pPr>
        <w:pStyle w:val="28"/>
        <w:bidi w:val="0"/>
        <w:rPr>
          <w:rFonts w:hint="default"/>
          <w:lang w:val="en-US" w:eastAsia="zh-CN"/>
        </w:rPr>
      </w:pPr>
      <w:bookmarkStart w:id="8" w:name="_Toc8931"/>
      <w:r>
        <w:rPr>
          <w:rFonts w:hint="default"/>
          <w:lang w:val="en-US" w:eastAsia="zh-CN"/>
        </w:rPr>
        <w:t>工作交接适用情形</w:t>
      </w:r>
      <w:bookmarkEnd w:id="8"/>
    </w:p>
    <w:p w14:paraId="00380C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员工离职（包括辞职、辞退、退休等）</w:t>
      </w:r>
    </w:p>
    <w:p w14:paraId="02C984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内部调岗或轮岗</w:t>
      </w:r>
    </w:p>
    <w:p w14:paraId="30CDB6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长期请假（事假、病假等超过5个工作日）</w:t>
      </w:r>
    </w:p>
    <w:p w14:paraId="1EF4DF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岗位职责重大调整或新增</w:t>
      </w:r>
    </w:p>
    <w:p w14:paraId="54A142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其他经部门负责人认定需要交接的情形</w:t>
      </w:r>
    </w:p>
    <w:p w14:paraId="09110E5A">
      <w:pPr>
        <w:pStyle w:val="28"/>
        <w:bidi w:val="0"/>
        <w:rPr>
          <w:rFonts w:hint="default"/>
          <w:lang w:val="en-US" w:eastAsia="zh-CN"/>
        </w:rPr>
      </w:pPr>
      <w:bookmarkStart w:id="9" w:name="_Toc20391"/>
      <w:r>
        <w:rPr>
          <w:rFonts w:hint="default"/>
          <w:lang w:val="en-US" w:eastAsia="zh-CN"/>
        </w:rPr>
        <w:t>交接流程与职责</w:t>
      </w:r>
      <w:bookmarkEnd w:id="9"/>
    </w:p>
    <w:p w14:paraId="705867B8">
      <w:pPr>
        <w:pStyle w:val="30"/>
        <w:bidi w:val="0"/>
        <w:rPr>
          <w:rFonts w:hint="default"/>
          <w:lang w:val="en-US" w:eastAsia="zh-CN"/>
        </w:rPr>
      </w:pPr>
      <w:bookmarkStart w:id="10" w:name="_Toc10084"/>
      <w:r>
        <w:rPr>
          <w:rFonts w:hint="default"/>
          <w:lang w:val="en-US" w:eastAsia="zh-CN"/>
        </w:rPr>
        <w:t>交接启动</w:t>
      </w:r>
      <w:bookmarkEnd w:id="10"/>
    </w:p>
    <w:p w14:paraId="2616C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员工提出离职或调岗申请后，部门负责人应在3个工作日内确定交接计划，并指定交接人、接收人及监交人。</w:t>
      </w:r>
    </w:p>
    <w:p w14:paraId="266A0D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交接周期一般不超过5个工作日，特殊情况需报部门负责人批准延长。</w:t>
      </w:r>
    </w:p>
    <w:p w14:paraId="555F3105">
      <w:pPr>
        <w:pStyle w:val="30"/>
        <w:bidi w:val="0"/>
        <w:rPr>
          <w:rFonts w:hint="default"/>
          <w:lang w:val="en-US" w:eastAsia="zh-CN"/>
        </w:rPr>
      </w:pPr>
      <w:bookmarkStart w:id="11" w:name="_Toc28484"/>
      <w:r>
        <w:rPr>
          <w:rFonts w:hint="default"/>
          <w:lang w:val="en-US" w:eastAsia="zh-CN"/>
        </w:rPr>
        <w:t>交接三方职责</w:t>
      </w:r>
      <w:bookmarkEnd w:id="11"/>
    </w:p>
    <w:p w14:paraId="098B6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交接人（离岗员工）：负责整理并移交本制度第四条所列全部内容，确保真实、完整、清晰。</w:t>
      </w:r>
    </w:p>
    <w:p w14:paraId="6C218B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接收人（接岗员工）：负责接收、核验并理解交接内容，确认无误后签字。</w:t>
      </w:r>
    </w:p>
    <w:p w14:paraId="3BA13B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监交人（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）：负责监督交接过程，协调资源，审核交接清单，确保交接质量。</w:t>
      </w:r>
    </w:p>
    <w:p w14:paraId="5D2BD3E6">
      <w:pPr>
        <w:pStyle w:val="30"/>
        <w:bidi w:val="0"/>
        <w:rPr>
          <w:rFonts w:hint="default"/>
          <w:lang w:val="en-US" w:eastAsia="zh-CN"/>
        </w:rPr>
      </w:pPr>
      <w:bookmarkStart w:id="12" w:name="_Toc11984"/>
      <w:r>
        <w:rPr>
          <w:rFonts w:hint="default"/>
          <w:lang w:val="en-US" w:eastAsia="zh-CN"/>
        </w:rPr>
        <w:t>交接步骤</w:t>
      </w:r>
      <w:bookmarkEnd w:id="12"/>
    </w:p>
    <w:p w14:paraId="3CE597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（1）交接人填写《工作交接清单》（见附件1），提交监交人审核。</w:t>
      </w:r>
    </w:p>
    <w:p w14:paraId="5683D2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（2）三方共同进行实物、文件、系统权限等现场交接。</w:t>
      </w:r>
    </w:p>
    <w:p w14:paraId="6E068D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（3）接收人熟悉工作内容，交接人提供必要辅导。</w:t>
      </w:r>
    </w:p>
    <w:p w14:paraId="65CDC7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（4）三方签字确认，《工作交接清单》一式三份，分别留存交接人、接收人、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备案。</w:t>
      </w:r>
    </w:p>
    <w:p w14:paraId="08E3967C">
      <w:pPr>
        <w:pStyle w:val="30"/>
        <w:bidi w:val="0"/>
        <w:rPr>
          <w:rFonts w:hint="default"/>
          <w:lang w:val="en-US" w:eastAsia="zh-CN"/>
        </w:rPr>
      </w:pPr>
      <w:bookmarkStart w:id="13" w:name="_Toc23892"/>
      <w:r>
        <w:rPr>
          <w:rFonts w:hint="default"/>
          <w:lang w:val="en-US" w:eastAsia="zh-CN"/>
        </w:rPr>
        <w:t>交接内容与要求</w:t>
      </w:r>
      <w:bookmarkEnd w:id="13"/>
    </w:p>
    <w:p w14:paraId="15A97C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文件资料交接</w:t>
      </w:r>
    </w:p>
    <w:p w14:paraId="278754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岗位相关制度、规范、操作手册</w:t>
      </w:r>
    </w:p>
    <w:p w14:paraId="43C2AF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未办结文件、合同、项目资料</w:t>
      </w:r>
    </w:p>
    <w:p w14:paraId="2E4D9B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历史档案、报告、数据记录</w:t>
      </w:r>
    </w:p>
    <w:p w14:paraId="215C25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电子文档目录及存储位置说明</w:t>
      </w:r>
    </w:p>
    <w:p w14:paraId="2191DF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工作事项交接</w:t>
      </w:r>
    </w:p>
    <w:p w14:paraId="50F1D9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当前重点工作进展、待办任务清单</w:t>
      </w:r>
    </w:p>
    <w:p w14:paraId="0707B6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项目状态、关键节点及责任人</w:t>
      </w:r>
    </w:p>
    <w:p w14:paraId="02DDD3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日常职责、周期性工作安排</w:t>
      </w:r>
    </w:p>
    <w:p w14:paraId="3A280B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外部联系单位/人员清单及注意事项</w:t>
      </w:r>
    </w:p>
    <w:p w14:paraId="35F8A8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资产与权限交接</w:t>
      </w:r>
    </w:p>
    <w:p w14:paraId="3F044F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办公设备、工具、钥匙等实物资产</w:t>
      </w:r>
    </w:p>
    <w:p w14:paraId="1CD0D6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系统账号、密码、操作权限</w:t>
      </w:r>
    </w:p>
    <w:p w14:paraId="385EF2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财务借款、备用金、未报销单据</w:t>
      </w:r>
    </w:p>
    <w:p w14:paraId="2F8524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公司卡证、印章、授权文件等</w:t>
      </w:r>
    </w:p>
    <w:p w14:paraId="42214C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工作联络交接</w:t>
      </w:r>
    </w:p>
    <w:p w14:paraId="1FB2BF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内部协作部门及接口人</w:t>
      </w:r>
    </w:p>
    <w:p w14:paraId="5030B2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外部客户、供应商、合作伙伴联系表</w:t>
      </w:r>
    </w:p>
    <w:p w14:paraId="1D2D47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正在进行的沟通事项及待回复内容</w:t>
      </w:r>
    </w:p>
    <w:p w14:paraId="14A4A6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五、监督与责任</w:t>
      </w:r>
    </w:p>
    <w:p w14:paraId="1E98B8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为交接第一责任人，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负责制度执行监督。</w:t>
      </w:r>
    </w:p>
    <w:p w14:paraId="3D7BC1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交接不完整或不符合要求，监交人有权要求重新交接。</w:t>
      </w:r>
    </w:p>
    <w:p w14:paraId="2E0946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因交接不清导致工作延误、资料丢失或损失，追究交接人、接收人及监交人相应责任。</w:t>
      </w:r>
    </w:p>
    <w:p w14:paraId="08E396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未完成交接的离职员工，公司有权暂缓办理离职手续及相关结算。</w:t>
      </w:r>
    </w:p>
    <w:p w14:paraId="46F71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61F13"/>
    <w:rsid w:val="00E865C2"/>
    <w:rsid w:val="01161381"/>
    <w:rsid w:val="016F283F"/>
    <w:rsid w:val="01873A23"/>
    <w:rsid w:val="027A149C"/>
    <w:rsid w:val="028440C8"/>
    <w:rsid w:val="033856D9"/>
    <w:rsid w:val="03431E67"/>
    <w:rsid w:val="037E2237"/>
    <w:rsid w:val="03B804CE"/>
    <w:rsid w:val="03F4456E"/>
    <w:rsid w:val="04B4212E"/>
    <w:rsid w:val="04C36455"/>
    <w:rsid w:val="04EF3956"/>
    <w:rsid w:val="04FE63B4"/>
    <w:rsid w:val="05957D83"/>
    <w:rsid w:val="05B95683"/>
    <w:rsid w:val="05C017FD"/>
    <w:rsid w:val="060C68AF"/>
    <w:rsid w:val="06CB49BC"/>
    <w:rsid w:val="074B3407"/>
    <w:rsid w:val="07C10266"/>
    <w:rsid w:val="07DB478B"/>
    <w:rsid w:val="07E15B19"/>
    <w:rsid w:val="080B2B96"/>
    <w:rsid w:val="08145EEF"/>
    <w:rsid w:val="08B17BE1"/>
    <w:rsid w:val="08D062B9"/>
    <w:rsid w:val="09DE0562"/>
    <w:rsid w:val="09FA11E0"/>
    <w:rsid w:val="0A2F0DBE"/>
    <w:rsid w:val="0AC41E4E"/>
    <w:rsid w:val="0B0A5387"/>
    <w:rsid w:val="0B13248D"/>
    <w:rsid w:val="0C201B54"/>
    <w:rsid w:val="0C2972BF"/>
    <w:rsid w:val="0C637445"/>
    <w:rsid w:val="0E4B1F3E"/>
    <w:rsid w:val="0FB13929"/>
    <w:rsid w:val="104878C2"/>
    <w:rsid w:val="115F467E"/>
    <w:rsid w:val="11F823DD"/>
    <w:rsid w:val="128E7347"/>
    <w:rsid w:val="140A03A6"/>
    <w:rsid w:val="14F926F4"/>
    <w:rsid w:val="157A28AF"/>
    <w:rsid w:val="162A4334"/>
    <w:rsid w:val="16976668"/>
    <w:rsid w:val="169A7F07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CD48DA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091355"/>
    <w:rsid w:val="1E7B6870"/>
    <w:rsid w:val="1EF26B32"/>
    <w:rsid w:val="1F152820"/>
    <w:rsid w:val="1F8D1B58"/>
    <w:rsid w:val="1F8D685B"/>
    <w:rsid w:val="201306F3"/>
    <w:rsid w:val="20401B1F"/>
    <w:rsid w:val="20BE10B2"/>
    <w:rsid w:val="20C91B14"/>
    <w:rsid w:val="20CF69FF"/>
    <w:rsid w:val="20F21EF0"/>
    <w:rsid w:val="210A56C3"/>
    <w:rsid w:val="212E1977"/>
    <w:rsid w:val="21CD1190"/>
    <w:rsid w:val="22146DBF"/>
    <w:rsid w:val="22156F08"/>
    <w:rsid w:val="23082878"/>
    <w:rsid w:val="239161EE"/>
    <w:rsid w:val="24401886"/>
    <w:rsid w:val="24480FA2"/>
    <w:rsid w:val="247753E3"/>
    <w:rsid w:val="247E2C16"/>
    <w:rsid w:val="24861ACA"/>
    <w:rsid w:val="24B14D99"/>
    <w:rsid w:val="251C43FD"/>
    <w:rsid w:val="2547125A"/>
    <w:rsid w:val="266D3D2B"/>
    <w:rsid w:val="26976211"/>
    <w:rsid w:val="26C651BD"/>
    <w:rsid w:val="27E2526A"/>
    <w:rsid w:val="27F66E2D"/>
    <w:rsid w:val="28951D06"/>
    <w:rsid w:val="28EA6ACC"/>
    <w:rsid w:val="295C2DFA"/>
    <w:rsid w:val="295D49CD"/>
    <w:rsid w:val="295F4405"/>
    <w:rsid w:val="29890093"/>
    <w:rsid w:val="29B669AE"/>
    <w:rsid w:val="29CE5AA6"/>
    <w:rsid w:val="2A7F3244"/>
    <w:rsid w:val="2AFC2AE6"/>
    <w:rsid w:val="2B2B7C24"/>
    <w:rsid w:val="2B3E6C5B"/>
    <w:rsid w:val="2B404781"/>
    <w:rsid w:val="2B483F8A"/>
    <w:rsid w:val="2B7D22D9"/>
    <w:rsid w:val="2BFB0147"/>
    <w:rsid w:val="2CA23219"/>
    <w:rsid w:val="2CB17B5A"/>
    <w:rsid w:val="2CC9676B"/>
    <w:rsid w:val="2CFC0B7C"/>
    <w:rsid w:val="2D885FB0"/>
    <w:rsid w:val="2EC43F18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25C4129"/>
    <w:rsid w:val="32BA306B"/>
    <w:rsid w:val="33825A9C"/>
    <w:rsid w:val="34441786"/>
    <w:rsid w:val="34833930"/>
    <w:rsid w:val="34FC2B96"/>
    <w:rsid w:val="352E1AEE"/>
    <w:rsid w:val="354B108F"/>
    <w:rsid w:val="359202CF"/>
    <w:rsid w:val="35A13F7A"/>
    <w:rsid w:val="35BC534C"/>
    <w:rsid w:val="36034D29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9EE68D9"/>
    <w:rsid w:val="3A1C460B"/>
    <w:rsid w:val="3A865F28"/>
    <w:rsid w:val="3B7566C9"/>
    <w:rsid w:val="3BF770DE"/>
    <w:rsid w:val="3C0D4B53"/>
    <w:rsid w:val="3C8D3764"/>
    <w:rsid w:val="3F783DDA"/>
    <w:rsid w:val="3FFC108A"/>
    <w:rsid w:val="40152228"/>
    <w:rsid w:val="4032362F"/>
    <w:rsid w:val="40953369"/>
    <w:rsid w:val="41F61C0D"/>
    <w:rsid w:val="42164036"/>
    <w:rsid w:val="42D50C3A"/>
    <w:rsid w:val="433A3D54"/>
    <w:rsid w:val="433D5FC5"/>
    <w:rsid w:val="43413334"/>
    <w:rsid w:val="45237196"/>
    <w:rsid w:val="45D43FEC"/>
    <w:rsid w:val="467A71EB"/>
    <w:rsid w:val="467F2EAB"/>
    <w:rsid w:val="46CB3641"/>
    <w:rsid w:val="46F80C5B"/>
    <w:rsid w:val="47163D12"/>
    <w:rsid w:val="47F60B91"/>
    <w:rsid w:val="480768FB"/>
    <w:rsid w:val="487D3F41"/>
    <w:rsid w:val="48B438BE"/>
    <w:rsid w:val="491867F3"/>
    <w:rsid w:val="49940662"/>
    <w:rsid w:val="4A6A13C3"/>
    <w:rsid w:val="4AD14F9E"/>
    <w:rsid w:val="4AD827D0"/>
    <w:rsid w:val="4B046389"/>
    <w:rsid w:val="4BCD1C09"/>
    <w:rsid w:val="4BF215BE"/>
    <w:rsid w:val="4C854292"/>
    <w:rsid w:val="4CC54B9A"/>
    <w:rsid w:val="4D495A2D"/>
    <w:rsid w:val="4D527006"/>
    <w:rsid w:val="4D896004"/>
    <w:rsid w:val="4E47696B"/>
    <w:rsid w:val="4E7E7051"/>
    <w:rsid w:val="4ED96B17"/>
    <w:rsid w:val="4EE95E85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76064D"/>
    <w:rsid w:val="51AC406F"/>
    <w:rsid w:val="51D9182F"/>
    <w:rsid w:val="5211299F"/>
    <w:rsid w:val="52131FB2"/>
    <w:rsid w:val="529E60AD"/>
    <w:rsid w:val="53382B3D"/>
    <w:rsid w:val="533F163E"/>
    <w:rsid w:val="53B316E5"/>
    <w:rsid w:val="541045F2"/>
    <w:rsid w:val="54C87412"/>
    <w:rsid w:val="54EF0E42"/>
    <w:rsid w:val="55037F5B"/>
    <w:rsid w:val="55796E0E"/>
    <w:rsid w:val="55915A56"/>
    <w:rsid w:val="564B654C"/>
    <w:rsid w:val="57155951"/>
    <w:rsid w:val="576F2F50"/>
    <w:rsid w:val="58150BC0"/>
    <w:rsid w:val="582B03E3"/>
    <w:rsid w:val="58733B38"/>
    <w:rsid w:val="58A32DDA"/>
    <w:rsid w:val="58FE2F4F"/>
    <w:rsid w:val="59710078"/>
    <w:rsid w:val="59F842F5"/>
    <w:rsid w:val="5A5338E2"/>
    <w:rsid w:val="5A58763C"/>
    <w:rsid w:val="5A93401E"/>
    <w:rsid w:val="5AC90A7E"/>
    <w:rsid w:val="5AD05272"/>
    <w:rsid w:val="5ADC3C17"/>
    <w:rsid w:val="5B2703BF"/>
    <w:rsid w:val="5B716904"/>
    <w:rsid w:val="5B745BFD"/>
    <w:rsid w:val="5BFB631F"/>
    <w:rsid w:val="5CBF559E"/>
    <w:rsid w:val="5CC52489"/>
    <w:rsid w:val="5CD56B70"/>
    <w:rsid w:val="5CD858CA"/>
    <w:rsid w:val="5CDF79EE"/>
    <w:rsid w:val="5D214265"/>
    <w:rsid w:val="5D5C7A80"/>
    <w:rsid w:val="5D5F6439"/>
    <w:rsid w:val="5DB633F9"/>
    <w:rsid w:val="5DC170F4"/>
    <w:rsid w:val="5E4958B0"/>
    <w:rsid w:val="5E8B1BDC"/>
    <w:rsid w:val="5F261904"/>
    <w:rsid w:val="5F4E4990"/>
    <w:rsid w:val="60001B6F"/>
    <w:rsid w:val="60400411"/>
    <w:rsid w:val="60A527D8"/>
    <w:rsid w:val="60F4333C"/>
    <w:rsid w:val="615838CB"/>
    <w:rsid w:val="620F042E"/>
    <w:rsid w:val="62B45479"/>
    <w:rsid w:val="62C51434"/>
    <w:rsid w:val="62DF24F6"/>
    <w:rsid w:val="638E5CCA"/>
    <w:rsid w:val="63962946"/>
    <w:rsid w:val="63C24D92"/>
    <w:rsid w:val="63DA0F0F"/>
    <w:rsid w:val="640D6BEF"/>
    <w:rsid w:val="6499200B"/>
    <w:rsid w:val="649B0B15"/>
    <w:rsid w:val="6571289C"/>
    <w:rsid w:val="660E3E54"/>
    <w:rsid w:val="661F70AE"/>
    <w:rsid w:val="663F32AC"/>
    <w:rsid w:val="66761E42"/>
    <w:rsid w:val="670921B5"/>
    <w:rsid w:val="67780823"/>
    <w:rsid w:val="67786BC4"/>
    <w:rsid w:val="67B33F51"/>
    <w:rsid w:val="688F2E5F"/>
    <w:rsid w:val="68A95A9B"/>
    <w:rsid w:val="68D4417F"/>
    <w:rsid w:val="68ED228A"/>
    <w:rsid w:val="68F62348"/>
    <w:rsid w:val="692F13B6"/>
    <w:rsid w:val="699343FB"/>
    <w:rsid w:val="69AA4EE0"/>
    <w:rsid w:val="6A2D7FEB"/>
    <w:rsid w:val="6A591EC9"/>
    <w:rsid w:val="6A95793E"/>
    <w:rsid w:val="6B60619E"/>
    <w:rsid w:val="6BC4672D"/>
    <w:rsid w:val="6D0A3398"/>
    <w:rsid w:val="6D1C7EA3"/>
    <w:rsid w:val="6E82642B"/>
    <w:rsid w:val="6EB63269"/>
    <w:rsid w:val="6F5E47A3"/>
    <w:rsid w:val="6F7A7850"/>
    <w:rsid w:val="6F7C0E99"/>
    <w:rsid w:val="6F7C2E7B"/>
    <w:rsid w:val="6FE70C3C"/>
    <w:rsid w:val="70052E70"/>
    <w:rsid w:val="70141305"/>
    <w:rsid w:val="701B6B38"/>
    <w:rsid w:val="70F829D5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5FB56F0"/>
    <w:rsid w:val="764D5571"/>
    <w:rsid w:val="765608C9"/>
    <w:rsid w:val="76571F4C"/>
    <w:rsid w:val="76BB072D"/>
    <w:rsid w:val="76CF5F86"/>
    <w:rsid w:val="7735580A"/>
    <w:rsid w:val="78C25DA2"/>
    <w:rsid w:val="79116D2A"/>
    <w:rsid w:val="79314CD6"/>
    <w:rsid w:val="793D5102"/>
    <w:rsid w:val="79876E10"/>
    <w:rsid w:val="79CE4C1B"/>
    <w:rsid w:val="7A0569E7"/>
    <w:rsid w:val="7B334D35"/>
    <w:rsid w:val="7B7535A0"/>
    <w:rsid w:val="7C0641F8"/>
    <w:rsid w:val="7C1F350C"/>
    <w:rsid w:val="7CB67090"/>
    <w:rsid w:val="7CEE584C"/>
    <w:rsid w:val="7D0A5583"/>
    <w:rsid w:val="7D3C3975"/>
    <w:rsid w:val="7D573F2F"/>
    <w:rsid w:val="7D741635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1234</Words>
  <Characters>1344</Characters>
  <Lines>0</Lines>
  <Paragraphs>0</Paragraphs>
  <TotalTime>0</TotalTime>
  <ScaleCrop>false</ScaleCrop>
  <LinksUpToDate>false</LinksUpToDate>
  <CharactersWithSpaces>1402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2025-12-12T16:42:08Z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