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22924"/>
      <w:r>
        <w:rPr>
          <w:rFonts w:hint="eastAsia"/>
          <w:lang w:val="en-US" w:eastAsia="zh-CN"/>
        </w:rPr>
        <w:t>云南腾电科技有限公司</w:t>
      </w:r>
      <w:bookmarkEnd w:id="0"/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1" w:name="_Toc21015"/>
      <w:r>
        <w:rPr>
          <w:rFonts w:hint="eastAsia"/>
          <w:lang w:val="en-US" w:eastAsia="zh-CN"/>
        </w:rPr>
        <w:t>事件管理制度</w:t>
      </w:r>
      <w:bookmarkEnd w:id="1"/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4418"/>
      <w:r>
        <w:rPr>
          <w:rFonts w:hint="eastAsia"/>
          <w:lang w:val="en-US" w:eastAsia="zh-CN"/>
        </w:rPr>
        <w:t>（YNTD-ITSS-06</w:t>
      </w:r>
      <w:bookmarkStart w:id="35" w:name="_GoBack"/>
      <w:bookmarkEnd w:id="35"/>
      <w:r>
        <w:rPr>
          <w:rFonts w:hint="eastAsia"/>
          <w:lang w:val="en-US" w:eastAsia="zh-CN"/>
        </w:rPr>
        <w:t>01）</w:t>
      </w:r>
      <w:bookmarkEnd w:id="2"/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12718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spacing w:val="-4"/>
              </w:rPr>
              <w:t>谢广胜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2600"/>
        <w15:color w:val="DBDBDB"/>
        <w:docPartObj>
          <w:docPartGallery w:val="Table of Contents"/>
          <w:docPartUnique/>
        </w:docPartObj>
      </w:sdtPr>
      <w:sdtEndPr>
        <w:rPr>
          <w:rFonts w:hint="default" w:ascii="Arial" w:hAnsi="Arial" w:eastAsia="宋体" w:cs="Arial"/>
          <w:snapToGrid w:val="0"/>
          <w:color w:val="000000"/>
          <w:kern w:val="0"/>
          <w:sz w:val="21"/>
          <w:szCs w:val="21"/>
          <w:lang w:val="en-US" w:eastAsia="zh-CN" w:bidi="ar-SA"/>
        </w:rPr>
      </w:sdtEndPr>
      <w:sdtContent>
        <w:p w14:paraId="13756FF5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D07A752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TOC \o "1-3" \h \u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_Toc22924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_Toc22924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BB8F55E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_Toc21015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事件管理制度</w:t>
          </w:r>
          <w:r>
            <w:tab/>
          </w:r>
          <w:r>
            <w:fldChar w:fldCharType="begin"/>
          </w:r>
          <w:r>
            <w:instrText xml:space="preserve"> PAGEREF _Toc21015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DAE5182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_Toc24418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（YNTD-ITSS-0501）</w:t>
          </w:r>
          <w:r>
            <w:tab/>
          </w:r>
          <w:r>
            <w:fldChar w:fldCharType="begin"/>
          </w:r>
          <w:r>
            <w:instrText xml:space="preserve"> PAGEREF _Toc24418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43A51DE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_Toc12718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_Toc12718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FE63996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_Toc28526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_Toc28526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4B35BE7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_Toc28342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 适应范围</w:t>
          </w:r>
          <w:r>
            <w:tab/>
          </w:r>
          <w:r>
            <w:fldChar w:fldCharType="begin"/>
          </w:r>
          <w:r>
            <w:instrText xml:space="preserve"> PAGEREF _Toc28342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5CCF38A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_Toc1015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 角色与职责</w:t>
          </w:r>
          <w:r>
            <w:tab/>
          </w:r>
          <w:r>
            <w:fldChar w:fldCharType="begin"/>
          </w:r>
          <w:r>
            <w:instrText xml:space="preserve"> PAGEREF _Toc1015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337B3C8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_Toc5334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3.1. 服务台</w:t>
          </w:r>
          <w:r>
            <w:tab/>
          </w:r>
          <w:r>
            <w:fldChar w:fldCharType="begin"/>
          </w:r>
          <w:r>
            <w:instrText xml:space="preserve"> PAGEREF _Toc5334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27E974D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_Toc4737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3.2. 项目经理</w:t>
          </w:r>
          <w:r>
            <w:tab/>
          </w:r>
          <w:r>
            <w:fldChar w:fldCharType="begin"/>
          </w:r>
          <w:r>
            <w:instrText xml:space="preserve"> PAGEREF _Toc4737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6E4048A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_Toc25113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3.3. </w:t>
          </w:r>
          <w:r>
            <w:rPr>
              <w:rFonts w:hint="eastAsia"/>
              <w:lang w:val="en-US" w:eastAsia="zh-CN"/>
            </w:rPr>
            <w:t>运维</w:t>
          </w:r>
          <w:r>
            <w:rPr>
              <w:rFonts w:hint="default"/>
              <w:lang w:val="en-US" w:eastAsia="zh-CN"/>
            </w:rPr>
            <w:t>工程师</w:t>
          </w:r>
          <w:r>
            <w:tab/>
          </w:r>
          <w:r>
            <w:fldChar w:fldCharType="begin"/>
          </w:r>
          <w:r>
            <w:instrText xml:space="preserve"> PAGEREF _Toc25113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2222B68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_Toc19766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 事件管理流程</w:t>
          </w:r>
          <w:r>
            <w:tab/>
          </w:r>
          <w:r>
            <w:fldChar w:fldCharType="begin"/>
          </w:r>
          <w:r>
            <w:instrText xml:space="preserve"> PAGEREF _Toc19766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3A1B0F9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_Toc8994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 事件登记</w:t>
          </w:r>
          <w:r>
            <w:tab/>
          </w:r>
          <w:r>
            <w:fldChar w:fldCharType="begin"/>
          </w:r>
          <w:r>
            <w:instrText xml:space="preserve"> PAGEREF _Toc8994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949C622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_Toc11463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4.1.1. 提出服务请求：</w:t>
          </w:r>
          <w:r>
            <w:tab/>
          </w:r>
          <w:r>
            <w:fldChar w:fldCharType="begin"/>
          </w:r>
          <w:r>
            <w:instrText xml:space="preserve"> PAGEREF _Toc11463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110748B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_Toc14862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4.1.2. 创建并记录事件基本信息：</w:t>
          </w:r>
          <w:r>
            <w:tab/>
          </w:r>
          <w:r>
            <w:fldChar w:fldCharType="begin"/>
          </w:r>
          <w:r>
            <w:instrText xml:space="preserve"> PAGEREF _Toc14862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0C588B1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_Toc28229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4.1.3. 接受和筛选：</w:t>
          </w:r>
          <w:r>
            <w:tab/>
          </w:r>
          <w:r>
            <w:fldChar w:fldCharType="begin"/>
          </w:r>
          <w:r>
            <w:instrText xml:space="preserve"> PAGEREF _Toc28229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5A797BC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_Toc28014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4.2. 事件派单</w:t>
          </w:r>
          <w:r>
            <w:tab/>
          </w:r>
          <w:r>
            <w:fldChar w:fldCharType="begin"/>
          </w:r>
          <w:r>
            <w:instrText xml:space="preserve"> PAGEREF _Toc28014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30CD091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_Toc19640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4.2.1. 事件分类</w:t>
          </w:r>
          <w:r>
            <w:tab/>
          </w:r>
          <w:r>
            <w:fldChar w:fldCharType="begin"/>
          </w:r>
          <w:r>
            <w:instrText xml:space="preserve"> PAGEREF _Toc19640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0DF69FA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_Toc18425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4.2.2. 事件分级</w:t>
          </w:r>
          <w:r>
            <w:tab/>
          </w:r>
          <w:r>
            <w:fldChar w:fldCharType="begin"/>
          </w:r>
          <w:r>
            <w:instrText xml:space="preserve"> PAGEREF _Toc18425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6759FAF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_Toc15493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4.2.3. 初步支持</w:t>
          </w:r>
          <w:r>
            <w:tab/>
          </w:r>
          <w:r>
            <w:fldChar w:fldCharType="begin"/>
          </w:r>
          <w:r>
            <w:instrText xml:space="preserve"> PAGEREF _Toc15493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07BF9C3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_Toc22249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4.2.4. 管理升级</w:t>
          </w:r>
          <w:r>
            <w:tab/>
          </w:r>
          <w:r>
            <w:fldChar w:fldCharType="begin"/>
          </w:r>
          <w:r>
            <w:instrText xml:space="preserve"> PAGEREF _Toc22249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5CF886E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_Toc24282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4.3. 事件处理</w:t>
          </w:r>
          <w:r>
            <w:tab/>
          </w:r>
          <w:r>
            <w:fldChar w:fldCharType="begin"/>
          </w:r>
          <w:r>
            <w:instrText xml:space="preserve"> PAGEREF _Toc24282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3672CDB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_Toc17436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4.3.1. 解决和恢复：</w:t>
          </w:r>
          <w:r>
            <w:tab/>
          </w:r>
          <w:r>
            <w:fldChar w:fldCharType="begin"/>
          </w:r>
          <w:r>
            <w:instrText xml:space="preserve"> PAGEREF _Toc17436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397F783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_Toc21956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4.3.2. 联络厂商：</w:t>
          </w:r>
          <w:r>
            <w:tab/>
          </w:r>
          <w:r>
            <w:fldChar w:fldCharType="begin"/>
          </w:r>
          <w:r>
            <w:instrText xml:space="preserve"> PAGEREF _Toc21956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A21A501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_Toc29302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4.4. 事件关闭</w:t>
          </w:r>
          <w:r>
            <w:tab/>
          </w:r>
          <w:r>
            <w:fldChar w:fldCharType="begin"/>
          </w:r>
          <w:r>
            <w:instrText xml:space="preserve"> PAGEREF _Toc29302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EAF13C0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_Toc9618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4.4.1. 与客户确认处理结果</w:t>
          </w:r>
          <w:r>
            <w:tab/>
          </w:r>
          <w:r>
            <w:fldChar w:fldCharType="begin"/>
          </w:r>
          <w:r>
            <w:instrText xml:space="preserve"> PAGEREF _Toc9618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8619F3C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_Toc13845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4.4.2. 事件关闭</w:t>
          </w:r>
          <w:r>
            <w:tab/>
          </w:r>
          <w:r>
            <w:fldChar w:fldCharType="begin"/>
          </w:r>
          <w:r>
            <w:instrText xml:space="preserve"> PAGEREF _Toc13845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FE57A5D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_Toc30388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用户确认解决后，在系统中关闭服务单。随后判断是否需</w:t>
          </w:r>
          <w:r>
            <w:tab/>
          </w:r>
          <w:r>
            <w:fldChar w:fldCharType="begin"/>
          </w:r>
          <w:r>
            <w:instrText xml:space="preserve"> PAGEREF _Toc30388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81FDAD6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_Toc20306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4.4.3. 添加</w:t>
          </w:r>
          <w:r>
            <w:rPr>
              <w:rFonts w:hint="eastAsia"/>
              <w:lang w:val="en-US" w:eastAsia="zh-CN"/>
            </w:rPr>
            <w:t>服务知识</w:t>
          </w:r>
          <w:r>
            <w:tab/>
          </w:r>
          <w:r>
            <w:fldChar w:fldCharType="begin"/>
          </w:r>
          <w:r>
            <w:instrText xml:space="preserve"> PAGEREF _Toc20306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81BE622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_Toc25402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 重大事件处理</w:t>
          </w:r>
          <w:r>
            <w:tab/>
          </w:r>
          <w:r>
            <w:fldChar w:fldCharType="begin"/>
          </w:r>
          <w:r>
            <w:instrText xml:space="preserve"> PAGEREF _Toc25402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EF48EAF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_Toc18088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5.1. 定义</w:t>
          </w:r>
          <w:r>
            <w:tab/>
          </w:r>
          <w:r>
            <w:fldChar w:fldCharType="begin"/>
          </w:r>
          <w:r>
            <w:instrText xml:space="preserve"> PAGEREF _Toc18088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C6265B0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_Toc5531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5.2. 分级事件</w:t>
          </w:r>
          <w:r>
            <w:tab/>
          </w:r>
          <w:r>
            <w:fldChar w:fldCharType="begin"/>
          </w:r>
          <w:r>
            <w:instrText xml:space="preserve"> PAGEREF _Toc5531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BCB2E5C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_Toc30967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5.3. 处理问题</w:t>
          </w:r>
          <w:r>
            <w:tab/>
          </w:r>
          <w:r>
            <w:fldChar w:fldCharType="begin"/>
          </w:r>
          <w:r>
            <w:instrText xml:space="preserve"> PAGEREF _Toc30967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D235142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_Toc27251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事件状态</w:t>
          </w:r>
          <w:r>
            <w:tab/>
          </w:r>
          <w:r>
            <w:fldChar w:fldCharType="begin"/>
          </w:r>
          <w:r>
            <w:instrText xml:space="preserve"> PAGEREF _Toc27251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C8972FA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_Toc24255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7. 事件管理与其他流程的关系</w:t>
          </w:r>
          <w:r>
            <w:tab/>
          </w:r>
          <w:r>
            <w:fldChar w:fldCharType="begin"/>
          </w:r>
          <w:r>
            <w:instrText xml:space="preserve"> PAGEREF _Toc24255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735B912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_Toc5453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_Toc5453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C9BAE5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default"/>
              <w:lang w:val="en-US" w:eastAsia="zh-CN"/>
            </w:rPr>
            <w:fldChar w:fldCharType="end"/>
          </w:r>
        </w:p>
      </w:sdtContent>
    </w:sdt>
    <w:p w14:paraId="00AAAEB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ascii="Arial" w:hAnsi="Arial" w:eastAsia="宋体" w:cs="Arial"/>
          <w:snapToGrid w:val="0"/>
          <w:color w:val="000000"/>
          <w:kern w:val="0"/>
          <w:sz w:val="21"/>
          <w:szCs w:val="21"/>
          <w:lang w:val="en-US" w:eastAsia="zh-CN" w:bidi="ar-SA"/>
        </w:rPr>
      </w:pPr>
      <w:r>
        <w:rPr>
          <w:rFonts w:hint="default" w:ascii="Arial" w:hAnsi="Arial" w:eastAsia="宋体" w:cs="Arial"/>
          <w:snapToGrid w:val="0"/>
          <w:color w:val="000000"/>
          <w:kern w:val="0"/>
          <w:sz w:val="21"/>
          <w:szCs w:val="21"/>
          <w:lang w:val="en-US" w:eastAsia="zh-CN" w:bidi="ar-SA"/>
        </w:rPr>
        <w:br w:type="page"/>
      </w:r>
    </w:p>
    <w:p w14:paraId="15413C08">
      <w:pPr>
        <w:pStyle w:val="28"/>
        <w:bidi w:val="0"/>
        <w:rPr>
          <w:rFonts w:hint="default"/>
          <w:lang w:val="en-US" w:eastAsia="zh-CN"/>
        </w:rPr>
      </w:pPr>
      <w:bookmarkStart w:id="4" w:name="_Toc28526"/>
      <w:r>
        <w:rPr>
          <w:rFonts w:hint="default"/>
          <w:lang w:val="en-US" w:eastAsia="zh-CN"/>
        </w:rPr>
        <w:t>目的</w:t>
      </w:r>
      <w:bookmarkEnd w:id="4"/>
    </w:p>
    <w:p w14:paraId="79B25CA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为了减少或消除系统干扰因素，确保用户尽快恢复至SLA定义的正常服务级别。</w:t>
      </w:r>
    </w:p>
    <w:p w14:paraId="68379A1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规范公司IT服务事件管理活动，提高事件响应和解决速度，保证IT服务可靠性。</w:t>
      </w:r>
    </w:p>
    <w:p w14:paraId="5FA23A91">
      <w:pPr>
        <w:pStyle w:val="28"/>
        <w:bidi w:val="0"/>
        <w:rPr>
          <w:rFonts w:hint="default"/>
          <w:lang w:val="en-US" w:eastAsia="zh-CN"/>
        </w:rPr>
      </w:pPr>
      <w:bookmarkStart w:id="5" w:name="_Toc28342"/>
      <w:r>
        <w:rPr>
          <w:rFonts w:hint="default"/>
          <w:lang w:val="en-US" w:eastAsia="zh-CN"/>
        </w:rPr>
        <w:t>适应范围</w:t>
      </w:r>
      <w:bookmarkEnd w:id="5"/>
    </w:p>
    <w:p w14:paraId="61E35B9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范围涵盖运维服务中的操作咨询和故障处理。</w:t>
      </w:r>
    </w:p>
    <w:p w14:paraId="6F562EB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主要包括：</w:t>
      </w:r>
    </w:p>
    <w:p w14:paraId="4DCABEE5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服务请求和技术咨询：信息系统安装、部署、配置、使用等咨询。</w:t>
      </w:r>
    </w:p>
    <w:p w14:paraId="02503BA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信息系统升级、扩容和改造等技术咨询活动。</w:t>
      </w:r>
    </w:p>
    <w:p w14:paraId="107BBC3C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故障处理：对软件和硬件故障进行处理。</w:t>
      </w:r>
    </w:p>
    <w:p w14:paraId="60936177">
      <w:pPr>
        <w:pStyle w:val="28"/>
        <w:bidi w:val="0"/>
        <w:rPr>
          <w:rFonts w:hint="default"/>
          <w:lang w:val="en-US" w:eastAsia="zh-CN"/>
        </w:rPr>
      </w:pPr>
      <w:bookmarkStart w:id="6" w:name="_Toc1015"/>
      <w:r>
        <w:rPr>
          <w:rFonts w:hint="default"/>
          <w:lang w:val="en-US" w:eastAsia="zh-CN"/>
        </w:rPr>
        <w:t>角色与职责</w:t>
      </w:r>
      <w:bookmarkEnd w:id="6"/>
    </w:p>
    <w:p w14:paraId="2876D8CC">
      <w:pPr>
        <w:pStyle w:val="30"/>
        <w:bidi w:val="0"/>
        <w:rPr>
          <w:rFonts w:hint="default"/>
          <w:lang w:val="en-US" w:eastAsia="zh-CN"/>
        </w:rPr>
      </w:pPr>
      <w:bookmarkStart w:id="7" w:name="_Toc5334"/>
      <w:r>
        <w:rPr>
          <w:rFonts w:hint="default"/>
          <w:lang w:val="en-US" w:eastAsia="zh-CN"/>
        </w:rPr>
        <w:t>服务台</w:t>
      </w:r>
      <w:bookmarkEnd w:id="7"/>
    </w:p>
    <w:p w14:paraId="001426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受理故障申报，建立服务单。</w:t>
      </w:r>
    </w:p>
    <w:p w14:paraId="1E28A75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在线处理简单故障。</w:t>
      </w:r>
    </w:p>
    <w:p w14:paraId="5420CD5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分派不能在线解决的故障。</w:t>
      </w:r>
    </w:p>
    <w:p w14:paraId="2BEB9FC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跟踪服务单处理进展。</w:t>
      </w:r>
    </w:p>
    <w:p w14:paraId="7BB169E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进行用户回访，收集反馈。</w:t>
      </w:r>
    </w:p>
    <w:p w14:paraId="4E2AE2B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汇总监控用户满意度并反馈。</w:t>
      </w:r>
    </w:p>
    <w:p w14:paraId="0C820B7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受理用户投诉。</w:t>
      </w:r>
    </w:p>
    <w:p w14:paraId="6B478C49">
      <w:pPr>
        <w:pStyle w:val="30"/>
        <w:bidi w:val="0"/>
        <w:rPr>
          <w:rFonts w:hint="default"/>
          <w:lang w:val="en-US" w:eastAsia="zh-CN"/>
        </w:rPr>
      </w:pPr>
      <w:bookmarkStart w:id="8" w:name="_Toc4737"/>
      <w:r>
        <w:rPr>
          <w:rFonts w:hint="default"/>
          <w:lang w:val="en-US" w:eastAsia="zh-CN"/>
        </w:rPr>
        <w:t>项目经理</w:t>
      </w:r>
      <w:bookmarkEnd w:id="8"/>
    </w:p>
    <w:p w14:paraId="31146E9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协调资源调度。</w:t>
      </w:r>
    </w:p>
    <w:p w14:paraId="0BB8232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决定事件转岗派单，跟踪进度。</w:t>
      </w:r>
    </w:p>
    <w:p w14:paraId="40DA2FE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监控流程效率和效果。</w:t>
      </w:r>
    </w:p>
    <w:p w14:paraId="45D18B9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处理本组投诉。</w:t>
      </w:r>
    </w:p>
    <w:p w14:paraId="5BE13CD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为改进工作提供建议。</w:t>
      </w:r>
    </w:p>
    <w:p w14:paraId="768482A1">
      <w:pPr>
        <w:pStyle w:val="30"/>
        <w:bidi w:val="0"/>
        <w:rPr>
          <w:rFonts w:hint="default"/>
          <w:lang w:val="en-US" w:eastAsia="zh-CN"/>
        </w:rPr>
      </w:pPr>
      <w:bookmarkStart w:id="9" w:name="_Toc25113"/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工程师</w:t>
      </w:r>
      <w:bookmarkEnd w:id="9"/>
    </w:p>
    <w:p w14:paraId="3797A54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受理事件，初步分类记录，利用现有资源处理；无法处理时升级。</w:t>
      </w:r>
    </w:p>
    <w:p w14:paraId="610CA94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与服务台联动，提高响应及时率。</w:t>
      </w:r>
    </w:p>
    <w:p w14:paraId="75D7A69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对需技术支持的事件派单并跟踪。</w:t>
      </w:r>
    </w:p>
    <w:p w14:paraId="3EE37A9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全程与客户沟通，确保客户知悉进度及结果，直至关闭。</w:t>
      </w:r>
    </w:p>
    <w:p w14:paraId="58C98C5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查询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初步解决问题。</w:t>
      </w:r>
    </w:p>
    <w:p w14:paraId="2551227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将事件整理更新至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。</w:t>
      </w:r>
    </w:p>
    <w:p w14:paraId="101D44A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定期分析事件及处理，优化系统流程及工具。</w:t>
      </w:r>
    </w:p>
    <w:p w14:paraId="69FA65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将应急事件纳入统一事件管理。</w:t>
      </w:r>
    </w:p>
    <w:p w14:paraId="3C0B7CE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6881EB50">
      <w:pPr>
        <w:pStyle w:val="28"/>
        <w:bidi w:val="0"/>
        <w:rPr>
          <w:rFonts w:hint="default"/>
          <w:lang w:val="en-US" w:eastAsia="zh-CN"/>
        </w:rPr>
      </w:pPr>
      <w:bookmarkStart w:id="10" w:name="_Toc19766"/>
      <w:r>
        <w:rPr>
          <w:rFonts w:hint="default"/>
          <w:lang w:val="en-US" w:eastAsia="zh-CN"/>
        </w:rPr>
        <w:t>事件管理流程</w:t>
      </w:r>
      <w:bookmarkEnd w:id="10"/>
    </w:p>
    <w:p w14:paraId="4831023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流程从事件生命周期出发，分解为4个一级过程：事件登记、事件派单、事件处理、事件关闭。</w:t>
      </w:r>
    </w:p>
    <w:p w14:paraId="4124D58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5406382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38750" cy="3048000"/>
            <wp:effectExtent l="0" t="0" r="3810" b="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51F69">
      <w:pPr>
        <w:pStyle w:val="30"/>
        <w:bidi w:val="0"/>
        <w:rPr>
          <w:rFonts w:hint="default"/>
          <w:lang w:val="en-US" w:eastAsia="zh-CN"/>
        </w:rPr>
      </w:pPr>
      <w:bookmarkStart w:id="11" w:name="_Toc8994"/>
      <w:r>
        <w:rPr>
          <w:rFonts w:hint="default"/>
          <w:lang w:val="en-US" w:eastAsia="zh-CN"/>
        </w:rPr>
        <w:t>事件登记</w:t>
      </w:r>
      <w:bookmarkEnd w:id="11"/>
    </w:p>
    <w:p w14:paraId="6C5E3B1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133975" cy="5800725"/>
            <wp:effectExtent l="0" t="0" r="1905" b="57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33975" cy="580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73ECE7">
      <w:pPr>
        <w:pStyle w:val="31"/>
        <w:bidi w:val="0"/>
        <w:rPr>
          <w:rFonts w:hint="default"/>
          <w:lang w:val="en-US" w:eastAsia="zh-CN"/>
        </w:rPr>
      </w:pPr>
      <w:bookmarkStart w:id="12" w:name="_Toc11463"/>
      <w:r>
        <w:rPr>
          <w:rFonts w:hint="default"/>
          <w:lang w:val="en-US" w:eastAsia="zh-CN"/>
        </w:rPr>
        <w:t>提出服务请求：</w:t>
      </w:r>
      <w:bookmarkEnd w:id="12"/>
    </w:p>
    <w:p w14:paraId="6807643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用户提出请求，服务台承接记录。</w:t>
      </w:r>
    </w:p>
    <w:p w14:paraId="66A1637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事件来源：用户通过运维平台管理系统提交服务单；通过服务台电话咨询（处理结果每日汇总）。</w:t>
      </w:r>
    </w:p>
    <w:p w14:paraId="2B345F70">
      <w:pPr>
        <w:pStyle w:val="31"/>
        <w:bidi w:val="0"/>
        <w:rPr>
          <w:rFonts w:hint="default"/>
          <w:lang w:val="en-US" w:eastAsia="zh-CN"/>
        </w:rPr>
      </w:pPr>
      <w:bookmarkStart w:id="13" w:name="_Toc14862"/>
      <w:r>
        <w:rPr>
          <w:rFonts w:hint="default"/>
          <w:lang w:val="en-US" w:eastAsia="zh-CN"/>
        </w:rPr>
        <w:t>创建并记录事件基本信息：</w:t>
      </w:r>
      <w:bookmarkEnd w:id="13"/>
    </w:p>
    <w:p w14:paraId="4A55769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服务台在事件记录单中记录申告信息。</w:t>
      </w:r>
    </w:p>
    <w:p w14:paraId="6D2A45C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基本信息包括：受理人、渠道、时间、编号、申报人及联系方式、故障地点及联系人、涉及系统、事件内容描述（标题、紧急程度、类型）、受理意见、事件状态。</w:t>
      </w:r>
    </w:p>
    <w:p w14:paraId="355E5C9B">
      <w:pPr>
        <w:pStyle w:val="31"/>
        <w:bidi w:val="0"/>
        <w:rPr>
          <w:rFonts w:hint="default"/>
          <w:lang w:val="en-US" w:eastAsia="zh-CN"/>
        </w:rPr>
      </w:pPr>
      <w:bookmarkStart w:id="14" w:name="_Toc28229"/>
      <w:r>
        <w:rPr>
          <w:rFonts w:hint="default"/>
          <w:lang w:val="en-US" w:eastAsia="zh-CN"/>
        </w:rPr>
        <w:t>接受和筛选：</w:t>
      </w:r>
      <w:bookmarkEnd w:id="14"/>
    </w:p>
    <w:p w14:paraId="6EF4EC9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服务台判断事件是否在服务范畴内。</w:t>
      </w:r>
    </w:p>
    <w:p w14:paraId="1EB0049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不在范围内：告知申报人与项目经理，退回发起人。</w:t>
      </w:r>
    </w:p>
    <w:p w14:paraId="2210EFD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客户仍需超范围服务：转至相应模块项目经理协调确认。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720"/>
        <w:gridCol w:w="994"/>
        <w:gridCol w:w="995"/>
        <w:gridCol w:w="3676"/>
        <w:gridCol w:w="1421"/>
      </w:tblGrid>
      <w:tr w14:paraId="4D3CF7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6" w:type="dxa"/>
          </w:tcPr>
          <w:p w14:paraId="3D27B41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序号</w:t>
            </w:r>
          </w:p>
        </w:tc>
        <w:tc>
          <w:tcPr>
            <w:tcW w:w="720" w:type="dxa"/>
          </w:tcPr>
          <w:p w14:paraId="347716F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等级</w:t>
            </w:r>
          </w:p>
        </w:tc>
        <w:tc>
          <w:tcPr>
            <w:tcW w:w="994" w:type="dxa"/>
          </w:tcPr>
          <w:p w14:paraId="11702E3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995" w:type="dxa"/>
          </w:tcPr>
          <w:p w14:paraId="209FFAB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影响度</w:t>
            </w:r>
          </w:p>
        </w:tc>
        <w:tc>
          <w:tcPr>
            <w:tcW w:w="3676" w:type="dxa"/>
          </w:tcPr>
          <w:p w14:paraId="03C3A6D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1421" w:type="dxa"/>
          </w:tcPr>
          <w:p w14:paraId="448E38B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处理时间</w:t>
            </w:r>
          </w:p>
        </w:tc>
      </w:tr>
      <w:tr w14:paraId="492900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6" w:type="dxa"/>
          </w:tcPr>
          <w:p w14:paraId="3455E1C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720" w:type="dxa"/>
          </w:tcPr>
          <w:p w14:paraId="307A1BD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四级</w:t>
            </w:r>
          </w:p>
        </w:tc>
        <w:tc>
          <w:tcPr>
            <w:tcW w:w="994" w:type="dxa"/>
          </w:tcPr>
          <w:p w14:paraId="2418ECF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低</w:t>
            </w:r>
          </w:p>
        </w:tc>
        <w:tc>
          <w:tcPr>
            <w:tcW w:w="995" w:type="dxa"/>
          </w:tcPr>
          <w:p w14:paraId="512C911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一般</w:t>
            </w:r>
          </w:p>
        </w:tc>
        <w:tc>
          <w:tcPr>
            <w:tcW w:w="3676" w:type="dxa"/>
          </w:tcPr>
          <w:p w14:paraId="4B53A6D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 w:bidi="ar"/>
              </w:rPr>
              <w:t xml:space="preserve">影响度很小的，一般指业务影响度 </w:t>
            </w:r>
            <w:r>
              <w:rPr>
                <w:rFonts w:hint="default"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 w:bidi="ar"/>
              </w:rPr>
              <w:t>很低的服务，有时需要预约时间，与“低”影响度对应。主要涉及咨询类内容。</w:t>
            </w:r>
          </w:p>
        </w:tc>
        <w:tc>
          <w:tcPr>
            <w:tcW w:w="1421" w:type="dxa"/>
          </w:tcPr>
          <w:p w14:paraId="483D77B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2天</w:t>
            </w:r>
          </w:p>
        </w:tc>
      </w:tr>
      <w:tr w14:paraId="3DE4E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6" w:type="dxa"/>
          </w:tcPr>
          <w:p w14:paraId="048D43F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720" w:type="dxa"/>
          </w:tcPr>
          <w:p w14:paraId="24C88C6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三级</w:t>
            </w:r>
          </w:p>
        </w:tc>
        <w:tc>
          <w:tcPr>
            <w:tcW w:w="994" w:type="dxa"/>
          </w:tcPr>
          <w:p w14:paraId="7698F54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  <w:tc>
          <w:tcPr>
            <w:tcW w:w="995" w:type="dxa"/>
          </w:tcPr>
          <w:p w14:paraId="0089B77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较严重</w:t>
            </w:r>
          </w:p>
        </w:tc>
        <w:tc>
          <w:tcPr>
            <w:tcW w:w="3676" w:type="dxa"/>
          </w:tcPr>
          <w:p w14:paraId="5ABA36B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 w:bidi="ar"/>
              </w:rPr>
              <w:t>一般故障处理的影响度，用于中等</w:t>
            </w:r>
            <w:r>
              <w:rPr>
                <w:rFonts w:hint="default"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 w:bidi="ar"/>
              </w:rPr>
              <w:t>业务影响度的服务，与“中”影响度对应。</w:t>
            </w:r>
          </w:p>
          <w:p w14:paraId="2A7CC56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 w:bidi="ar"/>
              </w:rPr>
              <w:t>如一般性的数据处理、更改配置等</w:t>
            </w:r>
            <w:r>
              <w:rPr>
                <w:rFonts w:hint="eastAsia"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 w:bidi="ar"/>
              </w:rPr>
              <w:t>工作内容</w:t>
            </w:r>
          </w:p>
        </w:tc>
        <w:tc>
          <w:tcPr>
            <w:tcW w:w="1421" w:type="dxa"/>
          </w:tcPr>
          <w:p w14:paraId="30A0DEF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24小时</w:t>
            </w:r>
          </w:p>
        </w:tc>
      </w:tr>
      <w:tr w14:paraId="003840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6" w:type="dxa"/>
          </w:tcPr>
          <w:p w14:paraId="608176D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720" w:type="dxa"/>
          </w:tcPr>
          <w:p w14:paraId="31DF034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二级</w:t>
            </w:r>
          </w:p>
        </w:tc>
        <w:tc>
          <w:tcPr>
            <w:tcW w:w="994" w:type="dxa"/>
          </w:tcPr>
          <w:p w14:paraId="6351CB1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  <w:tc>
          <w:tcPr>
            <w:tcW w:w="995" w:type="dxa"/>
          </w:tcPr>
          <w:p w14:paraId="33D12EE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严重</w:t>
            </w:r>
          </w:p>
        </w:tc>
        <w:tc>
          <w:tcPr>
            <w:tcW w:w="3676" w:type="dxa"/>
          </w:tcPr>
          <w:p w14:paraId="79A8279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 w:bidi="ar"/>
              </w:rPr>
              <w:t>严重故障处理的影响度，用于严重</w:t>
            </w:r>
            <w:r>
              <w:rPr>
                <w:rFonts w:hint="default"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 w:bidi="ar"/>
              </w:rPr>
              <w:t xml:space="preserve">影响业务应用的事故处理，与“高”影响度对应。 </w:t>
            </w:r>
          </w:p>
          <w:p w14:paraId="1285BEC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 w:bidi="ar"/>
              </w:rPr>
              <w:t>如各业务组针对用户的月结、年结等工作内容。影响全省的业务处理等。</w:t>
            </w:r>
          </w:p>
        </w:tc>
        <w:tc>
          <w:tcPr>
            <w:tcW w:w="1421" w:type="dxa"/>
          </w:tcPr>
          <w:p w14:paraId="6C902F4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4小时</w:t>
            </w:r>
          </w:p>
        </w:tc>
      </w:tr>
      <w:tr w14:paraId="1D4898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6" w:type="dxa"/>
          </w:tcPr>
          <w:p w14:paraId="02286B6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720" w:type="dxa"/>
          </w:tcPr>
          <w:p w14:paraId="61AF19D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一级</w:t>
            </w:r>
          </w:p>
        </w:tc>
        <w:tc>
          <w:tcPr>
            <w:tcW w:w="994" w:type="dxa"/>
          </w:tcPr>
          <w:p w14:paraId="34324D1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紧急</w:t>
            </w:r>
          </w:p>
        </w:tc>
        <w:tc>
          <w:tcPr>
            <w:tcW w:w="995" w:type="dxa"/>
          </w:tcPr>
          <w:p w14:paraId="2246924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重大</w:t>
            </w:r>
          </w:p>
        </w:tc>
        <w:tc>
          <w:tcPr>
            <w:tcW w:w="3676" w:type="dxa"/>
          </w:tcPr>
          <w:p w14:paraId="42FEF7A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 w:bidi="ar"/>
              </w:rPr>
              <w:t>特殊服务事件的处理，用于紧急服</w:t>
            </w:r>
            <w:r>
              <w:rPr>
                <w:rFonts w:hint="default"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 w:bidi="ar"/>
              </w:rPr>
              <w:t xml:space="preserve">务事件的处理，与“重大”影响度对应。 </w:t>
            </w:r>
          </w:p>
          <w:p w14:paraId="2D21974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 w:bidi="ar"/>
              </w:rPr>
              <w:t>如系统系统中断、宕机等。</w:t>
            </w:r>
          </w:p>
        </w:tc>
        <w:tc>
          <w:tcPr>
            <w:tcW w:w="1421" w:type="dxa"/>
          </w:tcPr>
          <w:p w14:paraId="02202D0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30分钟</w:t>
            </w:r>
          </w:p>
        </w:tc>
      </w:tr>
    </w:tbl>
    <w:p w14:paraId="4FB9AE4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5DE9187A">
      <w:pPr>
        <w:pStyle w:val="30"/>
        <w:bidi w:val="0"/>
        <w:rPr>
          <w:rFonts w:hint="default"/>
          <w:lang w:val="en-US" w:eastAsia="zh-CN"/>
        </w:rPr>
      </w:pPr>
      <w:bookmarkStart w:id="15" w:name="_Toc28014"/>
      <w:r>
        <w:rPr>
          <w:rFonts w:hint="default"/>
          <w:lang w:val="en-US" w:eastAsia="zh-CN"/>
        </w:rPr>
        <w:t>事件派单</w:t>
      </w:r>
      <w:bookmarkEnd w:id="15"/>
    </w:p>
    <w:p w14:paraId="2764E4A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143500" cy="6229350"/>
            <wp:effectExtent l="0" t="0" r="762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622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4CBB2">
      <w:pPr>
        <w:pStyle w:val="31"/>
        <w:bidi w:val="0"/>
        <w:rPr>
          <w:rFonts w:hint="default"/>
          <w:lang w:val="en-US" w:eastAsia="zh-CN"/>
        </w:rPr>
      </w:pPr>
      <w:bookmarkStart w:id="16" w:name="_Toc19640"/>
      <w:r>
        <w:rPr>
          <w:rFonts w:hint="default"/>
          <w:lang w:val="en-US" w:eastAsia="zh-CN"/>
        </w:rPr>
        <w:t>事件分类</w:t>
      </w:r>
      <w:bookmarkEnd w:id="16"/>
    </w:p>
    <w:p w14:paraId="67B54DE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项目经理对事件分类：</w:t>
      </w:r>
      <w:r>
        <w:rPr>
          <w:rFonts w:hint="eastAsia"/>
          <w:lang w:val="en-US" w:eastAsia="zh-CN"/>
        </w:rPr>
        <w:t>硬件类、软件类、服务类</w:t>
      </w:r>
      <w:r>
        <w:rPr>
          <w:rFonts w:hint="default"/>
          <w:lang w:val="en-US" w:eastAsia="zh-CN"/>
        </w:rPr>
        <w:t>。</w:t>
      </w:r>
    </w:p>
    <w:p w14:paraId="0F68F07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说明：最终处理</w:t>
      </w: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工程师对事件最终分类准确性负责。</w:t>
      </w:r>
    </w:p>
    <w:tbl>
      <w:tblPr>
        <w:tblStyle w:val="26"/>
        <w:tblW w:w="8432" w:type="dxa"/>
        <w:tblInd w:w="103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929"/>
        <w:gridCol w:w="5503"/>
      </w:tblGrid>
      <w:tr w14:paraId="560AD59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1" w:hRule="atLeast"/>
        </w:trPr>
        <w:tc>
          <w:tcPr>
            <w:tcW w:w="2929" w:type="dxa"/>
            <w:vAlign w:val="top"/>
          </w:tcPr>
          <w:p w14:paraId="2ED83B68">
            <w:pPr>
              <w:spacing w:before="201" w:line="228" w:lineRule="auto"/>
              <w:ind w:left="1269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19"/>
                <w:szCs w:val="19"/>
              </w:rPr>
              <w:t>类别</w:t>
            </w:r>
          </w:p>
        </w:tc>
        <w:tc>
          <w:tcPr>
            <w:tcW w:w="5503" w:type="dxa"/>
            <w:vAlign w:val="top"/>
          </w:tcPr>
          <w:p w14:paraId="1BFF7DCD">
            <w:pPr>
              <w:spacing w:before="200" w:line="229" w:lineRule="auto"/>
              <w:ind w:left="2558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19"/>
                <w:szCs w:val="19"/>
              </w:rPr>
              <w:t>定义</w:t>
            </w:r>
          </w:p>
        </w:tc>
      </w:tr>
      <w:tr w14:paraId="61E5822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2929" w:type="dxa"/>
            <w:vAlign w:val="top"/>
          </w:tcPr>
          <w:p w14:paraId="49B7EBEB">
            <w:pPr>
              <w:spacing w:before="197" w:line="228" w:lineRule="auto"/>
              <w:ind w:left="969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8"/>
                <w:sz w:val="19"/>
                <w:szCs w:val="19"/>
              </w:rPr>
              <w:t>硬件类事件</w:t>
            </w:r>
          </w:p>
        </w:tc>
        <w:tc>
          <w:tcPr>
            <w:tcW w:w="5503" w:type="dxa"/>
            <w:vAlign w:val="top"/>
          </w:tcPr>
          <w:p w14:paraId="09699B8A">
            <w:pPr>
              <w:spacing w:before="67" w:line="227" w:lineRule="auto"/>
              <w:ind w:left="255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9"/>
                <w:sz w:val="19"/>
                <w:szCs w:val="19"/>
              </w:rPr>
              <w:t>客户申告的涉及硬件的故障。（包括：网络设备、安全设</w:t>
            </w:r>
          </w:p>
          <w:p w14:paraId="60805674">
            <w:pPr>
              <w:spacing w:before="25" w:line="228" w:lineRule="auto"/>
              <w:ind w:left="1055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8"/>
                <w:sz w:val="19"/>
                <w:szCs w:val="19"/>
              </w:rPr>
              <w:t>备、主机设备、存储设备、其他设备）</w:t>
            </w:r>
          </w:p>
        </w:tc>
      </w:tr>
      <w:tr w14:paraId="42EC15B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4" w:hRule="atLeast"/>
        </w:trPr>
        <w:tc>
          <w:tcPr>
            <w:tcW w:w="2929" w:type="dxa"/>
            <w:vAlign w:val="top"/>
          </w:tcPr>
          <w:p w14:paraId="6351F1C8">
            <w:pPr>
              <w:spacing w:before="199" w:line="228" w:lineRule="auto"/>
              <w:ind w:left="972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7"/>
                <w:sz w:val="19"/>
                <w:szCs w:val="19"/>
              </w:rPr>
              <w:t>软件类事件</w:t>
            </w:r>
          </w:p>
        </w:tc>
        <w:tc>
          <w:tcPr>
            <w:tcW w:w="5503" w:type="dxa"/>
            <w:vAlign w:val="top"/>
          </w:tcPr>
          <w:p w14:paraId="51993247">
            <w:pPr>
              <w:spacing w:before="199" w:line="227" w:lineRule="auto"/>
              <w:ind w:left="1455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8"/>
                <w:sz w:val="19"/>
                <w:szCs w:val="19"/>
              </w:rPr>
              <w:t>客户申告的涉及软件的故障。</w:t>
            </w:r>
          </w:p>
        </w:tc>
      </w:tr>
      <w:tr w14:paraId="2D8CC04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1" w:hRule="atLeast"/>
        </w:trPr>
        <w:tc>
          <w:tcPr>
            <w:tcW w:w="2929" w:type="dxa"/>
            <w:vAlign w:val="top"/>
          </w:tcPr>
          <w:p w14:paraId="1D3EE102">
            <w:pPr>
              <w:spacing w:before="203" w:line="228" w:lineRule="auto"/>
              <w:ind w:left="969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8"/>
                <w:sz w:val="19"/>
                <w:szCs w:val="19"/>
              </w:rPr>
              <w:t>服务类事件</w:t>
            </w:r>
          </w:p>
        </w:tc>
        <w:tc>
          <w:tcPr>
            <w:tcW w:w="5503" w:type="dxa"/>
            <w:vAlign w:val="top"/>
          </w:tcPr>
          <w:p w14:paraId="5B0DE0FA">
            <w:pPr>
              <w:spacing w:before="203" w:line="228" w:lineRule="auto"/>
              <w:ind w:left="753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9"/>
                <w:sz w:val="19"/>
                <w:szCs w:val="19"/>
              </w:rPr>
              <w:t>服务咨询、业务咨询、巡检、技术协助、其他</w:t>
            </w:r>
          </w:p>
        </w:tc>
      </w:tr>
    </w:tbl>
    <w:p w14:paraId="3B4DD0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3F9C8497">
      <w:pPr>
        <w:pStyle w:val="31"/>
        <w:bidi w:val="0"/>
        <w:rPr>
          <w:rFonts w:hint="default"/>
          <w:lang w:val="en-US" w:eastAsia="zh-CN"/>
        </w:rPr>
      </w:pPr>
      <w:bookmarkStart w:id="17" w:name="_Toc18425"/>
      <w:r>
        <w:rPr>
          <w:rFonts w:hint="default"/>
          <w:lang w:val="en-US" w:eastAsia="zh-CN"/>
        </w:rPr>
        <w:t>事件分级</w:t>
      </w:r>
      <w:bookmarkEnd w:id="17"/>
    </w:p>
    <w:p w14:paraId="0A9F21A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根据事件紧急程度和影响面分配优先级，需与客户在SLA基础上达成一致。VIP用户事件可提升优先级。</w:t>
      </w:r>
    </w:p>
    <w:tbl>
      <w:tblPr>
        <w:tblStyle w:val="26"/>
        <w:tblW w:w="8605" w:type="dxa"/>
        <w:tblInd w:w="33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596"/>
        <w:gridCol w:w="5009"/>
      </w:tblGrid>
      <w:tr w14:paraId="020F5A0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0" w:hRule="atLeast"/>
        </w:trPr>
        <w:tc>
          <w:tcPr>
            <w:tcW w:w="3596" w:type="dxa"/>
            <w:vAlign w:val="top"/>
          </w:tcPr>
          <w:p w14:paraId="748BD895">
            <w:pPr>
              <w:spacing w:before="113" w:line="223" w:lineRule="auto"/>
              <w:ind w:left="153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1"/>
                <w:szCs w:val="21"/>
              </w:rPr>
              <w:t>名称</w:t>
            </w:r>
          </w:p>
        </w:tc>
        <w:tc>
          <w:tcPr>
            <w:tcW w:w="5009" w:type="dxa"/>
            <w:vAlign w:val="top"/>
          </w:tcPr>
          <w:p w14:paraId="63DD2945">
            <w:pPr>
              <w:spacing w:before="113" w:line="223" w:lineRule="auto"/>
              <w:ind w:left="250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1"/>
                <w:szCs w:val="21"/>
              </w:rPr>
              <w:t>描述</w:t>
            </w:r>
          </w:p>
        </w:tc>
      </w:tr>
      <w:tr w14:paraId="10DBF0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 w:hRule="atLeast"/>
        </w:trPr>
        <w:tc>
          <w:tcPr>
            <w:tcW w:w="3596" w:type="dxa"/>
            <w:vAlign w:val="top"/>
          </w:tcPr>
          <w:p w14:paraId="63963D95">
            <w:pPr>
              <w:spacing w:before="181" w:line="221" w:lineRule="auto"/>
              <w:ind w:left="1597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紧急</w:t>
            </w:r>
          </w:p>
        </w:tc>
        <w:tc>
          <w:tcPr>
            <w:tcW w:w="5009" w:type="dxa"/>
            <w:vAlign w:val="top"/>
          </w:tcPr>
          <w:p w14:paraId="1CC31DD1">
            <w:pPr>
              <w:spacing w:before="182" w:line="234" w:lineRule="auto"/>
              <w:ind w:left="177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解决时间</w:t>
            </w:r>
            <w:r>
              <w:rPr>
                <w:rFonts w:ascii="宋体" w:hAnsi="宋体" w:eastAsia="宋体" w:cs="宋体"/>
                <w:spacing w:val="-49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21"/>
                <w:szCs w:val="21"/>
              </w:rPr>
              <w:t xml:space="preserve">2 </w:t>
            </w: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小时之内</w:t>
            </w:r>
          </w:p>
        </w:tc>
      </w:tr>
      <w:tr w14:paraId="40DAB8D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8" w:hRule="atLeast"/>
        </w:trPr>
        <w:tc>
          <w:tcPr>
            <w:tcW w:w="3596" w:type="dxa"/>
            <w:vAlign w:val="top"/>
          </w:tcPr>
          <w:p w14:paraId="407D6BA6">
            <w:pPr>
              <w:spacing w:before="113" w:line="221" w:lineRule="auto"/>
              <w:ind w:left="170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高</w:t>
            </w:r>
          </w:p>
        </w:tc>
        <w:tc>
          <w:tcPr>
            <w:tcW w:w="5009" w:type="dxa"/>
            <w:vAlign w:val="top"/>
          </w:tcPr>
          <w:p w14:paraId="43FDF7D4">
            <w:pPr>
              <w:spacing w:before="114" w:line="234" w:lineRule="auto"/>
              <w:ind w:left="177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解决时间</w:t>
            </w:r>
            <w:r>
              <w:rPr>
                <w:rFonts w:ascii="宋体" w:hAnsi="宋体" w:eastAsia="宋体" w:cs="宋体"/>
                <w:spacing w:val="-39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3"/>
                <w:sz w:val="21"/>
                <w:szCs w:val="21"/>
              </w:rPr>
              <w:t xml:space="preserve">8 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小时之内</w:t>
            </w:r>
          </w:p>
        </w:tc>
      </w:tr>
      <w:tr w14:paraId="7F0ED1A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3596" w:type="dxa"/>
            <w:vAlign w:val="top"/>
          </w:tcPr>
          <w:p w14:paraId="14AAA8D8">
            <w:pPr>
              <w:spacing w:before="112" w:line="221" w:lineRule="auto"/>
              <w:ind w:left="1715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中</w:t>
            </w:r>
          </w:p>
        </w:tc>
        <w:tc>
          <w:tcPr>
            <w:tcW w:w="5009" w:type="dxa"/>
            <w:vAlign w:val="top"/>
          </w:tcPr>
          <w:p w14:paraId="1473830A">
            <w:pPr>
              <w:spacing w:before="112" w:line="234" w:lineRule="auto"/>
              <w:ind w:left="1723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解决时间</w:t>
            </w:r>
            <w:r>
              <w:rPr>
                <w:rFonts w:ascii="宋体" w:hAnsi="宋体" w:eastAsia="宋体" w:cs="宋体"/>
                <w:spacing w:val="-47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21"/>
                <w:szCs w:val="21"/>
              </w:rPr>
              <w:t xml:space="preserve">24 </w:t>
            </w: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小时之内</w:t>
            </w:r>
          </w:p>
        </w:tc>
      </w:tr>
      <w:tr w14:paraId="2E0505D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0" w:hRule="atLeast"/>
        </w:trPr>
        <w:tc>
          <w:tcPr>
            <w:tcW w:w="3596" w:type="dxa"/>
            <w:vAlign w:val="top"/>
          </w:tcPr>
          <w:p w14:paraId="4B09BCA9">
            <w:pPr>
              <w:spacing w:before="238" w:line="222" w:lineRule="auto"/>
              <w:ind w:left="1694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低</w:t>
            </w:r>
          </w:p>
        </w:tc>
        <w:tc>
          <w:tcPr>
            <w:tcW w:w="5009" w:type="dxa"/>
            <w:vAlign w:val="top"/>
          </w:tcPr>
          <w:p w14:paraId="3B39DB4F">
            <w:pPr>
              <w:spacing w:before="238" w:line="234" w:lineRule="auto"/>
              <w:ind w:left="1723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解决时间</w:t>
            </w:r>
            <w:r>
              <w:rPr>
                <w:rFonts w:ascii="宋体" w:hAnsi="宋体" w:eastAsia="宋体" w:cs="宋体"/>
                <w:spacing w:val="-36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3"/>
                <w:sz w:val="21"/>
                <w:szCs w:val="21"/>
              </w:rPr>
              <w:t xml:space="preserve">72 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小时之内</w:t>
            </w:r>
          </w:p>
        </w:tc>
      </w:tr>
    </w:tbl>
    <w:p w14:paraId="45BFA62B">
      <w:pPr>
        <w:pStyle w:val="31"/>
        <w:bidi w:val="0"/>
        <w:rPr>
          <w:rFonts w:hint="default"/>
          <w:lang w:val="en-US" w:eastAsia="zh-CN"/>
        </w:rPr>
      </w:pPr>
      <w:bookmarkStart w:id="18" w:name="_Toc15493"/>
      <w:r>
        <w:rPr>
          <w:rFonts w:hint="default"/>
          <w:lang w:val="en-US" w:eastAsia="zh-CN"/>
        </w:rPr>
        <w:t>初步支持</w:t>
      </w:r>
      <w:bookmarkEnd w:id="18"/>
    </w:p>
    <w:p w14:paraId="1FB7F46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判断能否解决。能解决则自行处理并设状态为“已解决”；不能解决则转单至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。</w:t>
      </w:r>
    </w:p>
    <w:p w14:paraId="7835035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需在系统中记录操作内容，并与客户就下一步安排达成一致。</w:t>
      </w:r>
    </w:p>
    <w:p w14:paraId="6B0DEA8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记录信息包括：受理人、渠道、时间、编号、申报人及联系方式、地点及联系人、涉及系统、事件内容描述、受理意见、是否转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。</w:t>
      </w:r>
    </w:p>
    <w:p w14:paraId="62EBD06E">
      <w:pPr>
        <w:pStyle w:val="31"/>
        <w:bidi w:val="0"/>
        <w:rPr>
          <w:rFonts w:hint="default"/>
          <w:lang w:val="en-US" w:eastAsia="zh-CN"/>
        </w:rPr>
      </w:pPr>
      <w:bookmarkStart w:id="19" w:name="_Toc22249"/>
      <w:r>
        <w:rPr>
          <w:rFonts w:hint="default"/>
          <w:lang w:val="en-US" w:eastAsia="zh-CN"/>
        </w:rPr>
        <w:t>管理升级</w:t>
      </w:r>
      <w:bookmarkEnd w:id="19"/>
    </w:p>
    <w:p w14:paraId="7D3537D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无法解决时，升级为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处理，并指定责任人。</w:t>
      </w:r>
    </w:p>
    <w:p w14:paraId="64A9EE4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提供了事件管理升级默认定义表（按事件等级、影响度和时间节点定义升级路径）：</w:t>
      </w:r>
    </w:p>
    <w:p w14:paraId="468F65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一级（重大）：0小时-&gt;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；30分钟-&gt;</w:t>
      </w:r>
      <w:r>
        <w:rPr>
          <w:rFonts w:hint="eastAsia"/>
          <w:lang w:val="en-US" w:eastAsia="zh-CN"/>
        </w:rPr>
        <w:t>运维部</w:t>
      </w:r>
      <w:r>
        <w:rPr>
          <w:rFonts w:hint="default"/>
          <w:lang w:val="en-US" w:eastAsia="zh-CN"/>
        </w:rPr>
        <w:t>经理；4小时-&gt;总经理。</w:t>
      </w:r>
    </w:p>
    <w:p w14:paraId="6E15DDE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二级（严重）：0小时-&gt;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；30分钟-&gt;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；4小时-&gt;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；24小时-&gt;</w:t>
      </w:r>
      <w:r>
        <w:rPr>
          <w:rFonts w:hint="eastAsia"/>
          <w:lang w:val="en-US" w:eastAsia="zh-CN"/>
        </w:rPr>
        <w:t>总经理</w:t>
      </w:r>
      <w:r>
        <w:rPr>
          <w:rFonts w:hint="default"/>
          <w:lang w:val="en-US" w:eastAsia="zh-CN"/>
        </w:rPr>
        <w:t>；2天-&gt;总经理。</w:t>
      </w:r>
    </w:p>
    <w:p w14:paraId="4831353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三级（较严重）：0小时-&gt;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；30分钟-&gt;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；4小时-&gt;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；24小时-&gt;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；2天-&gt;</w:t>
      </w:r>
      <w:r>
        <w:rPr>
          <w:rFonts w:hint="eastAsia"/>
          <w:lang w:val="en-US" w:eastAsia="zh-CN"/>
        </w:rPr>
        <w:t>运维部</w:t>
      </w:r>
      <w:r>
        <w:rPr>
          <w:rFonts w:hint="default"/>
          <w:lang w:val="en-US" w:eastAsia="zh-CN"/>
        </w:rPr>
        <w:t>经理。</w:t>
      </w:r>
    </w:p>
    <w:p w14:paraId="0369B05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四级（一般）：0小时-&gt;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；30分钟-&gt;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；4小时-&gt;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；24小时-&gt;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；2天-&gt;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。</w:t>
      </w:r>
    </w:p>
    <w:p w14:paraId="6A40C97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原则：所有事件解决并经发起人确认后才可关闭；事件承接人对整体报告负责。</w:t>
      </w:r>
    </w:p>
    <w:p w14:paraId="17821CB6">
      <w:pPr>
        <w:pStyle w:val="30"/>
        <w:bidi w:val="0"/>
        <w:rPr>
          <w:rFonts w:hint="default"/>
          <w:lang w:val="en-US" w:eastAsia="zh-CN"/>
        </w:rPr>
      </w:pPr>
      <w:bookmarkStart w:id="20" w:name="_Toc24282"/>
      <w:r>
        <w:rPr>
          <w:rFonts w:hint="default"/>
          <w:lang w:val="en-US" w:eastAsia="zh-CN"/>
        </w:rPr>
        <w:t>事件处理</w:t>
      </w:r>
      <w:bookmarkEnd w:id="20"/>
    </w:p>
    <w:p w14:paraId="34ACE915">
      <w:pPr>
        <w:pStyle w:val="29"/>
        <w:rPr>
          <w:rFonts w:hint="default"/>
          <w:lang w:val="en-US" w:eastAsia="zh-CN"/>
        </w:rPr>
      </w:pPr>
      <w:r>
        <w:drawing>
          <wp:inline distT="0" distB="0" distL="114300" distR="114300">
            <wp:extent cx="5143500" cy="4524375"/>
            <wp:effectExtent l="0" t="0" r="7620" b="1905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452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50BA5E">
      <w:pPr>
        <w:pStyle w:val="31"/>
        <w:bidi w:val="0"/>
        <w:rPr>
          <w:rFonts w:hint="default"/>
          <w:lang w:val="en-US" w:eastAsia="zh-CN"/>
        </w:rPr>
      </w:pPr>
      <w:bookmarkStart w:id="21" w:name="_Toc17436"/>
      <w:r>
        <w:rPr>
          <w:rFonts w:hint="default"/>
          <w:lang w:val="en-US" w:eastAsia="zh-CN"/>
        </w:rPr>
        <w:t>解决和恢复：</w:t>
      </w:r>
      <w:bookmarkEnd w:id="21"/>
    </w:p>
    <w:p w14:paraId="68B1995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受单后联系客户确认。</w:t>
      </w:r>
    </w:p>
    <w:p w14:paraId="3967D71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步骤：</w:t>
      </w:r>
    </w:p>
    <w:p w14:paraId="362DA5F8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查看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；</w:t>
      </w:r>
    </w:p>
    <w:p w14:paraId="4C24D5F6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有方案则参照实施，无则尝试解决；</w:t>
      </w:r>
    </w:p>
    <w:p w14:paraId="2695ADA7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远程解决则填单；</w:t>
      </w:r>
    </w:p>
    <w:p w14:paraId="1029C54D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未解决则申请调用厂商支持。</w:t>
      </w:r>
    </w:p>
    <w:p w14:paraId="1D64D95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记录信息：受理人、受理时间、涉及系统、受理意见。</w:t>
      </w:r>
    </w:p>
    <w:p w14:paraId="3F158A4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建议：派单后在“待办事项”显示；人员紧张时优先高优先级事件，项目经理协调。</w:t>
      </w:r>
    </w:p>
    <w:p w14:paraId="225B7F20">
      <w:pPr>
        <w:pStyle w:val="31"/>
        <w:bidi w:val="0"/>
        <w:rPr>
          <w:rFonts w:hint="default"/>
          <w:lang w:val="en-US" w:eastAsia="zh-CN"/>
        </w:rPr>
      </w:pPr>
      <w:bookmarkStart w:id="22" w:name="_Toc21956"/>
      <w:r>
        <w:rPr>
          <w:rFonts w:hint="default"/>
          <w:lang w:val="en-US" w:eastAsia="zh-CN"/>
        </w:rPr>
        <w:t>联络厂商：</w:t>
      </w:r>
      <w:bookmarkEnd w:id="22"/>
    </w:p>
    <w:p w14:paraId="342B53C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系统自动流转服务单至厂商节点，并通知责任人。厂商需在规定时间内回复。</w:t>
      </w:r>
    </w:p>
    <w:p w14:paraId="33C9E09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记录信息：提交厂商时间、涉及系统、厂商受理人及联系方式、厂商受理意见、厂商受理时间。</w:t>
      </w:r>
    </w:p>
    <w:p w14:paraId="33929F5A">
      <w:pPr>
        <w:pStyle w:val="30"/>
        <w:bidi w:val="0"/>
        <w:rPr>
          <w:rFonts w:hint="default"/>
          <w:lang w:val="en-US" w:eastAsia="zh-CN"/>
        </w:rPr>
      </w:pPr>
      <w:bookmarkStart w:id="23" w:name="_Toc29302"/>
      <w:r>
        <w:rPr>
          <w:rFonts w:hint="default"/>
          <w:lang w:val="en-US" w:eastAsia="zh-CN"/>
        </w:rPr>
        <w:t>事件关闭</w:t>
      </w:r>
      <w:bookmarkEnd w:id="23"/>
    </w:p>
    <w:p w14:paraId="4BDE69E9">
      <w:pPr>
        <w:pStyle w:val="29"/>
        <w:rPr>
          <w:rFonts w:hint="default"/>
          <w:lang w:val="en-US" w:eastAsia="zh-CN"/>
        </w:rPr>
      </w:pPr>
      <w:r>
        <w:drawing>
          <wp:inline distT="0" distB="0" distL="114300" distR="114300">
            <wp:extent cx="5238750" cy="3143250"/>
            <wp:effectExtent l="0" t="0" r="3810" b="11430"/>
            <wp:docPr id="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D18541">
      <w:pPr>
        <w:pStyle w:val="31"/>
        <w:bidi w:val="0"/>
        <w:rPr>
          <w:rFonts w:hint="default"/>
          <w:lang w:val="en-US" w:eastAsia="zh-CN"/>
        </w:rPr>
      </w:pPr>
      <w:bookmarkStart w:id="24" w:name="_Toc9618"/>
      <w:r>
        <w:rPr>
          <w:rFonts w:hint="default"/>
          <w:lang w:val="en-US" w:eastAsia="zh-CN"/>
        </w:rPr>
        <w:t>与客户确认处理结果</w:t>
      </w:r>
      <w:bookmarkEnd w:id="24"/>
    </w:p>
    <w:p w14:paraId="0F9E8770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反馈解决方案，待用户确认。</w:t>
      </w:r>
    </w:p>
    <w:p w14:paraId="42FAF151">
      <w:pPr>
        <w:pStyle w:val="31"/>
        <w:bidi w:val="0"/>
        <w:rPr>
          <w:rFonts w:hint="default"/>
          <w:lang w:val="en-US" w:eastAsia="zh-CN"/>
        </w:rPr>
      </w:pPr>
      <w:bookmarkStart w:id="25" w:name="_Toc13845"/>
      <w:r>
        <w:rPr>
          <w:rFonts w:hint="default"/>
          <w:lang w:val="en-US" w:eastAsia="zh-CN"/>
        </w:rPr>
        <w:t>事件关闭</w:t>
      </w:r>
      <w:bookmarkEnd w:id="25"/>
    </w:p>
    <w:p w14:paraId="5C2EA21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30388"/>
      <w:r>
        <w:rPr>
          <w:rStyle w:val="44"/>
          <w:rFonts w:hint="default"/>
          <w:lang w:val="en-US" w:eastAsia="zh-CN"/>
        </w:rPr>
        <w:t>用户确认解决后，在系统中关闭服务单。随后判断是否需</w:t>
      </w:r>
      <w:bookmarkEnd w:id="26"/>
      <w:r>
        <w:rPr>
          <w:rFonts w:hint="default"/>
          <w:lang w:val="en-US" w:eastAsia="zh-CN"/>
        </w:rPr>
        <w:t>添加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。</w:t>
      </w:r>
    </w:p>
    <w:p w14:paraId="59AAB51B">
      <w:pPr>
        <w:pStyle w:val="31"/>
        <w:bidi w:val="0"/>
        <w:rPr>
          <w:rFonts w:hint="default"/>
          <w:lang w:val="en-US" w:eastAsia="zh-CN"/>
        </w:rPr>
      </w:pPr>
      <w:bookmarkStart w:id="27" w:name="_Toc20306"/>
      <w:r>
        <w:rPr>
          <w:rFonts w:hint="default"/>
          <w:lang w:val="en-US" w:eastAsia="zh-CN"/>
        </w:rPr>
        <w:t>添加</w:t>
      </w:r>
      <w:r>
        <w:rPr>
          <w:rFonts w:hint="eastAsia"/>
          <w:lang w:val="en-US" w:eastAsia="zh-CN"/>
        </w:rPr>
        <w:t>服务知识</w:t>
      </w:r>
      <w:bookmarkEnd w:id="27"/>
    </w:p>
    <w:p w14:paraId="39CE6F36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若认为解决方案有价值，则添加至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。</w:t>
      </w:r>
    </w:p>
    <w:p w14:paraId="106F4382">
      <w:pPr>
        <w:pStyle w:val="28"/>
        <w:bidi w:val="0"/>
        <w:rPr>
          <w:rFonts w:hint="default"/>
          <w:lang w:val="en-US" w:eastAsia="zh-CN"/>
        </w:rPr>
      </w:pPr>
      <w:bookmarkStart w:id="28" w:name="_Toc25402"/>
      <w:r>
        <w:rPr>
          <w:rFonts w:hint="default"/>
          <w:lang w:val="en-US" w:eastAsia="zh-CN"/>
        </w:rPr>
        <w:t>重大事件处理</w:t>
      </w:r>
      <w:bookmarkEnd w:id="28"/>
    </w:p>
    <w:p w14:paraId="5E44C804">
      <w:pPr>
        <w:pStyle w:val="30"/>
        <w:bidi w:val="0"/>
        <w:rPr>
          <w:rFonts w:hint="default"/>
          <w:lang w:val="en-US" w:eastAsia="zh-CN"/>
        </w:rPr>
      </w:pPr>
      <w:bookmarkStart w:id="29" w:name="_Toc18088"/>
      <w:r>
        <w:rPr>
          <w:rFonts w:hint="default"/>
          <w:lang w:val="en-US" w:eastAsia="zh-CN"/>
        </w:rPr>
        <w:t>定义</w:t>
      </w:r>
      <w:bookmarkEnd w:id="29"/>
    </w:p>
    <w:p w14:paraId="5D9756E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指紧急程度较高、影响面较广且影响时间长的事件。</w:t>
      </w:r>
    </w:p>
    <w:p w14:paraId="597EACF2">
      <w:pPr>
        <w:pStyle w:val="30"/>
        <w:bidi w:val="0"/>
        <w:rPr>
          <w:rFonts w:hint="default"/>
          <w:lang w:val="en-US" w:eastAsia="zh-CN"/>
        </w:rPr>
      </w:pPr>
      <w:bookmarkStart w:id="30" w:name="_Toc5531"/>
      <w:r>
        <w:rPr>
          <w:rFonts w:hint="default"/>
          <w:lang w:val="en-US" w:eastAsia="zh-CN"/>
        </w:rPr>
        <w:t>分级事件</w:t>
      </w:r>
      <w:bookmarkEnd w:id="30"/>
    </w:p>
    <w:p w14:paraId="4D474FF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初步分级，判断是否为重大事件类型（如核心网络中断、关键业务中断）。</w:t>
      </w:r>
    </w:p>
    <w:p w14:paraId="04D89F90">
      <w:pPr>
        <w:pStyle w:val="30"/>
        <w:bidi w:val="0"/>
        <w:rPr>
          <w:rFonts w:hint="default"/>
          <w:lang w:val="en-US" w:eastAsia="zh-CN"/>
        </w:rPr>
      </w:pPr>
      <w:bookmarkStart w:id="31" w:name="_Toc30967"/>
      <w:r>
        <w:rPr>
          <w:rFonts w:hint="default"/>
          <w:lang w:val="en-US" w:eastAsia="zh-CN"/>
        </w:rPr>
        <w:t>处理问题</w:t>
      </w:r>
      <w:bookmarkEnd w:id="31"/>
    </w:p>
    <w:p w14:paraId="3BC4B61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项目经理接收事件，做初始判断并提交管理层。</w:t>
      </w:r>
    </w:p>
    <w:p w14:paraId="4A42359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查看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是否有相似处理方法；若无，联系厂商申请技术支持。</w:t>
      </w:r>
    </w:p>
    <w:p w14:paraId="6EBC737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处理完毕后检查是否恢复正常，正常后关闭事件，有价值的加入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。</w:t>
      </w:r>
    </w:p>
    <w:p w14:paraId="008E4618">
      <w:pPr>
        <w:pStyle w:val="28"/>
        <w:bidi w:val="0"/>
        <w:rPr>
          <w:rFonts w:hint="default"/>
          <w:lang w:val="en-US" w:eastAsia="zh-CN"/>
        </w:rPr>
      </w:pPr>
      <w:bookmarkStart w:id="32" w:name="_Toc27251"/>
      <w:r>
        <w:rPr>
          <w:rFonts w:hint="eastAsia"/>
          <w:lang w:val="en-US" w:eastAsia="zh-CN"/>
        </w:rPr>
        <w:t>事件状态</w:t>
      </w:r>
      <w:bookmarkEnd w:id="32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2"/>
        <w:gridCol w:w="6400"/>
      </w:tblGrid>
      <w:tr w14:paraId="465193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 w14:paraId="2F11A116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事件状态</w:t>
            </w:r>
          </w:p>
        </w:tc>
        <w:tc>
          <w:tcPr>
            <w:tcW w:w="6400" w:type="dxa"/>
          </w:tcPr>
          <w:p w14:paraId="75A58ACD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备注</w:t>
            </w:r>
          </w:p>
        </w:tc>
      </w:tr>
      <w:tr w14:paraId="1F2734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 w14:paraId="62C2BA1A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</w:t>
            </w:r>
          </w:p>
        </w:tc>
        <w:tc>
          <w:tcPr>
            <w:tcW w:w="6400" w:type="dxa"/>
          </w:tcPr>
          <w:p w14:paraId="4DAB4029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新创建的服务单</w:t>
            </w:r>
          </w:p>
        </w:tc>
      </w:tr>
      <w:tr w14:paraId="5B586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 w14:paraId="110CB5EF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执行中</w:t>
            </w:r>
          </w:p>
        </w:tc>
        <w:tc>
          <w:tcPr>
            <w:tcW w:w="6400" w:type="dxa"/>
          </w:tcPr>
          <w:p w14:paraId="1FD190C1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运维工程师接受服务单，运维部经理接受转接的服务单</w:t>
            </w:r>
          </w:p>
        </w:tc>
      </w:tr>
      <w:tr w14:paraId="6CF034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 w14:paraId="6AE8C7FA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未解决</w:t>
            </w:r>
          </w:p>
        </w:tc>
        <w:tc>
          <w:tcPr>
            <w:tcW w:w="6400" w:type="dxa"/>
          </w:tcPr>
          <w:p w14:paraId="4F8FCFAA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事件解决中</w:t>
            </w:r>
          </w:p>
        </w:tc>
      </w:tr>
      <w:tr w14:paraId="613721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 w14:paraId="59B35B3A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已解决</w:t>
            </w:r>
          </w:p>
        </w:tc>
        <w:tc>
          <w:tcPr>
            <w:tcW w:w="6400" w:type="dxa"/>
          </w:tcPr>
          <w:p w14:paraId="21C3CA68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事件已经解决</w:t>
            </w:r>
          </w:p>
        </w:tc>
      </w:tr>
      <w:tr w14:paraId="5F5B38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 w14:paraId="363B05F4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发起人确认</w:t>
            </w:r>
          </w:p>
        </w:tc>
        <w:tc>
          <w:tcPr>
            <w:tcW w:w="6400" w:type="dxa"/>
          </w:tcPr>
          <w:p w14:paraId="0BF59611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用户确认事件是否处理完毕</w:t>
            </w:r>
          </w:p>
        </w:tc>
      </w:tr>
      <w:tr w14:paraId="320A65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 w14:paraId="2F3B9FE1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关闭</w:t>
            </w:r>
          </w:p>
        </w:tc>
        <w:tc>
          <w:tcPr>
            <w:tcW w:w="6400" w:type="dxa"/>
          </w:tcPr>
          <w:p w14:paraId="6103F523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对事件进行关闭</w:t>
            </w:r>
          </w:p>
        </w:tc>
      </w:tr>
    </w:tbl>
    <w:p w14:paraId="0777B31E">
      <w:pPr>
        <w:pStyle w:val="28"/>
        <w:bidi w:val="0"/>
        <w:rPr>
          <w:rFonts w:hint="default"/>
          <w:lang w:val="en-US" w:eastAsia="zh-CN"/>
        </w:rPr>
      </w:pPr>
      <w:bookmarkStart w:id="33" w:name="_Toc24255"/>
      <w:r>
        <w:rPr>
          <w:rFonts w:hint="default"/>
          <w:lang w:val="en-US" w:eastAsia="zh-CN"/>
        </w:rPr>
        <w:t>事件管理与其他流程的关系</w:t>
      </w:r>
      <w:bookmarkEnd w:id="33"/>
    </w:p>
    <w:p w14:paraId="6A616841">
      <w:pPr>
        <w:pStyle w:val="29"/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3557905"/>
            <wp:effectExtent l="0" t="0" r="2540" b="8255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5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4501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配置管理：从配置管理数据库查询信息以定位和恢复故障。</w:t>
      </w:r>
    </w:p>
    <w:p w14:paraId="243E964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问题管理：提供事件记录信息用于定位问题、分析趋势，高优先级事件解决后可转为问题进一步分析。</w:t>
      </w:r>
    </w:p>
    <w:p w14:paraId="44462DF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变更管理：服务台监测因变更引发的事件；解决事件过程中必要时需发起变更请求。</w:t>
      </w:r>
    </w:p>
    <w:p w14:paraId="5BB0C09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服务级别管理：事件流程人员需了解SLA；事件报告用于判断是否提供了规定级别的服务。</w:t>
      </w:r>
    </w:p>
    <w:p w14:paraId="508655BA">
      <w:pPr>
        <w:pStyle w:val="28"/>
        <w:bidi w:val="0"/>
        <w:rPr>
          <w:rFonts w:hint="default"/>
          <w:lang w:val="en-US" w:eastAsia="zh-CN"/>
        </w:rPr>
      </w:pPr>
      <w:bookmarkStart w:id="34" w:name="_Toc5453"/>
      <w:r>
        <w:rPr>
          <w:rFonts w:hint="eastAsia"/>
          <w:lang w:val="en-US" w:eastAsia="zh-CN"/>
        </w:rPr>
        <w:t>KPI指标</w:t>
      </w:r>
      <w:bookmarkEnd w:id="34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5C2561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CB38646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2130" w:type="dxa"/>
          </w:tcPr>
          <w:p w14:paraId="7DB87342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计算方式</w:t>
            </w:r>
          </w:p>
        </w:tc>
        <w:tc>
          <w:tcPr>
            <w:tcW w:w="2131" w:type="dxa"/>
          </w:tcPr>
          <w:p w14:paraId="321FB313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目标值</w:t>
            </w:r>
          </w:p>
        </w:tc>
        <w:tc>
          <w:tcPr>
            <w:tcW w:w="2131" w:type="dxa"/>
          </w:tcPr>
          <w:p w14:paraId="43BD315D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考核周期</w:t>
            </w:r>
          </w:p>
        </w:tc>
      </w:tr>
      <w:tr w14:paraId="52F8D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86346D0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事件响应及时率</w:t>
            </w:r>
          </w:p>
        </w:tc>
        <w:tc>
          <w:tcPr>
            <w:tcW w:w="2130" w:type="dxa"/>
          </w:tcPr>
          <w:p w14:paraId="113B9B4C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及时响应的事件数量 / 所有的事件数量 × 100%</w:t>
            </w:r>
          </w:p>
        </w:tc>
        <w:tc>
          <w:tcPr>
            <w:tcW w:w="2131" w:type="dxa"/>
          </w:tcPr>
          <w:p w14:paraId="00935D94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≥90%</w:t>
            </w:r>
          </w:p>
        </w:tc>
        <w:tc>
          <w:tcPr>
            <w:tcW w:w="2131" w:type="dxa"/>
          </w:tcPr>
          <w:p w14:paraId="236F2413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月度</w:t>
            </w:r>
          </w:p>
        </w:tc>
      </w:tr>
      <w:tr w14:paraId="259D5A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7FB6A10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spacing w:val="-3"/>
                <w:sz w:val="24"/>
                <w:szCs w:val="24"/>
              </w:rPr>
              <w:t>事件解决率</w:t>
            </w:r>
          </w:p>
        </w:tc>
        <w:tc>
          <w:tcPr>
            <w:tcW w:w="2130" w:type="dxa"/>
          </w:tcPr>
          <w:p w14:paraId="4F1C54DD">
            <w:pPr>
              <w:pStyle w:val="29"/>
              <w:widowControl w:val="0"/>
              <w:ind w:left="0" w:leftChars="0" w:firstLine="0" w:firstLineChars="0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</w:pPr>
            <w:r>
              <w:rPr>
                <w:spacing w:val="-4"/>
                <w:sz w:val="24"/>
                <w:szCs w:val="24"/>
              </w:rPr>
              <w:t>成功解决的事件数量/已关闭的事件数量</w:t>
            </w:r>
            <w:r>
              <w:rPr>
                <w:spacing w:val="56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2131" w:type="dxa"/>
          </w:tcPr>
          <w:p w14:paraId="546984D0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≥90%</w:t>
            </w:r>
          </w:p>
        </w:tc>
        <w:tc>
          <w:tcPr>
            <w:tcW w:w="2131" w:type="dxa"/>
          </w:tcPr>
          <w:p w14:paraId="18D57189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月度</w:t>
            </w:r>
          </w:p>
        </w:tc>
      </w:tr>
    </w:tbl>
    <w:p w14:paraId="023008D8">
      <w:pPr>
        <w:pStyle w:val="29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浠垮畫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25ED957"/>
    <w:multiLevelType w:val="singleLevel"/>
    <w:tmpl w:val="B25ED95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3EB9BB4"/>
    <w:multiLevelType w:val="singleLevel"/>
    <w:tmpl w:val="D3EB9BB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E865C2"/>
    <w:rsid w:val="02781BC8"/>
    <w:rsid w:val="027A149C"/>
    <w:rsid w:val="028440C8"/>
    <w:rsid w:val="02C10E79"/>
    <w:rsid w:val="03431E67"/>
    <w:rsid w:val="037E2237"/>
    <w:rsid w:val="04335DA6"/>
    <w:rsid w:val="0475016D"/>
    <w:rsid w:val="04C36455"/>
    <w:rsid w:val="04CE1F73"/>
    <w:rsid w:val="05957D83"/>
    <w:rsid w:val="05B95683"/>
    <w:rsid w:val="05C017FD"/>
    <w:rsid w:val="06D849E3"/>
    <w:rsid w:val="06E36237"/>
    <w:rsid w:val="087370B9"/>
    <w:rsid w:val="0A2F0DBE"/>
    <w:rsid w:val="0B193D02"/>
    <w:rsid w:val="0B84338B"/>
    <w:rsid w:val="0C154007"/>
    <w:rsid w:val="0CA23AC9"/>
    <w:rsid w:val="0D7207A6"/>
    <w:rsid w:val="0E4B1F3E"/>
    <w:rsid w:val="11E46932"/>
    <w:rsid w:val="1238549D"/>
    <w:rsid w:val="127C38A5"/>
    <w:rsid w:val="128E7347"/>
    <w:rsid w:val="12C02EFB"/>
    <w:rsid w:val="133C05DC"/>
    <w:rsid w:val="136E6DFB"/>
    <w:rsid w:val="14B52807"/>
    <w:rsid w:val="14F204A2"/>
    <w:rsid w:val="157A28AF"/>
    <w:rsid w:val="15E83F8E"/>
    <w:rsid w:val="162A4334"/>
    <w:rsid w:val="164B2A04"/>
    <w:rsid w:val="17554DF7"/>
    <w:rsid w:val="17F96B12"/>
    <w:rsid w:val="1871105F"/>
    <w:rsid w:val="189310B2"/>
    <w:rsid w:val="199B6470"/>
    <w:rsid w:val="1A9A6727"/>
    <w:rsid w:val="1AC11F06"/>
    <w:rsid w:val="1ACB4B33"/>
    <w:rsid w:val="1B3D71C1"/>
    <w:rsid w:val="1BCB22E6"/>
    <w:rsid w:val="1C4C39E7"/>
    <w:rsid w:val="1CFA34AD"/>
    <w:rsid w:val="1D1A36B1"/>
    <w:rsid w:val="1D43495B"/>
    <w:rsid w:val="1DA44932"/>
    <w:rsid w:val="1E006819"/>
    <w:rsid w:val="1F152820"/>
    <w:rsid w:val="20F21EF0"/>
    <w:rsid w:val="210A56C3"/>
    <w:rsid w:val="214F7C1E"/>
    <w:rsid w:val="23B720F8"/>
    <w:rsid w:val="23DB6AD3"/>
    <w:rsid w:val="24B14D99"/>
    <w:rsid w:val="24DE1906"/>
    <w:rsid w:val="25ED1E01"/>
    <w:rsid w:val="26976211"/>
    <w:rsid w:val="27DA0163"/>
    <w:rsid w:val="28912DB4"/>
    <w:rsid w:val="28A34FD3"/>
    <w:rsid w:val="295C2DFA"/>
    <w:rsid w:val="295F4405"/>
    <w:rsid w:val="29890093"/>
    <w:rsid w:val="2B3808F6"/>
    <w:rsid w:val="2B7D22D9"/>
    <w:rsid w:val="2C7F752B"/>
    <w:rsid w:val="2CA23219"/>
    <w:rsid w:val="2CB17B5A"/>
    <w:rsid w:val="2CC15D95"/>
    <w:rsid w:val="2ECE02F6"/>
    <w:rsid w:val="2ED52C6D"/>
    <w:rsid w:val="2FBB4D1E"/>
    <w:rsid w:val="2FC260AC"/>
    <w:rsid w:val="30607673"/>
    <w:rsid w:val="31A25301"/>
    <w:rsid w:val="31AD2E67"/>
    <w:rsid w:val="31C75B74"/>
    <w:rsid w:val="3205549F"/>
    <w:rsid w:val="325C4129"/>
    <w:rsid w:val="32BA306B"/>
    <w:rsid w:val="32BF4B25"/>
    <w:rsid w:val="32D1637E"/>
    <w:rsid w:val="34163BFA"/>
    <w:rsid w:val="34833930"/>
    <w:rsid w:val="34A22009"/>
    <w:rsid w:val="354B108F"/>
    <w:rsid w:val="361209CC"/>
    <w:rsid w:val="377D0946"/>
    <w:rsid w:val="378105FB"/>
    <w:rsid w:val="38640C38"/>
    <w:rsid w:val="39033292"/>
    <w:rsid w:val="3A1C460B"/>
    <w:rsid w:val="3A865F28"/>
    <w:rsid w:val="3C0D4B53"/>
    <w:rsid w:val="3C3F2833"/>
    <w:rsid w:val="3C664263"/>
    <w:rsid w:val="3C8D3764"/>
    <w:rsid w:val="3DA07301"/>
    <w:rsid w:val="3E644813"/>
    <w:rsid w:val="3E8433D8"/>
    <w:rsid w:val="3E9D7A57"/>
    <w:rsid w:val="3F310B59"/>
    <w:rsid w:val="3FC4377B"/>
    <w:rsid w:val="3FC90D91"/>
    <w:rsid w:val="408F5EAA"/>
    <w:rsid w:val="413B7A6D"/>
    <w:rsid w:val="41FE2A67"/>
    <w:rsid w:val="42F00D2B"/>
    <w:rsid w:val="43413334"/>
    <w:rsid w:val="43CE1B59"/>
    <w:rsid w:val="43D877F5"/>
    <w:rsid w:val="442944F4"/>
    <w:rsid w:val="467A71EB"/>
    <w:rsid w:val="487D3F41"/>
    <w:rsid w:val="48CE7A8D"/>
    <w:rsid w:val="49C53294"/>
    <w:rsid w:val="4A8204BA"/>
    <w:rsid w:val="4B9E7576"/>
    <w:rsid w:val="4BCD1C09"/>
    <w:rsid w:val="4BF215BE"/>
    <w:rsid w:val="4C4427EA"/>
    <w:rsid w:val="4C9D5A7F"/>
    <w:rsid w:val="4D495A2D"/>
    <w:rsid w:val="4D527006"/>
    <w:rsid w:val="4D896004"/>
    <w:rsid w:val="4E4C150B"/>
    <w:rsid w:val="4E7E7051"/>
    <w:rsid w:val="4F3501F1"/>
    <w:rsid w:val="50AF18DD"/>
    <w:rsid w:val="50E023DF"/>
    <w:rsid w:val="50F67349"/>
    <w:rsid w:val="51356102"/>
    <w:rsid w:val="51D9182F"/>
    <w:rsid w:val="533F163E"/>
    <w:rsid w:val="53B316E5"/>
    <w:rsid w:val="54C87412"/>
    <w:rsid w:val="54EF0E42"/>
    <w:rsid w:val="56206309"/>
    <w:rsid w:val="56A317C7"/>
    <w:rsid w:val="56EC3BB2"/>
    <w:rsid w:val="576F2F50"/>
    <w:rsid w:val="57C066FC"/>
    <w:rsid w:val="58733B38"/>
    <w:rsid w:val="5880636C"/>
    <w:rsid w:val="58FE2F4F"/>
    <w:rsid w:val="59030A18"/>
    <w:rsid w:val="59232E69"/>
    <w:rsid w:val="5A58763C"/>
    <w:rsid w:val="5ADC3C17"/>
    <w:rsid w:val="5B2703BF"/>
    <w:rsid w:val="5BDD44F5"/>
    <w:rsid w:val="5D815265"/>
    <w:rsid w:val="5E8B1BDC"/>
    <w:rsid w:val="5E8F2D4E"/>
    <w:rsid w:val="60001B6F"/>
    <w:rsid w:val="60400411"/>
    <w:rsid w:val="615838CB"/>
    <w:rsid w:val="619568CD"/>
    <w:rsid w:val="626562A0"/>
    <w:rsid w:val="62C51434"/>
    <w:rsid w:val="63C24D92"/>
    <w:rsid w:val="640D6BEF"/>
    <w:rsid w:val="6499200B"/>
    <w:rsid w:val="64AD2180"/>
    <w:rsid w:val="660E3E54"/>
    <w:rsid w:val="66761E42"/>
    <w:rsid w:val="670921B5"/>
    <w:rsid w:val="67780823"/>
    <w:rsid w:val="6783311F"/>
    <w:rsid w:val="67AB6E4B"/>
    <w:rsid w:val="67B33F51"/>
    <w:rsid w:val="68ED228A"/>
    <w:rsid w:val="692F13B6"/>
    <w:rsid w:val="6A2D7FEB"/>
    <w:rsid w:val="6A591EC9"/>
    <w:rsid w:val="6A895B7D"/>
    <w:rsid w:val="6B030D4C"/>
    <w:rsid w:val="6B60619E"/>
    <w:rsid w:val="6BB30A8B"/>
    <w:rsid w:val="6BC4672D"/>
    <w:rsid w:val="6C5F6456"/>
    <w:rsid w:val="6C952FB6"/>
    <w:rsid w:val="6CFD74D7"/>
    <w:rsid w:val="6D4F77BF"/>
    <w:rsid w:val="6E4B57C5"/>
    <w:rsid w:val="6E8660BA"/>
    <w:rsid w:val="6EB63269"/>
    <w:rsid w:val="6F5E47A3"/>
    <w:rsid w:val="6F616041"/>
    <w:rsid w:val="6F7C0E99"/>
    <w:rsid w:val="70052E70"/>
    <w:rsid w:val="70141305"/>
    <w:rsid w:val="701B6B38"/>
    <w:rsid w:val="70422316"/>
    <w:rsid w:val="71887D53"/>
    <w:rsid w:val="71E9433F"/>
    <w:rsid w:val="722F68CA"/>
    <w:rsid w:val="72B156D0"/>
    <w:rsid w:val="731A30D6"/>
    <w:rsid w:val="7360065E"/>
    <w:rsid w:val="74463A57"/>
    <w:rsid w:val="744B6FE9"/>
    <w:rsid w:val="74542618"/>
    <w:rsid w:val="74634609"/>
    <w:rsid w:val="74CA2B97"/>
    <w:rsid w:val="75662792"/>
    <w:rsid w:val="765608C9"/>
    <w:rsid w:val="76BB072D"/>
    <w:rsid w:val="78C25DA2"/>
    <w:rsid w:val="78EF31FB"/>
    <w:rsid w:val="79314CD6"/>
    <w:rsid w:val="7A1A39BC"/>
    <w:rsid w:val="7C1F350C"/>
    <w:rsid w:val="7C866045"/>
    <w:rsid w:val="7CB67090"/>
    <w:rsid w:val="7CEE584C"/>
    <w:rsid w:val="7D741635"/>
    <w:rsid w:val="7E8C0042"/>
    <w:rsid w:val="7EA366EB"/>
    <w:rsid w:val="7ED50BC3"/>
    <w:rsid w:val="7F022551"/>
    <w:rsid w:val="7F086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link w:val="43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44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3">
    <w:name w:val="柴_标题2 Char"/>
    <w:link w:val="30"/>
    <w:qFormat/>
    <w:uiPriority w:val="0"/>
    <w:rPr>
      <w:rFonts w:ascii="Arial" w:hAnsi="Arial" w:eastAsia="宋体"/>
      <w:sz w:val="28"/>
    </w:rPr>
  </w:style>
  <w:style w:type="character" w:customStyle="1" w:styleId="44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1191</Words>
  <Characters>1395</Characters>
  <Lines>0</Lines>
  <Paragraphs>0</Paragraphs>
  <TotalTime>0</TotalTime>
  <ScaleCrop>false</ScaleCrop>
  <LinksUpToDate>false</LinksUpToDate>
  <CharactersWithSpaces>1531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2025-12-14T16:15:31Z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