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12340"/>
      <w:r>
        <w:rPr>
          <w:rFonts w:hint="eastAsia"/>
          <w:lang w:val="en-US" w:eastAsia="zh-CN"/>
        </w:rPr>
        <w:t>云南腾电科技有限公司</w:t>
      </w:r>
      <w:bookmarkEnd w:id="0"/>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16414"/>
      <w:r>
        <w:rPr>
          <w:rFonts w:hint="eastAsia"/>
          <w:lang w:val="en-US" w:eastAsia="zh-CN"/>
        </w:rPr>
        <w:t>运维服务工具管理办法</w:t>
      </w:r>
      <w:bookmarkEnd w:id="1"/>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26895"/>
      <w:r>
        <w:rPr>
          <w:rFonts w:hint="eastAsia"/>
          <w:lang w:val="en-US" w:eastAsia="zh-CN"/>
        </w:rPr>
        <w:t>（YNTD-ITSS-0801）</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谢广胜</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7204"/>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谢广胜</w:t>
            </w:r>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5772"/>
        <w15:color w:val="DBDBDB"/>
        <w:docPartObj>
          <w:docPartGallery w:val="Table of Contents"/>
          <w:docPartUnique/>
        </w:docPartObj>
      </w:sdtPr>
      <w:sdtContent>
        <w:p w14:paraId="7C11734B">
          <w:pPr>
            <w:spacing w:before="0" w:beforeLines="0" w:after="0" w:afterLines="0" w:line="240" w:lineRule="auto"/>
            <w:ind w:left="0" w:leftChars="0" w:right="0" w:rightChars="0" w:firstLine="0" w:firstLineChars="0"/>
            <w:jc w:val="center"/>
          </w:pPr>
          <w:bookmarkStart w:id="4" w:name="heading_2"/>
          <w:r>
            <w:rPr>
              <w:rFonts w:ascii="宋体" w:hAnsi="宋体" w:eastAsia="宋体"/>
              <w:sz w:val="21"/>
            </w:rPr>
            <w:t>目录</w:t>
          </w:r>
        </w:p>
        <w:p w14:paraId="4D1D70C7">
          <w:pPr>
            <w:pStyle w:val="16"/>
            <w:tabs>
              <w:tab w:val="right" w:leader="dot" w:pos="8306"/>
            </w:tabs>
          </w:pPr>
          <w:r>
            <w:fldChar w:fldCharType="begin"/>
          </w:r>
          <w:r>
            <w:instrText xml:space="preserve">TOC \o "1-3" \h \u </w:instrText>
          </w:r>
          <w:r>
            <w:fldChar w:fldCharType="separate"/>
          </w:r>
          <w:r>
            <w:fldChar w:fldCharType="begin"/>
          </w:r>
          <w:r>
            <w:instrText xml:space="preserve"> HYPERLINK \l _Toc12340 </w:instrText>
          </w:r>
          <w:r>
            <w:fldChar w:fldCharType="separate"/>
          </w:r>
          <w:r>
            <w:rPr>
              <w:rFonts w:hint="eastAsia"/>
              <w:lang w:val="en-US" w:eastAsia="zh-CN"/>
            </w:rPr>
            <w:t>云南腾电科技有限公司</w:t>
          </w:r>
          <w:r>
            <w:tab/>
          </w:r>
          <w:r>
            <w:fldChar w:fldCharType="begin"/>
          </w:r>
          <w:r>
            <w:instrText xml:space="preserve"> PAGEREF _Toc12340 \h </w:instrText>
          </w:r>
          <w:r>
            <w:fldChar w:fldCharType="separate"/>
          </w:r>
          <w:r>
            <w:t>1</w:t>
          </w:r>
          <w:r>
            <w:fldChar w:fldCharType="end"/>
          </w:r>
          <w:r>
            <w:fldChar w:fldCharType="end"/>
          </w:r>
        </w:p>
        <w:p w14:paraId="08803ED5">
          <w:pPr>
            <w:pStyle w:val="16"/>
            <w:tabs>
              <w:tab w:val="right" w:leader="dot" w:pos="8306"/>
            </w:tabs>
          </w:pPr>
          <w:r>
            <w:fldChar w:fldCharType="begin"/>
          </w:r>
          <w:r>
            <w:instrText xml:space="preserve"> HYPERLINK \l _Toc16414 </w:instrText>
          </w:r>
          <w:r>
            <w:fldChar w:fldCharType="separate"/>
          </w:r>
          <w:r>
            <w:rPr>
              <w:rFonts w:hint="eastAsia"/>
              <w:lang w:val="en-US" w:eastAsia="zh-CN"/>
            </w:rPr>
            <w:t>运维服务工具管理办法</w:t>
          </w:r>
          <w:r>
            <w:tab/>
          </w:r>
          <w:r>
            <w:fldChar w:fldCharType="begin"/>
          </w:r>
          <w:r>
            <w:instrText xml:space="preserve"> PAGEREF _Toc16414 \h </w:instrText>
          </w:r>
          <w:r>
            <w:fldChar w:fldCharType="separate"/>
          </w:r>
          <w:r>
            <w:t>1</w:t>
          </w:r>
          <w:r>
            <w:fldChar w:fldCharType="end"/>
          </w:r>
          <w:r>
            <w:fldChar w:fldCharType="end"/>
          </w:r>
        </w:p>
        <w:p w14:paraId="674F3ABA">
          <w:pPr>
            <w:pStyle w:val="16"/>
            <w:tabs>
              <w:tab w:val="right" w:leader="dot" w:pos="8306"/>
            </w:tabs>
          </w:pPr>
          <w:r>
            <w:fldChar w:fldCharType="begin"/>
          </w:r>
          <w:r>
            <w:instrText xml:space="preserve"> HYPERLINK \l _Toc26895 </w:instrText>
          </w:r>
          <w:r>
            <w:fldChar w:fldCharType="separate"/>
          </w:r>
          <w:r>
            <w:rPr>
              <w:rFonts w:hint="eastAsia"/>
              <w:lang w:val="en-US" w:eastAsia="zh-CN"/>
            </w:rPr>
            <w:t>（YNTD-ITSS-0801）</w:t>
          </w:r>
          <w:r>
            <w:tab/>
          </w:r>
          <w:r>
            <w:fldChar w:fldCharType="begin"/>
          </w:r>
          <w:r>
            <w:instrText xml:space="preserve"> PAGEREF _Toc26895 \h </w:instrText>
          </w:r>
          <w:r>
            <w:fldChar w:fldCharType="separate"/>
          </w:r>
          <w:r>
            <w:t>1</w:t>
          </w:r>
          <w:r>
            <w:fldChar w:fldCharType="end"/>
          </w:r>
          <w:r>
            <w:fldChar w:fldCharType="end"/>
          </w:r>
        </w:p>
        <w:p w14:paraId="519103F5">
          <w:pPr>
            <w:pStyle w:val="16"/>
            <w:tabs>
              <w:tab w:val="right" w:leader="dot" w:pos="8306"/>
            </w:tabs>
          </w:pPr>
          <w:r>
            <w:fldChar w:fldCharType="begin"/>
          </w:r>
          <w:r>
            <w:instrText xml:space="preserve"> HYPERLINK \l _Toc7204 </w:instrText>
          </w:r>
          <w:r>
            <w:fldChar w:fldCharType="separate"/>
          </w:r>
          <w:r>
            <w:rPr>
              <w:rFonts w:ascii="宋体" w:hAnsi="宋体" w:eastAsia="宋体" w:cs="宋体"/>
              <w:bCs/>
              <w:spacing w:val="-4"/>
              <w:szCs w:val="30"/>
            </w:rPr>
            <w:t>文件编制和变更履历</w:t>
          </w:r>
          <w:r>
            <w:tab/>
          </w:r>
          <w:r>
            <w:fldChar w:fldCharType="begin"/>
          </w:r>
          <w:r>
            <w:instrText xml:space="preserve"> PAGEREF _Toc7204 \h </w:instrText>
          </w:r>
          <w:r>
            <w:fldChar w:fldCharType="separate"/>
          </w:r>
          <w:r>
            <w:t>2</w:t>
          </w:r>
          <w:r>
            <w:fldChar w:fldCharType="end"/>
          </w:r>
          <w:r>
            <w:fldChar w:fldCharType="end"/>
          </w:r>
        </w:p>
        <w:p w14:paraId="29C2E9BF">
          <w:pPr>
            <w:pStyle w:val="16"/>
            <w:tabs>
              <w:tab w:val="right" w:leader="dot" w:pos="8306"/>
            </w:tabs>
          </w:pPr>
          <w:r>
            <w:fldChar w:fldCharType="begin"/>
          </w:r>
          <w:r>
            <w:instrText xml:space="preserve"> HYPERLINK \l _Toc4443 </w:instrText>
          </w:r>
          <w:r>
            <w:fldChar w:fldCharType="separate"/>
          </w:r>
          <w:r>
            <w:rPr>
              <w:rFonts w:hint="default"/>
            </w:rPr>
            <w:t xml:space="preserve">1. </w:t>
          </w:r>
          <w:r>
            <w:t>目的</w:t>
          </w:r>
          <w:r>
            <w:tab/>
          </w:r>
          <w:r>
            <w:fldChar w:fldCharType="begin"/>
          </w:r>
          <w:r>
            <w:instrText xml:space="preserve"> PAGEREF _Toc4443 \h </w:instrText>
          </w:r>
          <w:r>
            <w:fldChar w:fldCharType="separate"/>
          </w:r>
          <w:r>
            <w:t>4</w:t>
          </w:r>
          <w:r>
            <w:fldChar w:fldCharType="end"/>
          </w:r>
          <w:r>
            <w:fldChar w:fldCharType="end"/>
          </w:r>
        </w:p>
        <w:p w14:paraId="6C50706A">
          <w:pPr>
            <w:pStyle w:val="16"/>
            <w:tabs>
              <w:tab w:val="right" w:leader="dot" w:pos="8306"/>
            </w:tabs>
          </w:pPr>
          <w:r>
            <w:fldChar w:fldCharType="begin"/>
          </w:r>
          <w:r>
            <w:instrText xml:space="preserve"> HYPERLINK \l _Toc32194 </w:instrText>
          </w:r>
          <w:r>
            <w:fldChar w:fldCharType="separate"/>
          </w:r>
          <w:r>
            <w:rPr>
              <w:rFonts w:hint="default"/>
            </w:rPr>
            <w:t xml:space="preserve">2. </w:t>
          </w:r>
          <w:r>
            <w:t>适用范围</w:t>
          </w:r>
          <w:r>
            <w:tab/>
          </w:r>
          <w:r>
            <w:fldChar w:fldCharType="begin"/>
          </w:r>
          <w:r>
            <w:instrText xml:space="preserve"> PAGEREF _Toc32194 \h </w:instrText>
          </w:r>
          <w:r>
            <w:fldChar w:fldCharType="separate"/>
          </w:r>
          <w:r>
            <w:t>4</w:t>
          </w:r>
          <w:r>
            <w:fldChar w:fldCharType="end"/>
          </w:r>
          <w:r>
            <w:fldChar w:fldCharType="end"/>
          </w:r>
        </w:p>
        <w:p w14:paraId="37D5B313">
          <w:pPr>
            <w:pStyle w:val="16"/>
            <w:tabs>
              <w:tab w:val="right" w:leader="dot" w:pos="8306"/>
            </w:tabs>
          </w:pPr>
          <w:r>
            <w:fldChar w:fldCharType="begin"/>
          </w:r>
          <w:r>
            <w:instrText xml:space="preserve"> HYPERLINK \l _Toc11803 </w:instrText>
          </w:r>
          <w:r>
            <w:fldChar w:fldCharType="separate"/>
          </w:r>
          <w:r>
            <w:rPr>
              <w:rFonts w:hint="default"/>
            </w:rPr>
            <w:t xml:space="preserve">3. </w:t>
          </w:r>
          <w:r>
            <w:t>角色职责</w:t>
          </w:r>
          <w:r>
            <w:tab/>
          </w:r>
          <w:r>
            <w:fldChar w:fldCharType="begin"/>
          </w:r>
          <w:r>
            <w:instrText xml:space="preserve"> PAGEREF _Toc11803 \h </w:instrText>
          </w:r>
          <w:r>
            <w:fldChar w:fldCharType="separate"/>
          </w:r>
          <w:r>
            <w:t>4</w:t>
          </w:r>
          <w:r>
            <w:fldChar w:fldCharType="end"/>
          </w:r>
          <w:r>
            <w:fldChar w:fldCharType="end"/>
          </w:r>
        </w:p>
        <w:p w14:paraId="182CD1E0">
          <w:pPr>
            <w:pStyle w:val="17"/>
            <w:tabs>
              <w:tab w:val="right" w:leader="dot" w:pos="8306"/>
            </w:tabs>
          </w:pPr>
          <w:r>
            <w:fldChar w:fldCharType="begin"/>
          </w:r>
          <w:r>
            <w:instrText xml:space="preserve"> HYPERLINK \l _Toc28497 </w:instrText>
          </w:r>
          <w:r>
            <w:fldChar w:fldCharType="separate"/>
          </w:r>
          <w:r>
            <w:rPr>
              <w:rFonts w:hint="default"/>
            </w:rPr>
            <w:t xml:space="preserve">3.1. </w:t>
          </w:r>
          <w:r>
            <w:rPr>
              <w:rFonts w:hint="eastAsia"/>
              <w:lang w:val="en-US" w:eastAsia="zh-CN"/>
            </w:rPr>
            <w:t>运维部</w:t>
          </w:r>
          <w:r>
            <w:tab/>
          </w:r>
          <w:r>
            <w:fldChar w:fldCharType="begin"/>
          </w:r>
          <w:r>
            <w:instrText xml:space="preserve"> PAGEREF _Toc28497 \h </w:instrText>
          </w:r>
          <w:r>
            <w:fldChar w:fldCharType="separate"/>
          </w:r>
          <w:r>
            <w:t>4</w:t>
          </w:r>
          <w:r>
            <w:fldChar w:fldCharType="end"/>
          </w:r>
          <w:r>
            <w:fldChar w:fldCharType="end"/>
          </w:r>
        </w:p>
        <w:p w14:paraId="3B152CF5">
          <w:pPr>
            <w:pStyle w:val="17"/>
            <w:tabs>
              <w:tab w:val="right" w:leader="dot" w:pos="8306"/>
            </w:tabs>
          </w:pPr>
          <w:r>
            <w:fldChar w:fldCharType="begin"/>
          </w:r>
          <w:r>
            <w:instrText xml:space="preserve"> HYPERLINK \l _Toc23582 </w:instrText>
          </w:r>
          <w:r>
            <w:fldChar w:fldCharType="separate"/>
          </w:r>
          <w:r>
            <w:rPr>
              <w:rFonts w:hint="default"/>
            </w:rPr>
            <w:t xml:space="preserve">3.2. </w:t>
          </w:r>
          <w:r>
            <w:t>研发部</w:t>
          </w:r>
          <w:r>
            <w:tab/>
          </w:r>
          <w:r>
            <w:fldChar w:fldCharType="begin"/>
          </w:r>
          <w:r>
            <w:instrText xml:space="preserve"> PAGEREF _Toc23582 \h </w:instrText>
          </w:r>
          <w:r>
            <w:fldChar w:fldCharType="separate"/>
          </w:r>
          <w:r>
            <w:t>4</w:t>
          </w:r>
          <w:r>
            <w:fldChar w:fldCharType="end"/>
          </w:r>
          <w:r>
            <w:fldChar w:fldCharType="end"/>
          </w:r>
        </w:p>
        <w:p w14:paraId="624914C2">
          <w:pPr>
            <w:pStyle w:val="16"/>
            <w:tabs>
              <w:tab w:val="right" w:leader="dot" w:pos="8306"/>
            </w:tabs>
          </w:pPr>
          <w:r>
            <w:fldChar w:fldCharType="begin"/>
          </w:r>
          <w:r>
            <w:instrText xml:space="preserve"> HYPERLINK \l _Toc20183 </w:instrText>
          </w:r>
          <w:r>
            <w:fldChar w:fldCharType="separate"/>
          </w:r>
          <w:r>
            <w:rPr>
              <w:rFonts w:hint="default"/>
            </w:rPr>
            <w:t xml:space="preserve">4. </w:t>
          </w:r>
          <w:r>
            <w:t>运维服务工具管理</w:t>
          </w:r>
          <w:r>
            <w:tab/>
          </w:r>
          <w:r>
            <w:fldChar w:fldCharType="begin"/>
          </w:r>
          <w:r>
            <w:instrText xml:space="preserve"> PAGEREF _Toc20183 \h </w:instrText>
          </w:r>
          <w:r>
            <w:fldChar w:fldCharType="separate"/>
          </w:r>
          <w:r>
            <w:t>4</w:t>
          </w:r>
          <w:r>
            <w:fldChar w:fldCharType="end"/>
          </w:r>
          <w:r>
            <w:fldChar w:fldCharType="end"/>
          </w:r>
        </w:p>
        <w:p w14:paraId="68AB438C">
          <w:pPr>
            <w:pStyle w:val="17"/>
            <w:tabs>
              <w:tab w:val="right" w:leader="dot" w:pos="8306"/>
            </w:tabs>
          </w:pPr>
          <w:r>
            <w:fldChar w:fldCharType="begin"/>
          </w:r>
          <w:r>
            <w:instrText xml:space="preserve"> HYPERLINK \l _Toc11259 </w:instrText>
          </w:r>
          <w:r>
            <w:fldChar w:fldCharType="separate"/>
          </w:r>
          <w:r>
            <w:rPr>
              <w:rFonts w:hint="default"/>
            </w:rPr>
            <w:t xml:space="preserve">4.1. </w:t>
          </w:r>
          <w:r>
            <w:t>管理要求</w:t>
          </w:r>
          <w:r>
            <w:tab/>
          </w:r>
          <w:r>
            <w:fldChar w:fldCharType="begin"/>
          </w:r>
          <w:r>
            <w:instrText xml:space="preserve"> PAGEREF _Toc11259 \h </w:instrText>
          </w:r>
          <w:r>
            <w:fldChar w:fldCharType="separate"/>
          </w:r>
          <w:r>
            <w:t>4</w:t>
          </w:r>
          <w:r>
            <w:fldChar w:fldCharType="end"/>
          </w:r>
          <w:r>
            <w:fldChar w:fldCharType="end"/>
          </w:r>
        </w:p>
        <w:p w14:paraId="77A3437C">
          <w:pPr>
            <w:pStyle w:val="17"/>
            <w:tabs>
              <w:tab w:val="right" w:leader="dot" w:pos="8306"/>
            </w:tabs>
          </w:pPr>
          <w:r>
            <w:fldChar w:fldCharType="begin"/>
          </w:r>
          <w:r>
            <w:instrText xml:space="preserve"> HYPERLINK \l _Toc4757 </w:instrText>
          </w:r>
          <w:r>
            <w:fldChar w:fldCharType="separate"/>
          </w:r>
          <w:r>
            <w:rPr>
              <w:rFonts w:hint="default"/>
            </w:rPr>
            <w:t xml:space="preserve">4.2. </w:t>
          </w:r>
          <w:r>
            <w:t>运维服务工具简介</w:t>
          </w:r>
          <w:r>
            <w:tab/>
          </w:r>
          <w:r>
            <w:fldChar w:fldCharType="begin"/>
          </w:r>
          <w:r>
            <w:instrText xml:space="preserve"> PAGEREF _Toc4757 \h </w:instrText>
          </w:r>
          <w:r>
            <w:fldChar w:fldCharType="separate"/>
          </w:r>
          <w:r>
            <w:t>5</w:t>
          </w:r>
          <w:r>
            <w:fldChar w:fldCharType="end"/>
          </w:r>
          <w:r>
            <w:fldChar w:fldCharType="end"/>
          </w:r>
        </w:p>
        <w:p w14:paraId="50E1B12C">
          <w:pPr>
            <w:pStyle w:val="13"/>
            <w:tabs>
              <w:tab w:val="right" w:leader="dot" w:pos="8306"/>
            </w:tabs>
          </w:pPr>
          <w:r>
            <w:fldChar w:fldCharType="begin"/>
          </w:r>
          <w:r>
            <w:instrText xml:space="preserve"> HYPERLINK \l _Toc19179 </w:instrText>
          </w:r>
          <w:r>
            <w:fldChar w:fldCharType="separate"/>
          </w:r>
          <w:r>
            <w:rPr>
              <w:rFonts w:hint="default"/>
            </w:rPr>
            <w:t xml:space="preserve">4.2.1. </w:t>
          </w:r>
          <w:r>
            <w:t>过程管理工具</w:t>
          </w:r>
          <w:r>
            <w:tab/>
          </w:r>
          <w:r>
            <w:fldChar w:fldCharType="begin"/>
          </w:r>
          <w:r>
            <w:instrText xml:space="preserve"> PAGEREF _Toc19179 \h </w:instrText>
          </w:r>
          <w:r>
            <w:fldChar w:fldCharType="separate"/>
          </w:r>
          <w:r>
            <w:t>5</w:t>
          </w:r>
          <w:r>
            <w:fldChar w:fldCharType="end"/>
          </w:r>
          <w:r>
            <w:fldChar w:fldCharType="end"/>
          </w:r>
        </w:p>
        <w:p w14:paraId="31D980E2">
          <w:pPr>
            <w:pStyle w:val="13"/>
            <w:tabs>
              <w:tab w:val="right" w:leader="dot" w:pos="8306"/>
            </w:tabs>
          </w:pPr>
          <w:r>
            <w:fldChar w:fldCharType="begin"/>
          </w:r>
          <w:r>
            <w:instrText xml:space="preserve"> HYPERLINK \l _Toc27371 </w:instrText>
          </w:r>
          <w:r>
            <w:fldChar w:fldCharType="separate"/>
          </w:r>
          <w:r>
            <w:rPr>
              <w:rFonts w:hint="default"/>
            </w:rPr>
            <w:t xml:space="preserve">4.2.2. </w:t>
          </w:r>
          <w:r>
            <w:t>监控管理工具</w:t>
          </w:r>
          <w:r>
            <w:tab/>
          </w:r>
          <w:r>
            <w:fldChar w:fldCharType="begin"/>
          </w:r>
          <w:r>
            <w:instrText xml:space="preserve"> PAGEREF _Toc27371 \h </w:instrText>
          </w:r>
          <w:r>
            <w:fldChar w:fldCharType="separate"/>
          </w:r>
          <w:r>
            <w:t>5</w:t>
          </w:r>
          <w:r>
            <w:fldChar w:fldCharType="end"/>
          </w:r>
          <w:r>
            <w:fldChar w:fldCharType="end"/>
          </w:r>
        </w:p>
        <w:p w14:paraId="41AF61F5">
          <w:pPr>
            <w:pStyle w:val="13"/>
            <w:tabs>
              <w:tab w:val="right" w:leader="dot" w:pos="8306"/>
            </w:tabs>
          </w:pPr>
          <w:r>
            <w:fldChar w:fldCharType="begin"/>
          </w:r>
          <w:r>
            <w:instrText xml:space="preserve"> HYPERLINK \l _Toc18325 </w:instrText>
          </w:r>
          <w:r>
            <w:fldChar w:fldCharType="separate"/>
          </w:r>
          <w:r>
            <w:rPr>
              <w:rFonts w:hint="default"/>
            </w:rPr>
            <w:t xml:space="preserve">4.2.3. </w:t>
          </w:r>
          <w:r>
            <w:t>专用工具</w:t>
          </w:r>
          <w:r>
            <w:tab/>
          </w:r>
          <w:r>
            <w:fldChar w:fldCharType="begin"/>
          </w:r>
          <w:r>
            <w:instrText xml:space="preserve"> PAGEREF _Toc18325 \h </w:instrText>
          </w:r>
          <w:r>
            <w:fldChar w:fldCharType="separate"/>
          </w:r>
          <w:r>
            <w:t>5</w:t>
          </w:r>
          <w:r>
            <w:fldChar w:fldCharType="end"/>
          </w:r>
          <w:r>
            <w:fldChar w:fldCharType="end"/>
          </w:r>
        </w:p>
        <w:p w14:paraId="638D6BC2">
          <w:pPr>
            <w:pStyle w:val="17"/>
            <w:tabs>
              <w:tab w:val="right" w:leader="dot" w:pos="8306"/>
            </w:tabs>
          </w:pPr>
          <w:r>
            <w:fldChar w:fldCharType="begin"/>
          </w:r>
          <w:r>
            <w:instrText xml:space="preserve"> HYPERLINK \l _Toc29834 </w:instrText>
          </w:r>
          <w:r>
            <w:fldChar w:fldCharType="separate"/>
          </w:r>
          <w:r>
            <w:rPr>
              <w:rFonts w:hint="default"/>
            </w:rPr>
            <w:t xml:space="preserve">4.3. </w:t>
          </w:r>
          <w:r>
            <w:t>运维服务工具的日常管理</w:t>
          </w:r>
          <w:r>
            <w:tab/>
          </w:r>
          <w:r>
            <w:fldChar w:fldCharType="begin"/>
          </w:r>
          <w:r>
            <w:instrText xml:space="preserve"> PAGEREF _Toc29834 \h </w:instrText>
          </w:r>
          <w:r>
            <w:fldChar w:fldCharType="separate"/>
          </w:r>
          <w:r>
            <w:t>5</w:t>
          </w:r>
          <w:r>
            <w:fldChar w:fldCharType="end"/>
          </w:r>
          <w:r>
            <w:fldChar w:fldCharType="end"/>
          </w:r>
        </w:p>
        <w:p w14:paraId="2AC1F9CA">
          <w:pPr>
            <w:pStyle w:val="17"/>
            <w:tabs>
              <w:tab w:val="right" w:leader="dot" w:pos="8306"/>
            </w:tabs>
          </w:pPr>
          <w:r>
            <w:fldChar w:fldCharType="begin"/>
          </w:r>
          <w:r>
            <w:instrText xml:space="preserve"> HYPERLINK \l _Toc31232 </w:instrText>
          </w:r>
          <w:r>
            <w:fldChar w:fldCharType="separate"/>
          </w:r>
          <w:r>
            <w:rPr>
              <w:rFonts w:hint="default"/>
            </w:rPr>
            <w:t xml:space="preserve">4.4. </w:t>
          </w:r>
          <w:r>
            <w:t>运维服务工具使用的培训</w:t>
          </w:r>
          <w:r>
            <w:tab/>
          </w:r>
          <w:r>
            <w:fldChar w:fldCharType="begin"/>
          </w:r>
          <w:r>
            <w:instrText xml:space="preserve"> PAGEREF _Toc31232 \h </w:instrText>
          </w:r>
          <w:r>
            <w:fldChar w:fldCharType="separate"/>
          </w:r>
          <w:r>
            <w:t>6</w:t>
          </w:r>
          <w:r>
            <w:fldChar w:fldCharType="end"/>
          </w:r>
          <w:r>
            <w:fldChar w:fldCharType="end"/>
          </w:r>
        </w:p>
        <w:p w14:paraId="757A2757">
          <w:pPr>
            <w:pStyle w:val="16"/>
            <w:tabs>
              <w:tab w:val="right" w:leader="dot" w:pos="8306"/>
            </w:tabs>
          </w:pPr>
          <w:r>
            <w:fldChar w:fldCharType="begin"/>
          </w:r>
          <w:r>
            <w:instrText xml:space="preserve"> HYPERLINK \l _Toc1293 </w:instrText>
          </w:r>
          <w:r>
            <w:fldChar w:fldCharType="separate"/>
          </w:r>
          <w:r>
            <w:rPr>
              <w:rFonts w:hint="default"/>
            </w:rPr>
            <w:t xml:space="preserve">5. </w:t>
          </w:r>
          <w:r>
            <w:t>运维服务工具的评估和改进</w:t>
          </w:r>
          <w:r>
            <w:tab/>
          </w:r>
          <w:r>
            <w:fldChar w:fldCharType="begin"/>
          </w:r>
          <w:r>
            <w:instrText xml:space="preserve"> PAGEREF _Toc1293 \h </w:instrText>
          </w:r>
          <w:r>
            <w:fldChar w:fldCharType="separate"/>
          </w:r>
          <w:r>
            <w:t>6</w:t>
          </w:r>
          <w:r>
            <w:fldChar w:fldCharType="end"/>
          </w:r>
          <w:r>
            <w:fldChar w:fldCharType="end"/>
          </w:r>
        </w:p>
        <w:p w14:paraId="2985B69C">
          <w:pPr>
            <w:pStyle w:val="16"/>
            <w:tabs>
              <w:tab w:val="right" w:leader="dot" w:pos="8306"/>
            </w:tabs>
          </w:pPr>
          <w:r>
            <w:fldChar w:fldCharType="begin"/>
          </w:r>
          <w:r>
            <w:instrText xml:space="preserve"> HYPERLINK \l _Toc4167 </w:instrText>
          </w:r>
          <w:r>
            <w:fldChar w:fldCharType="separate"/>
          </w:r>
          <w:r>
            <w:rPr>
              <w:rFonts w:hint="default"/>
            </w:rPr>
            <w:t xml:space="preserve">6. </w:t>
          </w:r>
          <w:r>
            <w:t>KPI 指标</w:t>
          </w:r>
          <w:r>
            <w:tab/>
          </w:r>
          <w:r>
            <w:fldChar w:fldCharType="begin"/>
          </w:r>
          <w:r>
            <w:instrText xml:space="preserve"> PAGEREF _Toc4167 \h </w:instrText>
          </w:r>
          <w:r>
            <w:fldChar w:fldCharType="separate"/>
          </w:r>
          <w:r>
            <w:t>6</w:t>
          </w:r>
          <w:r>
            <w:fldChar w:fldCharType="end"/>
          </w:r>
          <w:r>
            <w:fldChar w:fldCharType="end"/>
          </w:r>
        </w:p>
        <w:p w14:paraId="059718AD">
          <w:pPr>
            <w:pStyle w:val="16"/>
            <w:tabs>
              <w:tab w:val="right" w:leader="dot" w:pos="8306"/>
            </w:tabs>
          </w:pPr>
          <w:r>
            <w:fldChar w:fldCharType="begin"/>
          </w:r>
          <w:r>
            <w:instrText xml:space="preserve"> HYPERLINK \l _Toc11624 </w:instrText>
          </w:r>
          <w:r>
            <w:fldChar w:fldCharType="separate"/>
          </w:r>
          <w:r>
            <w:rPr>
              <w:rFonts w:hint="default"/>
            </w:rPr>
            <w:t xml:space="preserve">7. </w:t>
          </w:r>
          <w:r>
            <w:t>相关文件</w:t>
          </w:r>
          <w:r>
            <w:tab/>
          </w:r>
          <w:r>
            <w:fldChar w:fldCharType="begin"/>
          </w:r>
          <w:r>
            <w:instrText xml:space="preserve"> PAGEREF _Toc11624 \h </w:instrText>
          </w:r>
          <w:r>
            <w:fldChar w:fldCharType="separate"/>
          </w:r>
          <w:r>
            <w:t>6</w:t>
          </w:r>
          <w:r>
            <w:fldChar w:fldCharType="end"/>
          </w:r>
          <w:r>
            <w:fldChar w:fldCharType="end"/>
          </w:r>
        </w:p>
        <w:p w14:paraId="7ABB6E1B">
          <w:r>
            <w:fldChar w:fldCharType="end"/>
          </w:r>
        </w:p>
      </w:sdtContent>
    </w:sdt>
    <w:p w14:paraId="067C291F">
      <w:bookmarkStart w:id="34" w:name="_GoBack"/>
      <w:bookmarkEnd w:id="34"/>
    </w:p>
    <w:p w14:paraId="410222D7">
      <w:r>
        <w:br w:type="page"/>
      </w:r>
    </w:p>
    <w:p w14:paraId="28B0F38A">
      <w:pPr>
        <w:pStyle w:val="28"/>
        <w:bidi w:val="0"/>
      </w:pPr>
      <w:bookmarkStart w:id="5" w:name="_Toc4443"/>
      <w:r>
        <w:t>目的</w:t>
      </w:r>
      <w:bookmarkEnd w:id="4"/>
      <w:bookmarkEnd w:id="5"/>
    </w:p>
    <w:p w14:paraId="5BAD4062">
      <w:pPr>
        <w:pStyle w:val="29"/>
        <w:bidi w:val="0"/>
      </w:pPr>
      <w:r>
        <w:t>本文件旨在加强公司运维服务工具管理，提高工具利用率，更好地支撑公司运维服务开展，特制定本管理办法。</w:t>
      </w:r>
    </w:p>
    <w:p w14:paraId="00239C43">
      <w:pPr>
        <w:pStyle w:val="28"/>
        <w:bidi w:val="0"/>
      </w:pPr>
      <w:bookmarkStart w:id="6" w:name="heading_3"/>
      <w:bookmarkStart w:id="7" w:name="_Toc32194"/>
      <w:r>
        <w:t>适用范围</w:t>
      </w:r>
      <w:bookmarkEnd w:id="6"/>
      <w:bookmarkEnd w:id="7"/>
    </w:p>
    <w:p w14:paraId="59F87B37">
      <w:pPr>
        <w:pStyle w:val="29"/>
        <w:bidi w:val="0"/>
      </w:pPr>
      <w:r>
        <w:t>本办法适用于湖南同飞电力调度信息有限责任公司范围内所有与运维业务相关的工具。</w:t>
      </w:r>
    </w:p>
    <w:p w14:paraId="4F119C83">
      <w:pPr>
        <w:pStyle w:val="28"/>
        <w:bidi w:val="0"/>
      </w:pPr>
      <w:bookmarkStart w:id="8" w:name="heading_4"/>
      <w:bookmarkStart w:id="9" w:name="_Toc11803"/>
      <w:r>
        <w:t>角色职责</w:t>
      </w:r>
      <w:bookmarkEnd w:id="8"/>
      <w:bookmarkEnd w:id="9"/>
    </w:p>
    <w:p w14:paraId="5B08C79F">
      <w:pPr>
        <w:pStyle w:val="30"/>
        <w:bidi w:val="0"/>
      </w:pPr>
      <w:bookmarkStart w:id="10" w:name="_Toc28497"/>
      <w:r>
        <w:rPr>
          <w:rFonts w:hint="eastAsia"/>
          <w:lang w:val="en-US" w:eastAsia="zh-CN"/>
        </w:rPr>
        <w:t>运维部</w:t>
      </w:r>
      <w:bookmarkEnd w:id="10"/>
    </w:p>
    <w:p w14:paraId="332C9623">
      <w:pPr>
        <w:pStyle w:val="29"/>
        <w:numPr>
          <w:ilvl w:val="0"/>
          <w:numId w:val="0"/>
        </w:numPr>
        <w:bidi w:val="0"/>
        <w:ind w:leftChars="200"/>
      </w:pPr>
      <w:r>
        <w:t>负责管理公司所有与运维业务相关的工具。</w:t>
      </w:r>
    </w:p>
    <w:p w14:paraId="15828B69">
      <w:pPr>
        <w:pStyle w:val="30"/>
        <w:bidi w:val="0"/>
      </w:pPr>
      <w:bookmarkStart w:id="11" w:name="_Toc23582"/>
      <w:r>
        <w:t>研发部</w:t>
      </w:r>
      <w:bookmarkEnd w:id="11"/>
    </w:p>
    <w:p w14:paraId="725D0F92">
      <w:pPr>
        <w:pStyle w:val="29"/>
        <w:numPr>
          <w:ilvl w:val="0"/>
          <w:numId w:val="0"/>
        </w:numPr>
        <w:bidi w:val="0"/>
        <w:ind w:leftChars="200"/>
      </w:pPr>
      <w:r>
        <w:t>负责公司运维工具的研发工作。</w:t>
      </w:r>
    </w:p>
    <w:p w14:paraId="5681E17F">
      <w:pPr>
        <w:pStyle w:val="28"/>
        <w:bidi w:val="0"/>
      </w:pPr>
      <w:bookmarkStart w:id="12" w:name="heading_5"/>
      <w:bookmarkStart w:id="13" w:name="_Toc20183"/>
      <w:r>
        <w:t>运维服务工具管理</w:t>
      </w:r>
      <w:bookmarkEnd w:id="12"/>
      <w:bookmarkEnd w:id="13"/>
    </w:p>
    <w:p w14:paraId="0320CBB2">
      <w:pPr>
        <w:pStyle w:val="29"/>
        <w:bidi w:val="0"/>
      </w:pPr>
      <w:r>
        <w:t>运维服务工具用于固化服务过程关键环节并留存痕迹，是运维服务过程的重要辅助支撑。IT运维服务实施能力体系的建设、实施与管理，离不开运维服务工具的支持。监控工具、过程管理工具等在运维工作中的应用，可显著提升运维工作的可视性、过程组织的有效性以及操作的便利性和安全性。</w:t>
      </w:r>
    </w:p>
    <w:p w14:paraId="3DBB314E">
      <w:pPr>
        <w:pStyle w:val="30"/>
        <w:bidi w:val="0"/>
      </w:pPr>
      <w:bookmarkStart w:id="14" w:name="heading_6"/>
      <w:bookmarkStart w:id="15" w:name="_Toc11259"/>
      <w:r>
        <w:t>管理要求</w:t>
      </w:r>
      <w:bookmarkEnd w:id="14"/>
      <w:bookmarkEnd w:id="15"/>
    </w:p>
    <w:p w14:paraId="00D37EC1">
      <w:pPr>
        <w:pStyle w:val="29"/>
        <w:numPr>
          <w:ilvl w:val="0"/>
          <w:numId w:val="2"/>
        </w:numPr>
        <w:bidi w:val="0"/>
      </w:pPr>
      <w:r>
        <w:t>各部门应使用有效工具实施和管理运行维护服务，具体包括：</w:t>
      </w:r>
    </w:p>
    <w:p w14:paraId="36E13293">
      <w:pPr>
        <w:pStyle w:val="29"/>
        <w:numPr>
          <w:ilvl w:val="0"/>
          <w:numId w:val="2"/>
        </w:numPr>
        <w:bidi w:val="0"/>
      </w:pPr>
      <w:r>
        <w:t>监控工具：对运维服务对象进行数据采集和监控，评估可能导致服务对象故障的因素；</w:t>
      </w:r>
    </w:p>
    <w:p w14:paraId="2118BA4E">
      <w:pPr>
        <w:pStyle w:val="29"/>
        <w:numPr>
          <w:ilvl w:val="0"/>
          <w:numId w:val="2"/>
        </w:numPr>
        <w:bidi w:val="0"/>
      </w:pPr>
      <w:r>
        <w:t>过程工具：按照商定的SLA（服务等级协议）管理运维服务交付过程，宜包含日常运维管理、记录、测量、监督和评估等功能；</w:t>
      </w:r>
    </w:p>
    <w:p w14:paraId="6D27B5C7">
      <w:pPr>
        <w:pStyle w:val="29"/>
        <w:numPr>
          <w:ilvl w:val="0"/>
          <w:numId w:val="2"/>
        </w:numPr>
        <w:bidi w:val="0"/>
      </w:pPr>
      <w:r>
        <w:t>专用工具：根据运维服务对象要求配备的安全工具及满足特殊需求的工具。</w:t>
      </w:r>
    </w:p>
    <w:p w14:paraId="67DF5848">
      <w:pPr>
        <w:pStyle w:val="29"/>
        <w:numPr>
          <w:ilvl w:val="0"/>
          <w:numId w:val="2"/>
        </w:numPr>
        <w:bidi w:val="0"/>
      </w:pPr>
      <w:r>
        <w:t>所有运维服务工具均需配备与功能匹配的使用手册，确保工具被正确、合理使用。同时，运维服务工具需持续优化以满足不断变化的服务需求。</w:t>
      </w:r>
    </w:p>
    <w:p w14:paraId="76A628FF">
      <w:pPr>
        <w:pStyle w:val="29"/>
        <w:numPr>
          <w:ilvl w:val="0"/>
          <w:numId w:val="2"/>
        </w:numPr>
        <w:bidi w:val="0"/>
      </w:pPr>
      <w:r>
        <w:t>运维服务工具可通过自主研发或外部采购两种方式获取。</w:t>
      </w:r>
    </w:p>
    <w:p w14:paraId="38706BAC">
      <w:pPr>
        <w:pStyle w:val="30"/>
        <w:bidi w:val="0"/>
      </w:pPr>
      <w:bookmarkStart w:id="16" w:name="heading_7"/>
      <w:bookmarkStart w:id="17" w:name="_Toc4757"/>
      <w:r>
        <w:t>运维服务工具简介</w:t>
      </w:r>
      <w:bookmarkEnd w:id="16"/>
      <w:bookmarkEnd w:id="17"/>
    </w:p>
    <w:p w14:paraId="0F694680">
      <w:pPr>
        <w:pStyle w:val="31"/>
        <w:bidi w:val="0"/>
      </w:pPr>
      <w:bookmarkStart w:id="18" w:name="heading_8"/>
      <w:bookmarkStart w:id="19" w:name="_Toc19179"/>
      <w:r>
        <w:t>过程管理工具</w:t>
      </w:r>
      <w:bookmarkEnd w:id="18"/>
      <w:bookmarkEnd w:id="19"/>
    </w:p>
    <w:p w14:paraId="1DD23891">
      <w:pPr>
        <w:pStyle w:val="29"/>
        <w:bidi w:val="0"/>
      </w:pPr>
      <w:r>
        <w:t>过程管理工具的实施目的一是固化IT运维服务过程标准，二是提升组织的工作效率与服务能力。该工具可收集运维过程管理数据，并进行分析、整理和报告，通过合理方式展现结果，助力实现组织运维管理的自动化、标准化和规范化。</w:t>
      </w:r>
    </w:p>
    <w:p w14:paraId="1B3D0DCB">
      <w:pPr>
        <w:pStyle w:val="31"/>
        <w:bidi w:val="0"/>
      </w:pPr>
      <w:bookmarkStart w:id="20" w:name="heading_9"/>
      <w:bookmarkStart w:id="21" w:name="_Toc27371"/>
      <w:r>
        <w:t>监控管理工具</w:t>
      </w:r>
      <w:bookmarkEnd w:id="20"/>
      <w:bookmarkEnd w:id="21"/>
    </w:p>
    <w:p w14:paraId="6EEBCF7F">
      <w:pPr>
        <w:pStyle w:val="29"/>
        <w:bidi w:val="0"/>
      </w:pPr>
      <w:r>
        <w:t>核心功能为对运维服务对象进行数据采集和实时监控，精准评估可能导致服务对象发生故障的各类因素，为故障预防和及时处置提供数据支撑。</w:t>
      </w:r>
    </w:p>
    <w:p w14:paraId="2ECBA1DF">
      <w:pPr>
        <w:pStyle w:val="31"/>
        <w:bidi w:val="0"/>
      </w:pPr>
      <w:bookmarkStart w:id="22" w:name="heading_10"/>
      <w:bookmarkStart w:id="23" w:name="_Toc18325"/>
      <w:r>
        <w:t>专用工具</w:t>
      </w:r>
      <w:bookmarkEnd w:id="22"/>
      <w:bookmarkEnd w:id="23"/>
    </w:p>
    <w:p w14:paraId="2851E944">
      <w:pPr>
        <w:pStyle w:val="29"/>
        <w:bidi w:val="0"/>
      </w:pPr>
      <w:r>
        <w:t>指根据特定服务要求配备的安全工具以及用于满足特殊运维场景需求的专用工具。</w:t>
      </w:r>
    </w:p>
    <w:p w14:paraId="4D481D58">
      <w:pPr>
        <w:pStyle w:val="30"/>
        <w:bidi w:val="0"/>
      </w:pPr>
      <w:bookmarkStart w:id="24" w:name="heading_11"/>
      <w:bookmarkStart w:id="25" w:name="_Toc29834"/>
      <w:r>
        <w:t>运维服务工具的日常管理</w:t>
      </w:r>
      <w:bookmarkEnd w:id="24"/>
      <w:bookmarkEnd w:id="25"/>
    </w:p>
    <w:p w14:paraId="54E85293">
      <w:pPr>
        <w:pStyle w:val="29"/>
        <w:bidi w:val="0"/>
      </w:pPr>
      <w:r>
        <w:t>运维服务工具作为IT运维的重要对象，可通过工具自身实现自我管理。同时，为保障工具正常运行，组织需建立完善的日常管理机制：运维服务工具的操作手册需纳入公司知识库，确保工程师可随时获取；同时需对操作手册的版本更新进行动态维护，保障工程师使用的是最新版本。</w:t>
      </w:r>
    </w:p>
    <w:p w14:paraId="4CE3CA0A">
      <w:pPr>
        <w:pStyle w:val="30"/>
        <w:bidi w:val="0"/>
      </w:pPr>
      <w:bookmarkStart w:id="26" w:name="heading_12"/>
      <w:bookmarkStart w:id="27" w:name="_Toc31232"/>
      <w:r>
        <w:t>运维服务工具使用的培训</w:t>
      </w:r>
      <w:bookmarkEnd w:id="26"/>
      <w:bookmarkEnd w:id="27"/>
    </w:p>
    <w:p w14:paraId="7525F57C">
      <w:pPr>
        <w:pStyle w:val="29"/>
        <w:bidi w:val="0"/>
      </w:pPr>
      <w:r>
        <w:t>公司将运维服务工具的使用能力作为工程师的核心能力要求之一，专门设立运维服务工具使用培训课程，并定期组织考核，考核结果及相关记录需妥善留存。</w:t>
      </w:r>
    </w:p>
    <w:p w14:paraId="61BBF53C">
      <w:pPr>
        <w:pStyle w:val="28"/>
        <w:bidi w:val="0"/>
      </w:pPr>
      <w:bookmarkStart w:id="28" w:name="heading_13"/>
      <w:bookmarkStart w:id="29" w:name="_Toc1293"/>
      <w:r>
        <w:t>运维服务工具的评估和改进</w:t>
      </w:r>
      <w:bookmarkEnd w:id="28"/>
      <w:bookmarkEnd w:id="29"/>
    </w:p>
    <w:p w14:paraId="7EC7077D">
      <w:pPr>
        <w:pStyle w:val="29"/>
        <w:bidi w:val="0"/>
      </w:pPr>
      <w:r>
        <w:rPr>
          <w:rFonts w:hint="eastAsia"/>
          <w:lang w:val="en-US" w:eastAsia="zh-CN"/>
        </w:rPr>
        <w:t>运维部</w:t>
      </w:r>
      <w:r>
        <w:t>需在每年的年度管理评审会议中，汇报公司运维服务工具的使用情况。会议中，联合各相关部门负责人对工具使用效果进行评估，明确改进需求。针对会议确定的改进需求，需建立跟踪机制，按计划推进落实，并及时向相关部门负责人反馈执行情况。</w:t>
      </w:r>
    </w:p>
    <w:p w14:paraId="0005FFF0">
      <w:pPr>
        <w:pStyle w:val="28"/>
        <w:bidi w:val="0"/>
      </w:pPr>
      <w:bookmarkStart w:id="30" w:name="heading_14"/>
      <w:bookmarkStart w:id="31" w:name="_Toc4167"/>
      <w:r>
        <w:t>KPI 指标</w:t>
      </w:r>
      <w:bookmarkEnd w:id="30"/>
      <w:bookmarkEnd w:id="31"/>
    </w:p>
    <w:p w14:paraId="4C47CE0E">
      <w:pPr>
        <w:spacing w:before="120" w:after="120" w:line="288" w:lineRule="auto"/>
        <w:ind w:left="0"/>
        <w:jc w:val="left"/>
      </w:pPr>
      <w:r>
        <w:rPr>
          <w:rFonts w:ascii="Arial" w:hAnsi="Arial" w:eastAsia="等线" w:cs="Arial"/>
          <w:sz w:val="22"/>
        </w:rPr>
        <w:t>工具管理KPI指标设置如下：</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585"/>
        <w:gridCol w:w="2229"/>
        <w:gridCol w:w="2396"/>
        <w:gridCol w:w="2070"/>
      </w:tblGrid>
      <w:tr w14:paraId="64058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85" w:type="dxa"/>
            <w:tcMar>
              <w:top w:w="60" w:type="dxa"/>
              <w:left w:w="120" w:type="dxa"/>
              <w:bottom w:w="30" w:type="dxa"/>
              <w:right w:w="120" w:type="dxa"/>
            </w:tcMar>
          </w:tcPr>
          <w:p w14:paraId="701851C5">
            <w:pPr>
              <w:spacing w:before="120" w:after="120" w:line="288" w:lineRule="auto"/>
              <w:ind w:left="0"/>
              <w:jc w:val="left"/>
              <w:rPr>
                <w:rFonts w:hint="eastAsia" w:eastAsia="等线"/>
                <w:lang w:val="en-US" w:eastAsia="zh-CN"/>
              </w:rPr>
            </w:pPr>
            <w:r>
              <w:rPr>
                <w:rFonts w:ascii="Arial" w:hAnsi="Arial" w:eastAsia="等线" w:cs="Arial"/>
                <w:sz w:val="22"/>
              </w:rPr>
              <w:t>指标</w:t>
            </w:r>
            <w:r>
              <w:rPr>
                <w:rFonts w:hint="eastAsia" w:eastAsia="等线" w:cs="Arial"/>
                <w:sz w:val="22"/>
                <w:lang w:val="en-US" w:eastAsia="zh-CN"/>
              </w:rPr>
              <w:t>名称</w:t>
            </w:r>
          </w:p>
        </w:tc>
        <w:tc>
          <w:tcPr>
            <w:tcW w:w="2229" w:type="dxa"/>
            <w:tcMar>
              <w:top w:w="60" w:type="dxa"/>
              <w:left w:w="120" w:type="dxa"/>
              <w:bottom w:w="30" w:type="dxa"/>
              <w:right w:w="120" w:type="dxa"/>
            </w:tcMar>
          </w:tcPr>
          <w:p w14:paraId="57BB3853">
            <w:pPr>
              <w:spacing w:before="120" w:after="120" w:line="288" w:lineRule="auto"/>
              <w:ind w:left="0"/>
              <w:jc w:val="left"/>
              <w:rPr>
                <w:rFonts w:hint="eastAsia" w:eastAsia="宋体"/>
                <w:lang w:eastAsia="zh-CN"/>
              </w:rPr>
            </w:pPr>
            <w:r>
              <w:rPr>
                <w:rFonts w:hint="eastAsia" w:eastAsia="等线" w:cs="Arial"/>
                <w:sz w:val="22"/>
                <w:lang w:val="en-US" w:eastAsia="zh-CN"/>
              </w:rPr>
              <w:t>计算方式</w:t>
            </w:r>
          </w:p>
        </w:tc>
        <w:tc>
          <w:tcPr>
            <w:tcW w:w="2396" w:type="dxa"/>
            <w:tcMar>
              <w:top w:w="60" w:type="dxa"/>
              <w:left w:w="120" w:type="dxa"/>
              <w:bottom w:w="30" w:type="dxa"/>
              <w:right w:w="120" w:type="dxa"/>
            </w:tcMar>
          </w:tcPr>
          <w:p w14:paraId="1007F95E">
            <w:pPr>
              <w:spacing w:before="120" w:after="120" w:line="288" w:lineRule="auto"/>
              <w:ind w:left="0"/>
              <w:jc w:val="left"/>
              <w:rPr>
                <w:rFonts w:hint="eastAsia" w:eastAsia="宋体"/>
                <w:lang w:eastAsia="zh-CN"/>
              </w:rPr>
            </w:pPr>
            <w:r>
              <w:rPr>
                <w:rFonts w:hint="eastAsia" w:eastAsia="等线" w:cs="Arial"/>
                <w:sz w:val="22"/>
                <w:lang w:val="en-US" w:eastAsia="zh-CN"/>
              </w:rPr>
              <w:t>目标值</w:t>
            </w:r>
          </w:p>
        </w:tc>
        <w:tc>
          <w:tcPr>
            <w:tcW w:w="2070" w:type="dxa"/>
            <w:tcMar>
              <w:top w:w="60" w:type="dxa"/>
              <w:left w:w="120" w:type="dxa"/>
              <w:bottom w:w="30" w:type="dxa"/>
              <w:right w:w="120" w:type="dxa"/>
            </w:tcMar>
          </w:tcPr>
          <w:p w14:paraId="57EBB015">
            <w:pPr>
              <w:spacing w:before="120" w:after="120" w:line="288" w:lineRule="auto"/>
              <w:ind w:left="0"/>
              <w:jc w:val="left"/>
            </w:pPr>
            <w:r>
              <w:rPr>
                <w:rFonts w:ascii="Arial" w:hAnsi="Arial" w:eastAsia="等线" w:cs="Arial"/>
                <w:sz w:val="22"/>
              </w:rPr>
              <w:t>考核频次</w:t>
            </w:r>
          </w:p>
        </w:tc>
      </w:tr>
      <w:tr w14:paraId="42043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85" w:type="dxa"/>
            <w:shd w:val="clear" w:color="auto" w:fill="auto"/>
            <w:tcMar>
              <w:top w:w="60" w:type="dxa"/>
              <w:left w:w="120" w:type="dxa"/>
              <w:bottom w:w="30" w:type="dxa"/>
              <w:right w:w="120" w:type="dxa"/>
            </w:tcMar>
            <w:vAlign w:val="top"/>
          </w:tcPr>
          <w:p w14:paraId="1D64829B">
            <w:pPr>
              <w:pStyle w:val="27"/>
              <w:spacing w:before="235" w:line="218" w:lineRule="auto"/>
              <w:rPr>
                <w:rFonts w:hint="default" w:ascii="宋体" w:hAnsi="宋体" w:eastAsia="宋体" w:cs="宋体"/>
                <w:snapToGrid w:val="0"/>
                <w:color w:val="000000"/>
                <w:kern w:val="0"/>
                <w:sz w:val="24"/>
                <w:szCs w:val="24"/>
                <w:lang w:val="en-US" w:eastAsia="zh-CN" w:bidi="ar-SA"/>
              </w:rPr>
            </w:pPr>
            <w:r>
              <w:rPr>
                <w:rFonts w:hint="eastAsia"/>
                <w:sz w:val="24"/>
                <w:szCs w:val="24"/>
                <w:lang w:val="en-US" w:eastAsia="zh-CN"/>
              </w:rPr>
              <w:t>工具自评估次数</w:t>
            </w:r>
          </w:p>
        </w:tc>
        <w:tc>
          <w:tcPr>
            <w:tcW w:w="2229" w:type="dxa"/>
            <w:shd w:val="clear" w:color="auto" w:fill="auto"/>
            <w:tcMar>
              <w:top w:w="60" w:type="dxa"/>
              <w:left w:w="120" w:type="dxa"/>
              <w:bottom w:w="30" w:type="dxa"/>
              <w:right w:w="120" w:type="dxa"/>
            </w:tcMar>
            <w:vAlign w:val="top"/>
          </w:tcPr>
          <w:p w14:paraId="5F82E1E6">
            <w:pPr>
              <w:pStyle w:val="27"/>
              <w:spacing w:before="235" w:line="218" w:lineRule="auto"/>
              <w:ind w:left="118" w:leftChars="0"/>
              <w:rPr>
                <w:rFonts w:hint="default" w:ascii="宋体" w:hAnsi="宋体" w:eastAsia="宋体" w:cs="宋体"/>
                <w:snapToGrid w:val="0"/>
                <w:color w:val="000000"/>
                <w:kern w:val="0"/>
                <w:sz w:val="24"/>
                <w:szCs w:val="24"/>
                <w:lang w:val="en-US" w:eastAsia="zh-CN" w:bidi="ar-SA"/>
              </w:rPr>
            </w:pPr>
            <w:r>
              <w:rPr>
                <w:rFonts w:hint="eastAsia"/>
                <w:spacing w:val="-1"/>
                <w:sz w:val="24"/>
                <w:szCs w:val="24"/>
                <w:lang w:val="en-US" w:eastAsia="zh-CN"/>
              </w:rPr>
              <w:t>次数，对工具进行自评估次数</w:t>
            </w:r>
          </w:p>
        </w:tc>
        <w:tc>
          <w:tcPr>
            <w:tcW w:w="2396" w:type="dxa"/>
            <w:shd w:val="clear" w:color="auto" w:fill="auto"/>
            <w:tcMar>
              <w:top w:w="60" w:type="dxa"/>
              <w:left w:w="120" w:type="dxa"/>
              <w:bottom w:w="30" w:type="dxa"/>
              <w:right w:w="120" w:type="dxa"/>
            </w:tcMar>
            <w:vAlign w:val="top"/>
          </w:tcPr>
          <w:p w14:paraId="5F1A47CA">
            <w:pPr>
              <w:pStyle w:val="27"/>
              <w:spacing w:before="235" w:line="237" w:lineRule="auto"/>
              <w:ind w:left="168" w:leftChars="0"/>
              <w:rPr>
                <w:rFonts w:hint="eastAsia" w:ascii="宋体" w:hAnsi="宋体" w:eastAsia="宋体" w:cs="宋体"/>
                <w:snapToGrid w:val="0"/>
                <w:color w:val="000000"/>
                <w:kern w:val="0"/>
                <w:sz w:val="24"/>
                <w:szCs w:val="24"/>
                <w:lang w:val="en-US" w:eastAsia="zh-CN" w:bidi="ar-SA"/>
              </w:rPr>
            </w:pPr>
            <w:r>
              <w:rPr>
                <w:spacing w:val="-9"/>
                <w:sz w:val="24"/>
                <w:szCs w:val="24"/>
              </w:rPr>
              <w:t>≥</w:t>
            </w:r>
            <w:r>
              <w:rPr>
                <w:rFonts w:hint="eastAsia"/>
                <w:spacing w:val="-9"/>
                <w:sz w:val="24"/>
                <w:szCs w:val="24"/>
                <w:lang w:val="en-US" w:eastAsia="zh-CN"/>
              </w:rPr>
              <w:t>1</w:t>
            </w:r>
          </w:p>
        </w:tc>
        <w:tc>
          <w:tcPr>
            <w:tcW w:w="2070" w:type="dxa"/>
            <w:shd w:val="clear" w:color="auto" w:fill="auto"/>
            <w:tcMar>
              <w:top w:w="60" w:type="dxa"/>
              <w:left w:w="120" w:type="dxa"/>
              <w:bottom w:w="30" w:type="dxa"/>
              <w:right w:w="120" w:type="dxa"/>
            </w:tcMar>
            <w:vAlign w:val="top"/>
          </w:tcPr>
          <w:p w14:paraId="25306EB7">
            <w:pPr>
              <w:pStyle w:val="27"/>
              <w:spacing w:before="235" w:line="218" w:lineRule="auto"/>
              <w:ind w:left="162" w:leftChars="0"/>
              <w:rPr>
                <w:rFonts w:ascii="宋体" w:hAnsi="宋体" w:eastAsia="宋体" w:cs="宋体"/>
                <w:snapToGrid w:val="0"/>
                <w:color w:val="000000"/>
                <w:kern w:val="0"/>
                <w:sz w:val="24"/>
                <w:szCs w:val="24"/>
                <w:lang w:val="en-US" w:eastAsia="en-US" w:bidi="ar-SA"/>
              </w:rPr>
            </w:pPr>
            <w:r>
              <w:rPr>
                <w:spacing w:val="-6"/>
                <w:sz w:val="24"/>
                <w:szCs w:val="24"/>
              </w:rPr>
              <w:t>年度</w:t>
            </w:r>
          </w:p>
        </w:tc>
      </w:tr>
    </w:tbl>
    <w:p w14:paraId="33A007A9">
      <w:pPr>
        <w:pStyle w:val="28"/>
        <w:bidi w:val="0"/>
      </w:pPr>
      <w:bookmarkStart w:id="32" w:name="heading_15"/>
      <w:bookmarkStart w:id="33" w:name="_Toc11624"/>
      <w:r>
        <w:t>相关文件</w:t>
      </w:r>
      <w:bookmarkEnd w:id="32"/>
      <w:bookmarkEnd w:id="33"/>
    </w:p>
    <w:p w14:paraId="0A9F21A9">
      <w:pPr>
        <w:pStyle w:val="29"/>
        <w:bidi w:val="0"/>
        <w:rPr>
          <w:rFonts w:hint="default"/>
          <w:lang w:val="en-US" w:eastAsia="zh-CN"/>
        </w:rPr>
      </w:pPr>
      <w:r>
        <w:t>《运维服务工具使用情况说明及效果自评估报告》</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DFE2410A"/>
    <w:multiLevelType w:val="singleLevel"/>
    <w:tmpl w:val="DFE2410A"/>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E865C2"/>
    <w:rsid w:val="02755A92"/>
    <w:rsid w:val="027A149C"/>
    <w:rsid w:val="028440C8"/>
    <w:rsid w:val="03431E67"/>
    <w:rsid w:val="037E2237"/>
    <w:rsid w:val="04C36455"/>
    <w:rsid w:val="05957D83"/>
    <w:rsid w:val="05B95683"/>
    <w:rsid w:val="05C017FD"/>
    <w:rsid w:val="06B74A9B"/>
    <w:rsid w:val="09B47989"/>
    <w:rsid w:val="0A2F0DBE"/>
    <w:rsid w:val="0AA03A6A"/>
    <w:rsid w:val="0E4B1F3E"/>
    <w:rsid w:val="128E7347"/>
    <w:rsid w:val="157A28AF"/>
    <w:rsid w:val="15C5554F"/>
    <w:rsid w:val="162A4334"/>
    <w:rsid w:val="17F96B12"/>
    <w:rsid w:val="1871105F"/>
    <w:rsid w:val="1A9A6727"/>
    <w:rsid w:val="1AC11F06"/>
    <w:rsid w:val="1ACB4B33"/>
    <w:rsid w:val="1B207C5E"/>
    <w:rsid w:val="1C4C39E7"/>
    <w:rsid w:val="1CFA34AD"/>
    <w:rsid w:val="1D43495B"/>
    <w:rsid w:val="1DA44932"/>
    <w:rsid w:val="1E006819"/>
    <w:rsid w:val="1EBD4792"/>
    <w:rsid w:val="1F152820"/>
    <w:rsid w:val="20F21EF0"/>
    <w:rsid w:val="210A56C3"/>
    <w:rsid w:val="21690A3C"/>
    <w:rsid w:val="23D14083"/>
    <w:rsid w:val="24B14D99"/>
    <w:rsid w:val="264D6D44"/>
    <w:rsid w:val="26976211"/>
    <w:rsid w:val="27391076"/>
    <w:rsid w:val="295C2DFA"/>
    <w:rsid w:val="295F4405"/>
    <w:rsid w:val="29890093"/>
    <w:rsid w:val="2B7D22D9"/>
    <w:rsid w:val="2C8A1D4F"/>
    <w:rsid w:val="2CA23219"/>
    <w:rsid w:val="2CB17B5A"/>
    <w:rsid w:val="2ED52C6D"/>
    <w:rsid w:val="2FBB4D1E"/>
    <w:rsid w:val="2FC260AC"/>
    <w:rsid w:val="30607673"/>
    <w:rsid w:val="325C4129"/>
    <w:rsid w:val="32BA306B"/>
    <w:rsid w:val="34833930"/>
    <w:rsid w:val="350D601C"/>
    <w:rsid w:val="354B108F"/>
    <w:rsid w:val="361209CC"/>
    <w:rsid w:val="378105FB"/>
    <w:rsid w:val="38417D8A"/>
    <w:rsid w:val="38D46E50"/>
    <w:rsid w:val="39D06364"/>
    <w:rsid w:val="3A1C460B"/>
    <w:rsid w:val="3A865F28"/>
    <w:rsid w:val="3BCD6E05"/>
    <w:rsid w:val="3C0D4B53"/>
    <w:rsid w:val="3C8D3764"/>
    <w:rsid w:val="3FA22C79"/>
    <w:rsid w:val="410323DD"/>
    <w:rsid w:val="41F95D14"/>
    <w:rsid w:val="42A212FC"/>
    <w:rsid w:val="42F9198D"/>
    <w:rsid w:val="43413334"/>
    <w:rsid w:val="43DB72E5"/>
    <w:rsid w:val="44110F59"/>
    <w:rsid w:val="442C3A4A"/>
    <w:rsid w:val="457C68A6"/>
    <w:rsid w:val="467A71EB"/>
    <w:rsid w:val="487D3F41"/>
    <w:rsid w:val="4A273284"/>
    <w:rsid w:val="4BC11DD5"/>
    <w:rsid w:val="4BCD1C09"/>
    <w:rsid w:val="4BF215BE"/>
    <w:rsid w:val="4D27359B"/>
    <w:rsid w:val="4D495A2D"/>
    <w:rsid w:val="4D527006"/>
    <w:rsid w:val="4D896004"/>
    <w:rsid w:val="4E7E7051"/>
    <w:rsid w:val="4F3501F1"/>
    <w:rsid w:val="50AF18DD"/>
    <w:rsid w:val="50F67349"/>
    <w:rsid w:val="51356102"/>
    <w:rsid w:val="51D9182F"/>
    <w:rsid w:val="52AD1179"/>
    <w:rsid w:val="533F163E"/>
    <w:rsid w:val="53B316E5"/>
    <w:rsid w:val="54C87412"/>
    <w:rsid w:val="54EF0E42"/>
    <w:rsid w:val="5531145B"/>
    <w:rsid w:val="55E93AE3"/>
    <w:rsid w:val="576F2F50"/>
    <w:rsid w:val="57A65048"/>
    <w:rsid w:val="58733B38"/>
    <w:rsid w:val="58FE2F4F"/>
    <w:rsid w:val="5A58763C"/>
    <w:rsid w:val="5ADC3C17"/>
    <w:rsid w:val="5AF076C2"/>
    <w:rsid w:val="5B2703BF"/>
    <w:rsid w:val="5CFE60C6"/>
    <w:rsid w:val="5E8B1BDC"/>
    <w:rsid w:val="60001B6F"/>
    <w:rsid w:val="60400411"/>
    <w:rsid w:val="615838CB"/>
    <w:rsid w:val="62C51434"/>
    <w:rsid w:val="63C24D92"/>
    <w:rsid w:val="640D6BEF"/>
    <w:rsid w:val="6499200B"/>
    <w:rsid w:val="660E3E54"/>
    <w:rsid w:val="66761E42"/>
    <w:rsid w:val="670921B5"/>
    <w:rsid w:val="67780823"/>
    <w:rsid w:val="67B33F51"/>
    <w:rsid w:val="68ED228A"/>
    <w:rsid w:val="692F13B6"/>
    <w:rsid w:val="6A2D7FEB"/>
    <w:rsid w:val="6A591EC9"/>
    <w:rsid w:val="6A8A71EB"/>
    <w:rsid w:val="6B60619E"/>
    <w:rsid w:val="6BC4672D"/>
    <w:rsid w:val="6E0A419F"/>
    <w:rsid w:val="6EB63269"/>
    <w:rsid w:val="6F5E47A3"/>
    <w:rsid w:val="6F7C0E99"/>
    <w:rsid w:val="70052E70"/>
    <w:rsid w:val="70141305"/>
    <w:rsid w:val="701B6B38"/>
    <w:rsid w:val="71E9433F"/>
    <w:rsid w:val="72B156D0"/>
    <w:rsid w:val="74542618"/>
    <w:rsid w:val="74634609"/>
    <w:rsid w:val="765608C9"/>
    <w:rsid w:val="76BB072D"/>
    <w:rsid w:val="78C25DA2"/>
    <w:rsid w:val="78FB3062"/>
    <w:rsid w:val="79314CD6"/>
    <w:rsid w:val="7B542D03"/>
    <w:rsid w:val="7C1F350C"/>
    <w:rsid w:val="7CB67090"/>
    <w:rsid w:val="7CEE584C"/>
    <w:rsid w:val="7D741635"/>
    <w:rsid w:val="7EA366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1275</Words>
  <Characters>1351</Characters>
  <Lines>0</Lines>
  <Paragraphs>0</Paragraphs>
  <TotalTime>0</TotalTime>
  <ScaleCrop>false</ScaleCrop>
  <LinksUpToDate>false</LinksUpToDate>
  <CharactersWithSpaces>1352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2025-12-14T14:17:02Z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