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6E8DCC">
      <w:pPr>
        <w:rPr>
          <w:rFonts w:hint="eastAsia" w:ascii="宋体" w:hAnsi="宋体" w:eastAsia="宋体" w:cs="宋体"/>
        </w:rPr>
      </w:pPr>
    </w:p>
    <w:p w14:paraId="0563B893">
      <w:pPr>
        <w:rPr>
          <w:rFonts w:hint="eastAsia" w:ascii="宋体" w:hAnsi="宋体" w:eastAsia="宋体" w:cs="宋体"/>
        </w:rPr>
      </w:pPr>
    </w:p>
    <w:p w14:paraId="644B2EBB">
      <w:pPr>
        <w:rPr>
          <w:rFonts w:hint="eastAsia" w:ascii="宋体" w:hAnsi="宋体" w:eastAsia="宋体" w:cs="宋体"/>
        </w:rPr>
      </w:pPr>
    </w:p>
    <w:p w14:paraId="54EDB300">
      <w:pPr>
        <w:rPr>
          <w:rFonts w:hint="eastAsia" w:ascii="宋体" w:hAnsi="宋体" w:eastAsia="宋体" w:cs="宋体"/>
        </w:rPr>
      </w:pPr>
    </w:p>
    <w:tbl>
      <w:tblPr>
        <w:tblStyle w:val="3"/>
        <w:tblW w:w="0" w:type="auto"/>
        <w:tblInd w:w="255" w:type="dxa"/>
        <w:tblBorders>
          <w:top w:val="thickThinMediumGap" w:color="000000" w:sz="6" w:space="0"/>
          <w:left w:val="thickThinMediumGap" w:color="000000" w:sz="6" w:space="0"/>
          <w:bottom w:val="thickThinMediumGap" w:color="000000" w:sz="6" w:space="0"/>
          <w:right w:val="thickThinMediumGap" w:color="000000" w:sz="6" w:space="0"/>
          <w:insideH w:val="thickThinMediumGap" w:color="000000" w:sz="6" w:space="0"/>
          <w:insideV w:val="thickThinMediumGap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"/>
        <w:gridCol w:w="786"/>
        <w:gridCol w:w="876"/>
        <w:gridCol w:w="1533"/>
        <w:gridCol w:w="273"/>
        <w:gridCol w:w="722"/>
        <w:gridCol w:w="1121"/>
        <w:gridCol w:w="1099"/>
        <w:gridCol w:w="744"/>
        <w:gridCol w:w="1843"/>
      </w:tblGrid>
      <w:tr w14:paraId="0E7C3DFD">
        <w:tblPrEx>
          <w:tblBorders>
            <w:top w:val="thickThinMediumGap" w:color="000000" w:sz="6" w:space="0"/>
            <w:left w:val="thickThinMediumGap" w:color="000000" w:sz="6" w:space="0"/>
            <w:bottom w:val="thickThinMediumGap" w:color="000000" w:sz="6" w:space="0"/>
            <w:right w:val="thickThinMediumGap" w:color="000000" w:sz="6" w:space="0"/>
            <w:insideH w:val="thickThinMediumGap" w:color="000000" w:sz="6" w:space="0"/>
            <w:insideV w:val="thickThinMediumGap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 w:hRule="atLeast"/>
        </w:trPr>
        <w:tc>
          <w:tcPr>
            <w:tcW w:w="1704" w:type="dxa"/>
            <w:gridSpan w:val="3"/>
            <w:vMerge w:val="restart"/>
            <w:tcBorders>
              <w:bottom w:val="single" w:color="000000" w:sz="4" w:space="0"/>
              <w:right w:val="single" w:color="000000" w:sz="4" w:space="0"/>
            </w:tcBorders>
          </w:tcPr>
          <w:p w14:paraId="3D40EA36">
            <w:pPr>
              <w:pStyle w:val="6"/>
              <w:rPr>
                <w:b/>
                <w:bCs w:val="0"/>
                <w:sz w:val="24"/>
              </w:rPr>
            </w:pPr>
          </w:p>
          <w:p w14:paraId="72B27444">
            <w:pPr>
              <w:pStyle w:val="6"/>
              <w:tabs>
                <w:tab w:val="left" w:pos="1059"/>
              </w:tabs>
              <w:spacing w:before="200"/>
              <w:ind w:left="579"/>
              <w:rPr>
                <w:b/>
                <w:bCs w:val="0"/>
                <w:sz w:val="24"/>
              </w:rPr>
            </w:pPr>
            <w:r>
              <w:rPr>
                <w:b/>
                <w:bCs w:val="0"/>
                <w:sz w:val="24"/>
              </w:rPr>
              <w:t>姓</w:t>
            </w:r>
            <w:r>
              <w:rPr>
                <w:b/>
                <w:bCs w:val="0"/>
                <w:sz w:val="24"/>
              </w:rPr>
              <w:tab/>
            </w:r>
            <w:r>
              <w:rPr>
                <w:b/>
                <w:bCs w:val="0"/>
                <w:sz w:val="24"/>
              </w:rPr>
              <w:t>名</w:t>
            </w:r>
          </w:p>
        </w:tc>
        <w:tc>
          <w:tcPr>
            <w:tcW w:w="3649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3BB440">
            <w:pPr>
              <w:pStyle w:val="6"/>
              <w:tabs>
                <w:tab w:val="left" w:pos="1557"/>
                <w:tab w:val="left" w:pos="2277"/>
              </w:tabs>
              <w:spacing w:before="181"/>
              <w:ind w:left="837"/>
              <w:rPr>
                <w:b/>
                <w:bCs w:val="0"/>
                <w:sz w:val="24"/>
              </w:rPr>
            </w:pPr>
            <w:r>
              <w:rPr>
                <w:b/>
                <w:bCs w:val="0"/>
                <w:sz w:val="24"/>
              </w:rPr>
              <w:t>交</w:t>
            </w:r>
            <w:r>
              <w:rPr>
                <w:b/>
                <w:bCs w:val="0"/>
                <w:sz w:val="24"/>
              </w:rPr>
              <w:tab/>
            </w:r>
            <w:r>
              <w:rPr>
                <w:b/>
                <w:bCs w:val="0"/>
                <w:sz w:val="24"/>
              </w:rPr>
              <w:t>接</w:t>
            </w:r>
            <w:r>
              <w:rPr>
                <w:b/>
                <w:bCs w:val="0"/>
                <w:sz w:val="24"/>
              </w:rPr>
              <w:tab/>
            </w:r>
            <w:r>
              <w:rPr>
                <w:b/>
                <w:bCs w:val="0"/>
                <w:sz w:val="24"/>
              </w:rPr>
              <w:t>前</w:t>
            </w:r>
          </w:p>
        </w:tc>
        <w:tc>
          <w:tcPr>
            <w:tcW w:w="3686" w:type="dxa"/>
            <w:gridSpan w:val="3"/>
            <w:tcBorders>
              <w:left w:val="single" w:color="000000" w:sz="4" w:space="0"/>
              <w:bottom w:val="single" w:color="000000" w:sz="4" w:space="0"/>
              <w:right w:val="thinThickMediumGap" w:color="000000" w:sz="6" w:space="0"/>
            </w:tcBorders>
          </w:tcPr>
          <w:p w14:paraId="78721A6C">
            <w:pPr>
              <w:pStyle w:val="6"/>
              <w:tabs>
                <w:tab w:val="left" w:pos="1556"/>
                <w:tab w:val="left" w:pos="2276"/>
              </w:tabs>
              <w:spacing w:before="181"/>
              <w:ind w:left="836"/>
              <w:rPr>
                <w:b/>
                <w:bCs w:val="0"/>
                <w:sz w:val="24"/>
              </w:rPr>
            </w:pPr>
            <w:r>
              <w:rPr>
                <w:b/>
                <w:bCs w:val="0"/>
                <w:sz w:val="24"/>
              </w:rPr>
              <w:t>交</w:t>
            </w:r>
            <w:r>
              <w:rPr>
                <w:b/>
                <w:bCs w:val="0"/>
                <w:sz w:val="24"/>
              </w:rPr>
              <w:tab/>
            </w:r>
            <w:r>
              <w:rPr>
                <w:b/>
                <w:bCs w:val="0"/>
                <w:sz w:val="24"/>
              </w:rPr>
              <w:t>接</w:t>
            </w:r>
            <w:r>
              <w:rPr>
                <w:b/>
                <w:bCs w:val="0"/>
                <w:sz w:val="24"/>
              </w:rPr>
              <w:tab/>
            </w:r>
            <w:r>
              <w:rPr>
                <w:b/>
                <w:bCs w:val="0"/>
                <w:sz w:val="24"/>
              </w:rPr>
              <w:t>后</w:t>
            </w:r>
          </w:p>
        </w:tc>
      </w:tr>
      <w:tr w14:paraId="6591BC02">
        <w:tblPrEx>
          <w:tblBorders>
            <w:top w:val="thickThinMediumGap" w:color="000000" w:sz="6" w:space="0"/>
            <w:left w:val="thickThinMediumGap" w:color="000000" w:sz="6" w:space="0"/>
            <w:bottom w:val="thickThinMediumGap" w:color="000000" w:sz="6" w:space="0"/>
            <w:right w:val="thickThinMediumGap" w:color="000000" w:sz="6" w:space="0"/>
            <w:insideH w:val="thickThinMediumGap" w:color="000000" w:sz="6" w:space="0"/>
            <w:insideV w:val="thickThinMediumGap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W w:w="1704" w:type="dxa"/>
            <w:gridSpan w:val="3"/>
            <w:vMerge w:val="continue"/>
            <w:tcBorders>
              <w:top w:val="nil"/>
              <w:bottom w:val="single" w:color="000000" w:sz="4" w:space="0"/>
              <w:right w:val="single" w:color="000000" w:sz="4" w:space="0"/>
            </w:tcBorders>
          </w:tcPr>
          <w:p w14:paraId="06265C6E">
            <w:pPr>
              <w:rPr>
                <w:b/>
                <w:bCs w:val="0"/>
                <w:sz w:val="2"/>
                <w:szCs w:val="2"/>
              </w:rPr>
            </w:pPr>
          </w:p>
        </w:tc>
        <w:tc>
          <w:tcPr>
            <w:tcW w:w="18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5273CA">
            <w:pPr>
              <w:pStyle w:val="6"/>
              <w:tabs>
                <w:tab w:val="left" w:pos="1077"/>
              </w:tabs>
              <w:spacing w:before="168"/>
              <w:ind w:left="597"/>
              <w:rPr>
                <w:b/>
                <w:bCs w:val="0"/>
                <w:sz w:val="24"/>
              </w:rPr>
            </w:pPr>
            <w:r>
              <w:rPr>
                <w:b/>
                <w:bCs w:val="0"/>
                <w:sz w:val="24"/>
              </w:rPr>
              <w:t>部</w:t>
            </w:r>
            <w:r>
              <w:rPr>
                <w:b/>
                <w:bCs w:val="0"/>
                <w:sz w:val="24"/>
              </w:rPr>
              <w:tab/>
            </w:r>
            <w:r>
              <w:rPr>
                <w:b/>
                <w:bCs w:val="0"/>
                <w:sz w:val="24"/>
              </w:rPr>
              <w:t>门</w:t>
            </w:r>
          </w:p>
        </w:tc>
        <w:tc>
          <w:tcPr>
            <w:tcW w:w="18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ECB2DB">
            <w:pPr>
              <w:pStyle w:val="6"/>
              <w:tabs>
                <w:tab w:val="left" w:pos="1076"/>
              </w:tabs>
              <w:spacing w:before="168"/>
              <w:ind w:left="596"/>
              <w:rPr>
                <w:b/>
                <w:bCs w:val="0"/>
                <w:sz w:val="24"/>
              </w:rPr>
            </w:pPr>
            <w:r>
              <w:rPr>
                <w:b/>
                <w:bCs w:val="0"/>
                <w:sz w:val="24"/>
              </w:rPr>
              <w:t>职</w:t>
            </w:r>
            <w:r>
              <w:rPr>
                <w:b/>
                <w:bCs w:val="0"/>
                <w:sz w:val="24"/>
              </w:rPr>
              <w:tab/>
            </w:r>
            <w:r>
              <w:rPr>
                <w:b/>
                <w:bCs w:val="0"/>
                <w:sz w:val="24"/>
              </w:rPr>
              <w:t>务</w:t>
            </w:r>
          </w:p>
        </w:tc>
        <w:tc>
          <w:tcPr>
            <w:tcW w:w="18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1A24FB">
            <w:pPr>
              <w:pStyle w:val="6"/>
              <w:tabs>
                <w:tab w:val="left" w:pos="1076"/>
              </w:tabs>
              <w:spacing w:before="168"/>
              <w:ind w:left="596"/>
              <w:rPr>
                <w:b/>
                <w:bCs w:val="0"/>
                <w:sz w:val="24"/>
              </w:rPr>
            </w:pPr>
            <w:r>
              <w:rPr>
                <w:b/>
                <w:bCs w:val="0"/>
                <w:sz w:val="24"/>
              </w:rPr>
              <w:t>部</w:t>
            </w:r>
            <w:r>
              <w:rPr>
                <w:b/>
                <w:bCs w:val="0"/>
                <w:sz w:val="24"/>
              </w:rPr>
              <w:tab/>
            </w:r>
            <w:r>
              <w:rPr>
                <w:b/>
                <w:bCs w:val="0"/>
                <w:sz w:val="24"/>
              </w:rPr>
              <w:t>门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thinThickMediumGap" w:color="000000" w:sz="6" w:space="0"/>
            </w:tcBorders>
          </w:tcPr>
          <w:p w14:paraId="6C2110C1">
            <w:pPr>
              <w:pStyle w:val="6"/>
              <w:tabs>
                <w:tab w:val="left" w:pos="1076"/>
              </w:tabs>
              <w:spacing w:before="168"/>
              <w:ind w:left="596"/>
              <w:rPr>
                <w:b/>
                <w:bCs w:val="0"/>
                <w:sz w:val="24"/>
              </w:rPr>
            </w:pPr>
            <w:r>
              <w:rPr>
                <w:b/>
                <w:bCs w:val="0"/>
                <w:sz w:val="24"/>
              </w:rPr>
              <w:t>职</w:t>
            </w:r>
            <w:r>
              <w:rPr>
                <w:b/>
                <w:bCs w:val="0"/>
                <w:sz w:val="24"/>
              </w:rPr>
              <w:tab/>
            </w:r>
            <w:r>
              <w:rPr>
                <w:b/>
                <w:bCs w:val="0"/>
                <w:sz w:val="24"/>
              </w:rPr>
              <w:t>务</w:t>
            </w:r>
          </w:p>
        </w:tc>
      </w:tr>
      <w:tr w14:paraId="1955B4A4">
        <w:tblPrEx>
          <w:tblBorders>
            <w:top w:val="thickThinMediumGap" w:color="000000" w:sz="6" w:space="0"/>
            <w:left w:val="thickThinMediumGap" w:color="000000" w:sz="6" w:space="0"/>
            <w:bottom w:val="thickThinMediumGap" w:color="000000" w:sz="6" w:space="0"/>
            <w:right w:val="thickThinMediumGap" w:color="000000" w:sz="6" w:space="0"/>
            <w:insideH w:val="thickThinMediumGap" w:color="000000" w:sz="6" w:space="0"/>
            <w:insideV w:val="thickThinMediumGap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W w:w="1704" w:type="dxa"/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446549">
            <w:pPr>
              <w:pStyle w:val="6"/>
              <w:jc w:val="center"/>
              <w:rPr>
                <w:rFonts w:hint="default" w:asci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/>
                <w:sz w:val="24"/>
                <w:lang w:val="en-US" w:eastAsia="zh-CN"/>
              </w:rPr>
              <w:t>许念</w:t>
            </w:r>
          </w:p>
        </w:tc>
        <w:tc>
          <w:tcPr>
            <w:tcW w:w="18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1B9FBF">
            <w:pPr>
              <w:pStyle w:val="6"/>
              <w:jc w:val="center"/>
              <w:rPr>
                <w:rFonts w:hint="eastAsia" w:asci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/>
                <w:sz w:val="24"/>
                <w:lang w:val="en-US" w:eastAsia="zh-CN"/>
              </w:rPr>
              <w:t>运维部</w:t>
            </w:r>
          </w:p>
        </w:tc>
        <w:tc>
          <w:tcPr>
            <w:tcW w:w="18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610886">
            <w:pPr>
              <w:pStyle w:val="6"/>
              <w:jc w:val="center"/>
              <w:rPr>
                <w:rFonts w:hint="default" w:asci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/>
                <w:sz w:val="24"/>
                <w:lang w:val="en-US" w:eastAsia="zh-CN"/>
              </w:rPr>
              <w:t>用采运维工程师</w:t>
            </w:r>
          </w:p>
        </w:tc>
        <w:tc>
          <w:tcPr>
            <w:tcW w:w="18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DECEC3">
            <w:pPr>
              <w:pStyle w:val="6"/>
              <w:jc w:val="center"/>
              <w:rPr>
                <w:rFonts w:hint="eastAsia" w:asci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/>
                <w:sz w:val="24"/>
                <w:lang w:val="en-US" w:eastAsia="zh-CN"/>
              </w:rPr>
              <w:t>运维部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thinThickMediumGap" w:color="000000" w:sz="6" w:space="0"/>
            </w:tcBorders>
          </w:tcPr>
          <w:p w14:paraId="222839DC">
            <w:pPr>
              <w:pStyle w:val="6"/>
              <w:jc w:val="center"/>
              <w:rPr>
                <w:rFonts w:hint="default" w:asci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/>
                <w:sz w:val="24"/>
                <w:lang w:val="en-US" w:eastAsia="zh-CN"/>
              </w:rPr>
              <w:t>基础环境运维</w:t>
            </w:r>
            <w:bookmarkStart w:id="0" w:name="_GoBack"/>
            <w:bookmarkEnd w:id="0"/>
            <w:r>
              <w:rPr>
                <w:rFonts w:hint="eastAsia" w:ascii="Times New Roman"/>
                <w:sz w:val="24"/>
                <w:lang w:val="en-US" w:eastAsia="zh-CN"/>
              </w:rPr>
              <w:t>工程师</w:t>
            </w:r>
          </w:p>
        </w:tc>
      </w:tr>
      <w:tr w14:paraId="7046ACC2">
        <w:tblPrEx>
          <w:tblBorders>
            <w:top w:val="thickThinMediumGap" w:color="000000" w:sz="6" w:space="0"/>
            <w:left w:val="thickThinMediumGap" w:color="000000" w:sz="6" w:space="0"/>
            <w:bottom w:val="thickThinMediumGap" w:color="000000" w:sz="6" w:space="0"/>
            <w:right w:val="thickThinMediumGap" w:color="000000" w:sz="6" w:space="0"/>
            <w:insideH w:val="thickThinMediumGap" w:color="000000" w:sz="6" w:space="0"/>
            <w:insideV w:val="thickThinMediumGap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1" w:hRule="atLeast"/>
        </w:trPr>
        <w:tc>
          <w:tcPr>
            <w:tcW w:w="828" w:type="dxa"/>
            <w:gridSpan w:val="2"/>
            <w:tcBorders>
              <w:top w:val="single" w:color="000000" w:sz="4" w:space="0"/>
              <w:bottom w:val="thinThickMediumGap" w:color="000000" w:sz="6" w:space="0"/>
              <w:right w:val="single" w:color="000000" w:sz="4" w:space="0"/>
            </w:tcBorders>
          </w:tcPr>
          <w:p w14:paraId="18514B2F">
            <w:pPr>
              <w:pStyle w:val="6"/>
              <w:rPr>
                <w:b/>
                <w:sz w:val="24"/>
              </w:rPr>
            </w:pPr>
          </w:p>
          <w:p w14:paraId="459C8A77">
            <w:pPr>
              <w:pStyle w:val="6"/>
              <w:rPr>
                <w:b/>
                <w:sz w:val="24"/>
              </w:rPr>
            </w:pPr>
          </w:p>
          <w:p w14:paraId="17201922">
            <w:pPr>
              <w:pStyle w:val="6"/>
              <w:rPr>
                <w:b/>
                <w:sz w:val="24"/>
              </w:rPr>
            </w:pPr>
          </w:p>
          <w:p w14:paraId="4844A518">
            <w:pPr>
              <w:pStyle w:val="6"/>
              <w:rPr>
                <w:b/>
                <w:sz w:val="24"/>
              </w:rPr>
            </w:pPr>
          </w:p>
          <w:p w14:paraId="3FF2F7A4">
            <w:pPr>
              <w:pStyle w:val="6"/>
              <w:spacing w:before="6"/>
              <w:rPr>
                <w:b/>
                <w:sz w:val="35"/>
              </w:rPr>
            </w:pPr>
          </w:p>
          <w:p w14:paraId="62B96F97">
            <w:pPr>
              <w:pStyle w:val="6"/>
              <w:spacing w:line="487" w:lineRule="auto"/>
              <w:ind w:left="284" w:right="273"/>
              <w:jc w:val="both"/>
              <w:rPr>
                <w:sz w:val="24"/>
              </w:rPr>
            </w:pPr>
            <w:r>
              <w:rPr>
                <w:sz w:val="24"/>
              </w:rPr>
              <w:t>交接内容</w:t>
            </w:r>
          </w:p>
        </w:tc>
        <w:tc>
          <w:tcPr>
            <w:tcW w:w="8211" w:type="dxa"/>
            <w:gridSpan w:val="8"/>
            <w:tcBorders>
              <w:top w:val="single" w:color="000000" w:sz="4" w:space="0"/>
              <w:left w:val="single" w:color="000000" w:sz="4" w:space="0"/>
              <w:bottom w:val="thinThickMediumGap" w:color="000000" w:sz="6" w:space="0"/>
              <w:right w:val="thinThickMediumGap" w:color="000000" w:sz="6" w:space="0"/>
            </w:tcBorders>
          </w:tcPr>
          <w:p w14:paraId="448556EA">
            <w:pPr>
              <w:pStyle w:val="6"/>
              <w:rPr>
                <w:rFonts w:ascii="Times New Roman"/>
                <w:sz w:val="24"/>
              </w:rPr>
            </w:pPr>
          </w:p>
          <w:p w14:paraId="5F6BC327">
            <w:pPr>
              <w:pStyle w:val="6"/>
              <w:rPr>
                <w:rFonts w:ascii="Times New Roman"/>
                <w:sz w:val="24"/>
              </w:rPr>
            </w:pPr>
          </w:p>
          <w:p w14:paraId="186C74FC">
            <w:pPr>
              <w:pStyle w:val="6"/>
              <w:numPr>
                <w:ilvl w:val="0"/>
                <w:numId w:val="1"/>
              </w:numPr>
              <w:ind w:left="420" w:leftChars="0" w:hanging="420" w:firstLineChars="0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设备管理：负责服务器、网络交换机、存储阵列等核心硬件设备的运维，涵盖设备巡检、故障处理及备件管理。</w:t>
            </w:r>
          </w:p>
          <w:p w14:paraId="2AA5500A">
            <w:pPr>
              <w:pStyle w:val="6"/>
              <w:numPr>
                <w:ilvl w:val="0"/>
                <w:numId w:val="1"/>
              </w:numPr>
              <w:ind w:left="420" w:leftChars="0" w:hanging="420" w:firstLineChars="0"/>
              <w:rPr>
                <w:rFonts w:ascii="Times New Roman"/>
                <w:sz w:val="28"/>
                <w:szCs w:val="28"/>
              </w:rPr>
            </w:pPr>
            <w:r>
              <w:rPr>
                <w:rFonts w:hint="default" w:ascii="Times New Roman"/>
                <w:sz w:val="28"/>
                <w:szCs w:val="28"/>
              </w:rPr>
              <w:t>日常运维：开展每日设备状态监控、每周全面巡检，处理高、中、低优先级故障，确保设备稳定运行。</w:t>
            </w:r>
          </w:p>
          <w:p w14:paraId="59444044">
            <w:pPr>
              <w:pStyle w:val="6"/>
              <w:numPr>
                <w:ilvl w:val="0"/>
                <w:numId w:val="1"/>
              </w:numPr>
              <w:ind w:left="420" w:leftChars="0" w:hanging="420" w:firstLineChars="0"/>
              <w:rPr>
                <w:rFonts w:ascii="Times New Roman"/>
                <w:sz w:val="28"/>
                <w:szCs w:val="28"/>
              </w:rPr>
            </w:pPr>
            <w:r>
              <w:rPr>
                <w:rFonts w:hint="default" w:ascii="Times New Roman"/>
                <w:sz w:val="28"/>
                <w:szCs w:val="28"/>
              </w:rPr>
              <w:t>文档交接：移交设备采购合同、维保协议、巡检日志、故障台账等纸质与电子文档，明确存储路径。</w:t>
            </w:r>
          </w:p>
          <w:p w14:paraId="20CE626B">
            <w:pPr>
              <w:pStyle w:val="6"/>
              <w:numPr>
                <w:ilvl w:val="0"/>
                <w:numId w:val="1"/>
              </w:numPr>
              <w:ind w:left="420" w:leftChars="0" w:hanging="420" w:firstLineChars="0"/>
              <w:rPr>
                <w:rFonts w:ascii="Times New Roman"/>
                <w:sz w:val="28"/>
                <w:szCs w:val="28"/>
              </w:rPr>
            </w:pPr>
            <w:r>
              <w:rPr>
                <w:rFonts w:hint="default" w:ascii="Times New Roman"/>
                <w:sz w:val="28"/>
                <w:szCs w:val="28"/>
              </w:rPr>
              <w:t>对接协调：对接内部运维部、软件运维团队、服务台及外部硬件维保服务商，保障工作协同。</w:t>
            </w:r>
          </w:p>
          <w:p w14:paraId="48274231">
            <w:pPr>
              <w:pStyle w:val="6"/>
              <w:numPr>
                <w:ilvl w:val="0"/>
                <w:numId w:val="1"/>
              </w:numPr>
              <w:ind w:left="420" w:leftChars="0" w:hanging="420" w:firstLineChars="0"/>
              <w:rPr>
                <w:rFonts w:ascii="Times New Roman"/>
                <w:sz w:val="28"/>
                <w:szCs w:val="28"/>
              </w:rPr>
            </w:pPr>
            <w:r>
              <w:rPr>
                <w:rFonts w:hint="default" w:ascii="Times New Roman"/>
                <w:sz w:val="28"/>
                <w:szCs w:val="28"/>
              </w:rPr>
              <w:t>注意事项：需遵循设备操作规范，做好备件领用登记，掌握机房突发断电等应急处理流程。</w:t>
            </w:r>
          </w:p>
          <w:p w14:paraId="6D8E8484">
            <w:pPr>
              <w:pStyle w:val="6"/>
              <w:rPr>
                <w:rFonts w:ascii="Times New Roman"/>
                <w:sz w:val="24"/>
              </w:rPr>
            </w:pPr>
          </w:p>
          <w:p w14:paraId="55B76D2F">
            <w:pPr>
              <w:pStyle w:val="6"/>
              <w:rPr>
                <w:rFonts w:ascii="Times New Roman"/>
                <w:sz w:val="24"/>
              </w:rPr>
            </w:pPr>
          </w:p>
          <w:p w14:paraId="0D2D9988">
            <w:pPr>
              <w:pStyle w:val="6"/>
              <w:rPr>
                <w:rFonts w:ascii="Times New Roman"/>
                <w:sz w:val="24"/>
              </w:rPr>
            </w:pPr>
          </w:p>
          <w:p w14:paraId="05337590">
            <w:pPr>
              <w:pStyle w:val="6"/>
              <w:rPr>
                <w:rFonts w:ascii="Times New Roman"/>
                <w:sz w:val="24"/>
              </w:rPr>
            </w:pPr>
          </w:p>
          <w:p w14:paraId="5B40F730">
            <w:pPr>
              <w:pStyle w:val="6"/>
              <w:rPr>
                <w:rFonts w:ascii="Times New Roman"/>
                <w:sz w:val="24"/>
              </w:rPr>
            </w:pPr>
          </w:p>
          <w:p w14:paraId="4FC604EE">
            <w:pPr>
              <w:pStyle w:val="6"/>
              <w:rPr>
                <w:rFonts w:ascii="Times New Roman"/>
                <w:sz w:val="24"/>
              </w:rPr>
            </w:pPr>
          </w:p>
          <w:p w14:paraId="43100E26">
            <w:pPr>
              <w:pStyle w:val="6"/>
              <w:rPr>
                <w:rFonts w:ascii="Times New Roman"/>
                <w:sz w:val="24"/>
              </w:rPr>
            </w:pPr>
          </w:p>
          <w:p w14:paraId="22CA131A">
            <w:pPr>
              <w:pStyle w:val="6"/>
              <w:rPr>
                <w:rFonts w:ascii="Times New Roman"/>
                <w:sz w:val="24"/>
              </w:rPr>
            </w:pPr>
          </w:p>
        </w:tc>
      </w:tr>
      <w:tr w14:paraId="2F14FF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42" w:type="dxa"/>
          <w:trHeight w:val="276" w:hRule="atLeast"/>
        </w:trPr>
        <w:tc>
          <w:tcPr>
            <w:tcW w:w="3195" w:type="dxa"/>
            <w:gridSpan w:val="3"/>
          </w:tcPr>
          <w:p w14:paraId="448D7E6B">
            <w:pPr>
              <w:pStyle w:val="6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移交人：</w:t>
            </w:r>
            <w:r>
              <w:rPr>
                <w:rFonts w:hint="eastAsia" w:ascii="Times New Roman"/>
                <w:sz w:val="24"/>
                <w:lang w:val="en-US" w:eastAsia="zh-CN"/>
              </w:rPr>
              <w:t>许念</w:t>
            </w:r>
          </w:p>
        </w:tc>
        <w:tc>
          <w:tcPr>
            <w:tcW w:w="995" w:type="dxa"/>
            <w:gridSpan w:val="2"/>
          </w:tcPr>
          <w:p w14:paraId="5BDB0697">
            <w:pPr>
              <w:pStyle w:val="6"/>
              <w:spacing w:line="256" w:lineRule="exact"/>
              <w:ind w:left="600"/>
              <w:rPr>
                <w:sz w:val="24"/>
              </w:rPr>
            </w:pPr>
          </w:p>
        </w:tc>
        <w:tc>
          <w:tcPr>
            <w:tcW w:w="2220" w:type="dxa"/>
            <w:gridSpan w:val="2"/>
            <w:shd w:val="clear" w:color="auto" w:fill="auto"/>
            <w:vAlign w:val="top"/>
          </w:tcPr>
          <w:p w14:paraId="2CED3027">
            <w:pPr>
              <w:pStyle w:val="6"/>
              <w:spacing w:line="256" w:lineRule="exact"/>
              <w:rPr>
                <w:rFonts w:ascii="宋体" w:hAnsi="宋体" w:eastAsia="宋体" w:cs="宋体"/>
                <w:kern w:val="2"/>
                <w:sz w:val="24"/>
                <w:szCs w:val="24"/>
                <w:lang w:val="zh-CN" w:eastAsia="zh-CN" w:bidi="zh-CN"/>
              </w:rPr>
            </w:pPr>
            <w:r>
              <w:rPr>
                <w:sz w:val="24"/>
              </w:rPr>
              <w:t>接交人：</w:t>
            </w:r>
          </w:p>
        </w:tc>
        <w:tc>
          <w:tcPr>
            <w:tcW w:w="2587" w:type="dxa"/>
            <w:gridSpan w:val="2"/>
          </w:tcPr>
          <w:p w14:paraId="0111A4B7">
            <w:pPr>
              <w:pStyle w:val="6"/>
              <w:spacing w:line="256" w:lineRule="exact"/>
              <w:ind w:left="480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谭克华</w:t>
            </w:r>
          </w:p>
        </w:tc>
      </w:tr>
      <w:tr w14:paraId="36461A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42" w:type="dxa"/>
          <w:trHeight w:val="287" w:hRule="atLeast"/>
        </w:trPr>
        <w:tc>
          <w:tcPr>
            <w:tcW w:w="3195" w:type="dxa"/>
            <w:gridSpan w:val="3"/>
          </w:tcPr>
          <w:p w14:paraId="278DD902">
            <w:pPr>
              <w:pStyle w:val="6"/>
              <w:spacing w:before="2" w:line="254" w:lineRule="exac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sz w:val="24"/>
              </w:rPr>
              <w:t>移交日期：</w:t>
            </w:r>
            <w:r>
              <w:rPr>
                <w:rFonts w:hint="eastAsia"/>
                <w:sz w:val="24"/>
                <w:lang w:val="en-US" w:eastAsia="zh-CN"/>
              </w:rPr>
              <w:t>2025年11月17日</w:t>
            </w:r>
          </w:p>
        </w:tc>
        <w:tc>
          <w:tcPr>
            <w:tcW w:w="995" w:type="dxa"/>
            <w:gridSpan w:val="2"/>
          </w:tcPr>
          <w:p w14:paraId="33210486">
            <w:pPr>
              <w:pStyle w:val="6"/>
              <w:spacing w:before="2" w:line="254" w:lineRule="exact"/>
              <w:ind w:left="600"/>
              <w:rPr>
                <w:sz w:val="24"/>
              </w:rPr>
            </w:pPr>
          </w:p>
        </w:tc>
        <w:tc>
          <w:tcPr>
            <w:tcW w:w="2220" w:type="dxa"/>
            <w:gridSpan w:val="2"/>
            <w:shd w:val="clear" w:color="auto" w:fill="auto"/>
            <w:vAlign w:val="top"/>
          </w:tcPr>
          <w:p w14:paraId="3D37BC86">
            <w:pPr>
              <w:pStyle w:val="6"/>
              <w:spacing w:before="2" w:line="254" w:lineRule="exact"/>
              <w:rPr>
                <w:rFonts w:ascii="宋体" w:hAnsi="宋体" w:eastAsia="宋体" w:cs="宋体"/>
                <w:kern w:val="2"/>
                <w:sz w:val="24"/>
                <w:szCs w:val="24"/>
                <w:lang w:val="zh-CN" w:eastAsia="zh-CN" w:bidi="zh-CN"/>
              </w:rPr>
            </w:pPr>
            <w:r>
              <w:rPr>
                <w:sz w:val="24"/>
              </w:rPr>
              <w:t>接交日期：</w:t>
            </w:r>
          </w:p>
        </w:tc>
        <w:tc>
          <w:tcPr>
            <w:tcW w:w="2587" w:type="dxa"/>
            <w:gridSpan w:val="2"/>
          </w:tcPr>
          <w:p w14:paraId="04BC240F">
            <w:pPr>
              <w:pStyle w:val="6"/>
              <w:spacing w:before="2" w:line="254" w:lineRule="exact"/>
              <w:ind w:left="480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2025年11月17日</w:t>
            </w:r>
          </w:p>
        </w:tc>
      </w:tr>
      <w:tr w14:paraId="22B1A6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42" w:type="dxa"/>
          <w:trHeight w:val="276" w:hRule="atLeast"/>
        </w:trPr>
        <w:tc>
          <w:tcPr>
            <w:tcW w:w="3195" w:type="dxa"/>
            <w:gridSpan w:val="3"/>
            <w:shd w:val="clear" w:color="auto" w:fill="auto"/>
            <w:vAlign w:val="top"/>
          </w:tcPr>
          <w:p w14:paraId="1E586627">
            <w:pPr>
              <w:pStyle w:val="6"/>
              <w:spacing w:line="256" w:lineRule="exact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zh-CN"/>
              </w:rPr>
            </w:pPr>
            <w:r>
              <w:rPr>
                <w:sz w:val="24"/>
              </w:rPr>
              <w:t>监交人：</w:t>
            </w:r>
            <w:r>
              <w:rPr>
                <w:rFonts w:hint="eastAsia"/>
                <w:sz w:val="24"/>
                <w:lang w:val="en-US" w:eastAsia="zh-CN"/>
              </w:rPr>
              <w:t>张欣</w:t>
            </w:r>
          </w:p>
        </w:tc>
        <w:tc>
          <w:tcPr>
            <w:tcW w:w="995" w:type="dxa"/>
            <w:gridSpan w:val="2"/>
            <w:shd w:val="clear" w:color="auto" w:fill="auto"/>
            <w:vAlign w:val="top"/>
          </w:tcPr>
          <w:p w14:paraId="3564332C">
            <w:pPr>
              <w:pStyle w:val="6"/>
              <w:spacing w:line="256" w:lineRule="exact"/>
              <w:ind w:left="480" w:leftChars="0"/>
              <w:rPr>
                <w:rFonts w:ascii="宋体" w:hAnsi="宋体" w:eastAsia="宋体" w:cs="宋体"/>
                <w:kern w:val="2"/>
                <w:sz w:val="24"/>
                <w:szCs w:val="24"/>
                <w:lang w:val="zh-CN" w:eastAsia="zh-CN" w:bidi="zh-CN"/>
              </w:rPr>
            </w:pPr>
          </w:p>
        </w:tc>
        <w:tc>
          <w:tcPr>
            <w:tcW w:w="2220" w:type="dxa"/>
            <w:gridSpan w:val="2"/>
            <w:shd w:val="clear" w:color="auto" w:fill="auto"/>
            <w:vAlign w:val="top"/>
          </w:tcPr>
          <w:p w14:paraId="268928D9">
            <w:pPr>
              <w:pStyle w:val="6"/>
              <w:spacing w:line="256" w:lineRule="exact"/>
              <w:rPr>
                <w:rFonts w:ascii="宋体" w:hAnsi="宋体" w:eastAsia="宋体" w:cs="宋体"/>
                <w:kern w:val="2"/>
                <w:sz w:val="24"/>
                <w:szCs w:val="24"/>
                <w:lang w:val="zh-CN" w:eastAsia="zh-CN" w:bidi="zh-CN"/>
              </w:rPr>
            </w:pPr>
            <w:r>
              <w:rPr>
                <w:sz w:val="24"/>
              </w:rPr>
              <w:t>审批人：</w:t>
            </w:r>
          </w:p>
        </w:tc>
        <w:tc>
          <w:tcPr>
            <w:tcW w:w="2587" w:type="dxa"/>
            <w:gridSpan w:val="2"/>
          </w:tcPr>
          <w:p w14:paraId="275661C8">
            <w:pPr>
              <w:pStyle w:val="6"/>
              <w:spacing w:before="2" w:line="254" w:lineRule="exact"/>
              <w:ind w:left="48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谭骏</w:t>
            </w:r>
          </w:p>
        </w:tc>
      </w:tr>
      <w:tr w14:paraId="4344B8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42" w:type="dxa"/>
          <w:trHeight w:val="276" w:hRule="atLeast"/>
        </w:trPr>
        <w:tc>
          <w:tcPr>
            <w:tcW w:w="3195" w:type="dxa"/>
            <w:gridSpan w:val="3"/>
            <w:shd w:val="clear" w:color="auto" w:fill="auto"/>
            <w:vAlign w:val="top"/>
          </w:tcPr>
          <w:p w14:paraId="466FE230">
            <w:pPr>
              <w:pStyle w:val="6"/>
              <w:spacing w:before="2" w:line="254" w:lineRule="exact"/>
              <w:rPr>
                <w:rFonts w:ascii="宋体" w:hAnsi="宋体" w:eastAsia="宋体" w:cs="宋体"/>
                <w:kern w:val="2"/>
                <w:sz w:val="24"/>
                <w:szCs w:val="24"/>
                <w:lang w:val="zh-CN" w:eastAsia="zh-CN" w:bidi="zh-CN"/>
              </w:rPr>
            </w:pPr>
            <w:r>
              <w:rPr>
                <w:sz w:val="24"/>
              </w:rPr>
              <w:t>监交日期：</w:t>
            </w:r>
            <w:r>
              <w:rPr>
                <w:rFonts w:hint="eastAsia"/>
                <w:sz w:val="24"/>
                <w:lang w:val="en-US" w:eastAsia="zh-CN"/>
              </w:rPr>
              <w:t>2025年11月17日</w:t>
            </w:r>
          </w:p>
        </w:tc>
        <w:tc>
          <w:tcPr>
            <w:tcW w:w="995" w:type="dxa"/>
            <w:gridSpan w:val="2"/>
            <w:shd w:val="clear" w:color="auto" w:fill="auto"/>
            <w:vAlign w:val="top"/>
          </w:tcPr>
          <w:p w14:paraId="6B7D97E4">
            <w:pPr>
              <w:pStyle w:val="6"/>
              <w:spacing w:before="2" w:line="254" w:lineRule="exact"/>
              <w:ind w:left="480" w:leftChars="0"/>
              <w:rPr>
                <w:rFonts w:ascii="宋体" w:hAnsi="宋体" w:eastAsia="宋体" w:cs="宋体"/>
                <w:kern w:val="2"/>
                <w:sz w:val="24"/>
                <w:szCs w:val="24"/>
                <w:lang w:val="zh-CN" w:eastAsia="zh-CN" w:bidi="zh-CN"/>
              </w:rPr>
            </w:pPr>
          </w:p>
        </w:tc>
        <w:tc>
          <w:tcPr>
            <w:tcW w:w="2220" w:type="dxa"/>
            <w:gridSpan w:val="2"/>
            <w:shd w:val="clear" w:color="auto" w:fill="auto"/>
            <w:vAlign w:val="top"/>
          </w:tcPr>
          <w:p w14:paraId="24A924B1">
            <w:pPr>
              <w:pStyle w:val="6"/>
              <w:spacing w:before="2" w:line="254" w:lineRule="exact"/>
              <w:rPr>
                <w:rFonts w:ascii="宋体" w:hAnsi="宋体" w:eastAsia="宋体" w:cs="宋体"/>
                <w:kern w:val="2"/>
                <w:sz w:val="24"/>
                <w:szCs w:val="24"/>
                <w:lang w:val="zh-CN" w:eastAsia="zh-CN" w:bidi="zh-CN"/>
              </w:rPr>
            </w:pPr>
            <w:r>
              <w:rPr>
                <w:sz w:val="24"/>
              </w:rPr>
              <w:t>审批日期：</w:t>
            </w:r>
          </w:p>
        </w:tc>
        <w:tc>
          <w:tcPr>
            <w:tcW w:w="2587" w:type="dxa"/>
            <w:gridSpan w:val="2"/>
          </w:tcPr>
          <w:p w14:paraId="2D17765E">
            <w:pPr>
              <w:pStyle w:val="6"/>
              <w:spacing w:before="2" w:line="254" w:lineRule="exact"/>
              <w:ind w:left="480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2025年11月17日</w:t>
            </w:r>
          </w:p>
        </w:tc>
      </w:tr>
    </w:tbl>
    <w:p w14:paraId="3160609E">
      <w:pPr>
        <w:rPr>
          <w:rFonts w:hint="eastAsia" w:ascii="宋体" w:hAnsi="宋体" w:eastAsia="宋体" w:cs="宋体"/>
          <w:b/>
          <w:bCs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103EF4"/>
    <w:multiLevelType w:val="singleLevel"/>
    <w:tmpl w:val="B0103EF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k5ODM0YmMxOWJiYWQyNDU4MGIzYWRmYTA0ZmI5NDcifQ=="/>
  </w:docVars>
  <w:rsids>
    <w:rsidRoot w:val="43347138"/>
    <w:rsid w:val="163836F0"/>
    <w:rsid w:val="1DCF67E1"/>
    <w:rsid w:val="24C3312C"/>
    <w:rsid w:val="2D8432D7"/>
    <w:rsid w:val="3A525FFA"/>
    <w:rsid w:val="43347138"/>
    <w:rsid w:val="4B471BC4"/>
    <w:rsid w:val="64C33752"/>
    <w:rsid w:val="65D45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  <w:style w:type="paragraph" w:customStyle="1" w:styleId="6">
    <w:name w:val="Table Paragraph"/>
    <w:basedOn w:val="1"/>
    <w:qFormat/>
    <w:uiPriority w:val="1"/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328</Words>
  <Characters>348</Characters>
  <Lines>0</Lines>
  <Paragraphs>0</Paragraphs>
  <TotalTime>6</TotalTime>
  <ScaleCrop>false</ScaleCrop>
  <LinksUpToDate>false</LinksUpToDate>
  <CharactersWithSpaces>357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2020-01-11T15:26:00Z</dcterms:created>
  <dc:creator>^O^珏</dc:creator>
  <cp:lastModifiedBy>郝宇</cp:lastModifiedBy>
  <dcterms:modified xsi:type="dcterms:W3CDTF">2025-12-19T01:22:22Z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B6473E421FDD4B5DBA21C516733479A4_12</vt:lpwstr>
  </property>
  <property fmtid="{D5CDD505-2E9C-101B-9397-08002B2CF9AE}" pid="4" name="KSOTemplateDocerSaveRecord">
    <vt:lpwstr>eyJoZGlkIjoiMDY5NmFjMmM4ZTljMGJiZDAxN2JmYTc0NGI0NmFiNDgiLCJ1c2VySWQiOiIxMDc1MzgyOSJ9</vt:lpwstr>
  </property>
</Properties>
</file>