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09704D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" w:name="_GoBack"/>
      <w:bookmarkStart w:id="0" w:name="_Toc13241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-1186815</wp:posOffset>
            </wp:positionH>
            <wp:positionV relativeFrom="paragraph">
              <wp:posOffset>15875</wp:posOffset>
            </wp:positionV>
            <wp:extent cx="7609840" cy="9761855"/>
            <wp:effectExtent l="0" t="0" r="10160" b="698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09840" cy="976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2"/>
      <w:r>
        <w:rPr>
          <w:rFonts w:hint="eastAsia"/>
          <w:lang w:val="en-US" w:eastAsia="zh-CN"/>
        </w:rPr>
        <w:t>云南腾电科技有限公司</w:t>
      </w:r>
      <w:bookmarkEnd w:id="0"/>
    </w:p>
    <w:p w14:paraId="44992887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/>
        <w:textAlignment w:val="baseline"/>
        <w:rPr>
          <w:rFonts w:hint="eastAsia"/>
          <w:lang w:val="en-US" w:eastAsia="zh-CN"/>
        </w:rPr>
      </w:pPr>
      <w:bookmarkStart w:id="1" w:name="_Toc2563"/>
      <w:r>
        <w:rPr>
          <w:rFonts w:hint="eastAsia"/>
          <w:lang w:val="en-US" w:eastAsia="zh-CN"/>
        </w:rPr>
        <w:t>曲靖供电局110kV变电站电力监控系统网络安全态势感知项目-应急演练记录（YNTD-ITSS-1005）</w:t>
      </w:r>
      <w:bookmarkEnd w:id="1"/>
    </w:p>
    <w:p w14:paraId="07DEF31E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06B036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810" w:hRule="atLeast"/>
          <w:jc w:val="center"/>
        </w:trPr>
        <w:tc>
          <w:tcPr>
            <w:tcW w:w="1818" w:type="dxa"/>
          </w:tcPr>
          <w:p w14:paraId="08B5CF21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编制人</w:t>
            </w:r>
            <w:r>
              <w:rPr>
                <w:rFonts w:hint="default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谢广胜</w:t>
            </w:r>
          </w:p>
        </w:tc>
        <w:tc>
          <w:tcPr>
            <w:tcW w:w="4261" w:type="dxa"/>
          </w:tcPr>
          <w:p w14:paraId="39FA7DB4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编制时间:</w:t>
            </w:r>
            <w:r>
              <w:rPr>
                <w:rFonts w:hint="eastAsia"/>
                <w:u w:val="single"/>
                <w:lang w:val="en-US" w:eastAsia="zh-CN"/>
              </w:rPr>
              <w:t>2025.09.15</w:t>
            </w:r>
          </w:p>
        </w:tc>
      </w:tr>
      <w:tr w14:paraId="4A6245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  <w:shd w:val="clear" w:color="auto" w:fill="auto"/>
          </w:tcPr>
          <w:p w14:paraId="044B37A8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审核人</w:t>
            </w:r>
            <w:r>
              <w:rPr>
                <w:rFonts w:hint="default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赵建中</w:t>
            </w:r>
          </w:p>
        </w:tc>
        <w:tc>
          <w:tcPr>
            <w:tcW w:w="4261" w:type="dxa"/>
            <w:shd w:val="clear" w:color="auto" w:fill="auto"/>
          </w:tcPr>
          <w:p w14:paraId="7C0A16A6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编制时间:</w:t>
            </w:r>
            <w:r>
              <w:rPr>
                <w:rFonts w:hint="eastAsia"/>
                <w:u w:val="single"/>
                <w:lang w:val="en-US" w:eastAsia="zh-CN"/>
              </w:rPr>
              <w:t>2025.09.15</w:t>
            </w:r>
          </w:p>
        </w:tc>
      </w:tr>
      <w:tr w14:paraId="6FC958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1818" w:type="dxa"/>
          </w:tcPr>
          <w:p w14:paraId="629D833A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批准人:</w:t>
            </w:r>
            <w:r>
              <w:rPr>
                <w:rFonts w:hint="eastAsia"/>
                <w:u w:val="single"/>
                <w:lang w:val="en-US" w:eastAsia="zh-CN"/>
              </w:rPr>
              <w:t>陆涛</w:t>
            </w:r>
          </w:p>
        </w:tc>
        <w:tc>
          <w:tcPr>
            <w:tcW w:w="4261" w:type="dxa"/>
          </w:tcPr>
          <w:p w14:paraId="656B221E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审批时间:</w:t>
            </w:r>
            <w:r>
              <w:rPr>
                <w:rFonts w:hint="eastAsia"/>
                <w:u w:val="single"/>
                <w:lang w:val="en-US" w:eastAsia="zh-CN"/>
              </w:rPr>
              <w:t>2025.09.15</w:t>
            </w:r>
          </w:p>
        </w:tc>
      </w:tr>
    </w:tbl>
    <w:p w14:paraId="46327F79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7342B97F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b/>
          <w:bCs/>
        </w:rPr>
      </w:pPr>
      <w:r>
        <w:rPr>
          <w:b/>
          <w:bCs/>
        </w:rPr>
        <w:t>文件编制和变更履历</w:t>
      </w:r>
    </w:p>
    <w:tbl>
      <w:tblPr>
        <w:tblStyle w:val="27"/>
        <w:tblW w:w="9005" w:type="dxa"/>
        <w:tblInd w:w="34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271"/>
        <w:gridCol w:w="1383"/>
      </w:tblGrid>
      <w:tr w14:paraId="3FD110D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845" w:type="dxa"/>
            <w:vMerge w:val="restart"/>
            <w:tcBorders>
              <w:top w:val="single" w:color="000000" w:sz="10" w:space="0"/>
              <w:left w:val="single" w:color="000000" w:sz="10" w:space="0"/>
              <w:bottom w:val="nil"/>
            </w:tcBorders>
            <w:shd w:val="clear" w:color="auto" w:fill="D9D9D9"/>
          </w:tcPr>
          <w:p w14:paraId="171B868C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  <w:p w14:paraId="7C1D57C9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  <w:r>
              <w:t>版本</w:t>
            </w:r>
          </w:p>
        </w:tc>
        <w:tc>
          <w:tcPr>
            <w:tcW w:w="2155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C31873F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编制/更改</w:t>
            </w:r>
          </w:p>
        </w:tc>
        <w:tc>
          <w:tcPr>
            <w:tcW w:w="2334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0CDCE20E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发布</w:t>
            </w:r>
          </w:p>
        </w:tc>
        <w:tc>
          <w:tcPr>
            <w:tcW w:w="2288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D044F35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实施</w:t>
            </w:r>
          </w:p>
        </w:tc>
        <w:tc>
          <w:tcPr>
            <w:tcW w:w="1383" w:type="dxa"/>
            <w:vMerge w:val="restart"/>
            <w:tcBorders>
              <w:top w:val="single" w:color="000000" w:sz="10" w:space="0"/>
              <w:bottom w:val="nil"/>
              <w:right w:val="single" w:color="000000" w:sz="10" w:space="0"/>
            </w:tcBorders>
            <w:shd w:val="clear" w:color="auto" w:fill="D9D9D9"/>
          </w:tcPr>
          <w:p w14:paraId="59686762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  <w:p w14:paraId="1036D608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更改记录</w:t>
            </w:r>
          </w:p>
        </w:tc>
      </w:tr>
      <w:tr w14:paraId="6AD1717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845" w:type="dxa"/>
            <w:vMerge w:val="continue"/>
            <w:tcBorders>
              <w:top w:val="nil"/>
              <w:left w:val="single" w:color="000000" w:sz="10" w:space="0"/>
            </w:tcBorders>
          </w:tcPr>
          <w:p w14:paraId="7739B0BC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881" w:type="dxa"/>
            <w:shd w:val="clear" w:color="auto" w:fill="D9D9D9"/>
          </w:tcPr>
          <w:p w14:paraId="0640307D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  <w:r>
              <w:t>作者</w:t>
            </w:r>
          </w:p>
        </w:tc>
        <w:tc>
          <w:tcPr>
            <w:tcW w:w="1274" w:type="dxa"/>
            <w:shd w:val="clear" w:color="auto" w:fill="D9D9D9"/>
          </w:tcPr>
          <w:p w14:paraId="0644A745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日期</w:t>
            </w:r>
          </w:p>
        </w:tc>
        <w:tc>
          <w:tcPr>
            <w:tcW w:w="957" w:type="dxa"/>
            <w:shd w:val="clear" w:color="auto" w:fill="D9D9D9"/>
          </w:tcPr>
          <w:p w14:paraId="799EE85A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审核</w:t>
            </w:r>
          </w:p>
        </w:tc>
        <w:tc>
          <w:tcPr>
            <w:tcW w:w="1377" w:type="dxa"/>
            <w:shd w:val="clear" w:color="auto" w:fill="D9D9D9"/>
          </w:tcPr>
          <w:p w14:paraId="0A0944D8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日期</w:t>
            </w:r>
          </w:p>
        </w:tc>
        <w:tc>
          <w:tcPr>
            <w:tcW w:w="1017" w:type="dxa"/>
            <w:shd w:val="clear" w:color="auto" w:fill="D9D9D9"/>
          </w:tcPr>
          <w:p w14:paraId="338ED4DB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  <w:r>
              <w:t>批准</w:t>
            </w:r>
          </w:p>
        </w:tc>
        <w:tc>
          <w:tcPr>
            <w:tcW w:w="1271" w:type="dxa"/>
            <w:shd w:val="clear" w:color="auto" w:fill="D9D9D9"/>
          </w:tcPr>
          <w:p w14:paraId="2D6F740B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日期</w:t>
            </w:r>
          </w:p>
        </w:tc>
        <w:tc>
          <w:tcPr>
            <w:tcW w:w="1383" w:type="dxa"/>
            <w:vMerge w:val="continue"/>
            <w:tcBorders>
              <w:top w:val="nil"/>
              <w:right w:val="single" w:color="000000" w:sz="10" w:space="0"/>
            </w:tcBorders>
          </w:tcPr>
          <w:p w14:paraId="0D1CE5FB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710E34C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2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C883D7D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V1.0</w:t>
            </w:r>
          </w:p>
        </w:tc>
        <w:tc>
          <w:tcPr>
            <w:tcW w:w="881" w:type="dxa"/>
          </w:tcPr>
          <w:p w14:paraId="7FB962C6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谢广胜</w:t>
            </w:r>
          </w:p>
        </w:tc>
        <w:tc>
          <w:tcPr>
            <w:tcW w:w="1274" w:type="dxa"/>
          </w:tcPr>
          <w:p w14:paraId="0B391C79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 w:eastAsia="宋体"/>
                <w:lang w:val="en-US" w:eastAsia="zh-CN"/>
              </w:rPr>
            </w:pPr>
            <w:r>
              <w:t>2025.</w:t>
            </w:r>
            <w:r>
              <w:rPr>
                <w:rFonts w:hint="eastAsia"/>
                <w:lang w:val="en-US" w:eastAsia="zh-CN"/>
              </w:rPr>
              <w:t>9</w:t>
            </w:r>
            <w:r>
              <w:t>.</w:t>
            </w:r>
            <w:r>
              <w:rPr>
                <w:rFonts w:hint="eastAsia"/>
                <w:lang w:val="en-US" w:eastAsia="zh-CN"/>
              </w:rPr>
              <w:t>15</w:t>
            </w:r>
          </w:p>
        </w:tc>
        <w:tc>
          <w:tcPr>
            <w:tcW w:w="957" w:type="dxa"/>
          </w:tcPr>
          <w:p w14:paraId="0806E2DD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赵建中</w:t>
            </w:r>
          </w:p>
        </w:tc>
        <w:tc>
          <w:tcPr>
            <w:tcW w:w="1377" w:type="dxa"/>
          </w:tcPr>
          <w:p w14:paraId="0320F66E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2025.</w:t>
            </w:r>
            <w:r>
              <w:rPr>
                <w:rFonts w:hint="eastAsia"/>
                <w:lang w:val="en-US" w:eastAsia="zh-CN"/>
              </w:rPr>
              <w:t>9</w:t>
            </w:r>
            <w:r>
              <w:t>.</w:t>
            </w:r>
            <w:r>
              <w:rPr>
                <w:rFonts w:hint="eastAsia"/>
                <w:lang w:val="en-US" w:eastAsia="zh-CN"/>
              </w:rPr>
              <w:t>15</w:t>
            </w:r>
          </w:p>
        </w:tc>
        <w:tc>
          <w:tcPr>
            <w:tcW w:w="1017" w:type="dxa"/>
          </w:tcPr>
          <w:p w14:paraId="7B95F9C2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陆涛</w:t>
            </w:r>
          </w:p>
        </w:tc>
        <w:tc>
          <w:tcPr>
            <w:tcW w:w="1271" w:type="dxa"/>
          </w:tcPr>
          <w:p w14:paraId="76E7ED73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2025.</w:t>
            </w:r>
            <w:r>
              <w:rPr>
                <w:rFonts w:hint="eastAsia"/>
                <w:lang w:val="en-US" w:eastAsia="zh-CN"/>
              </w:rPr>
              <w:t>9</w:t>
            </w:r>
            <w:r>
              <w:t>.</w:t>
            </w:r>
            <w:r>
              <w:rPr>
                <w:rFonts w:hint="eastAsia"/>
                <w:lang w:val="en-US" w:eastAsia="zh-CN"/>
              </w:rPr>
              <w:t>15</w:t>
            </w:r>
          </w:p>
        </w:tc>
        <w:tc>
          <w:tcPr>
            <w:tcW w:w="1383" w:type="dxa"/>
            <w:tcBorders>
              <w:right w:val="single" w:color="000000" w:sz="10" w:space="0"/>
            </w:tcBorders>
          </w:tcPr>
          <w:p w14:paraId="1A5ABD82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首次发布</w:t>
            </w:r>
          </w:p>
        </w:tc>
      </w:tr>
      <w:tr w14:paraId="74A769E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DAB5E6A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881" w:type="dxa"/>
          </w:tcPr>
          <w:p w14:paraId="304E0B0C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274" w:type="dxa"/>
          </w:tcPr>
          <w:p w14:paraId="66497D48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957" w:type="dxa"/>
          </w:tcPr>
          <w:p w14:paraId="1FE3C12A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377" w:type="dxa"/>
          </w:tcPr>
          <w:p w14:paraId="012EE647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017" w:type="dxa"/>
          </w:tcPr>
          <w:p w14:paraId="75BDB48B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271" w:type="dxa"/>
          </w:tcPr>
          <w:p w14:paraId="7A74C2F1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383" w:type="dxa"/>
            <w:tcBorders>
              <w:right w:val="single" w:color="000000" w:sz="10" w:space="0"/>
            </w:tcBorders>
          </w:tcPr>
          <w:p w14:paraId="120E8B79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7CAEAEF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845" w:type="dxa"/>
            <w:tcBorders>
              <w:left w:val="single" w:color="000000" w:sz="10" w:space="0"/>
              <w:bottom w:val="single" w:color="000000" w:sz="10" w:space="0"/>
            </w:tcBorders>
          </w:tcPr>
          <w:p w14:paraId="5787F63E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881" w:type="dxa"/>
            <w:tcBorders>
              <w:bottom w:val="single" w:color="000000" w:sz="10" w:space="0"/>
            </w:tcBorders>
          </w:tcPr>
          <w:p w14:paraId="2BD69362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274" w:type="dxa"/>
            <w:tcBorders>
              <w:bottom w:val="single" w:color="000000" w:sz="10" w:space="0"/>
            </w:tcBorders>
          </w:tcPr>
          <w:p w14:paraId="519DD42E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957" w:type="dxa"/>
            <w:tcBorders>
              <w:bottom w:val="single" w:color="000000" w:sz="10" w:space="0"/>
            </w:tcBorders>
          </w:tcPr>
          <w:p w14:paraId="264D4828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377" w:type="dxa"/>
            <w:tcBorders>
              <w:bottom w:val="single" w:color="000000" w:sz="10" w:space="0"/>
            </w:tcBorders>
          </w:tcPr>
          <w:p w14:paraId="324414F2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017" w:type="dxa"/>
            <w:tcBorders>
              <w:bottom w:val="single" w:color="000000" w:sz="10" w:space="0"/>
            </w:tcBorders>
          </w:tcPr>
          <w:p w14:paraId="0FD934D7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271" w:type="dxa"/>
            <w:tcBorders>
              <w:bottom w:val="single" w:color="000000" w:sz="10" w:space="0"/>
            </w:tcBorders>
          </w:tcPr>
          <w:p w14:paraId="225C6788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383" w:type="dxa"/>
            <w:tcBorders>
              <w:bottom w:val="single" w:color="000000" w:sz="10" w:space="0"/>
              <w:right w:val="single" w:color="000000" w:sz="10" w:space="0"/>
            </w:tcBorders>
          </w:tcPr>
          <w:p w14:paraId="3E77818D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</w:tbl>
    <w:p w14:paraId="699966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6606"/>
        <w15:color w:val="DBDBDB"/>
        <w:docPartObj>
          <w:docPartGallery w:val="Table of Contents"/>
          <w:docPartUnique/>
        </w:docPartObj>
      </w:sdtPr>
      <w:sdtEndPr>
        <w:rPr>
          <w:rFonts w:hint="default" w:ascii="Arial" w:hAnsi="Arial" w:eastAsia="宋体" w:cs="Arial"/>
          <w:snapToGrid w:val="0"/>
          <w:color w:val="000000"/>
          <w:kern w:val="0"/>
          <w:sz w:val="21"/>
          <w:szCs w:val="21"/>
          <w:lang w:val="en-US" w:eastAsia="zh-CN" w:bidi="ar-SA"/>
        </w:rPr>
      </w:sdtEndPr>
      <w:sdtContent>
        <w:p w14:paraId="09D36F61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7F130027">
          <w:pPr>
            <w:pStyle w:val="16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TOC \o "1-3" \h \u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_Toc13241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云南腾电科技有限公司</w:t>
          </w:r>
          <w:r>
            <w:tab/>
          </w:r>
          <w:r>
            <w:fldChar w:fldCharType="begin"/>
          </w:r>
          <w:r>
            <w:instrText xml:space="preserve"> PAGEREF _Toc13241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317E5813">
          <w:pPr>
            <w:pStyle w:val="16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_Toc2563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曲靖供电局110kV变电站电力监控系统网络安全态势感知项目-应急预案（YNTD-ITSS-1002）</w:t>
          </w:r>
          <w:r>
            <w:tab/>
          </w:r>
          <w:r>
            <w:fldChar w:fldCharType="begin"/>
          </w:r>
          <w:r>
            <w:instrText xml:space="preserve"> PAGEREF _Toc2563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5B44ADE0">
          <w:pPr>
            <w:pStyle w:val="16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_Toc8032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1. 总则</w:t>
          </w:r>
          <w:r>
            <w:tab/>
          </w:r>
          <w:r>
            <w:fldChar w:fldCharType="begin"/>
          </w:r>
          <w:r>
            <w:instrText xml:space="preserve"> PAGEREF _Toc8032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60E7DD70">
          <w:pPr>
            <w:pStyle w:val="17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_Toc2316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1.1. 编制目的</w:t>
          </w:r>
          <w:r>
            <w:tab/>
          </w:r>
          <w:r>
            <w:fldChar w:fldCharType="begin"/>
          </w:r>
          <w:r>
            <w:instrText xml:space="preserve"> PAGEREF _Toc2316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6DBC8245">
          <w:pPr>
            <w:pStyle w:val="17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_Toc14193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1.2. 编制依据</w:t>
          </w:r>
          <w:r>
            <w:tab/>
          </w:r>
          <w:r>
            <w:fldChar w:fldCharType="begin"/>
          </w:r>
          <w:r>
            <w:instrText xml:space="preserve"> PAGEREF _Toc14193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61EFEB1A">
          <w:pPr>
            <w:pStyle w:val="17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_Toc28664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1.3. 适用范围</w:t>
          </w:r>
          <w:r>
            <w:tab/>
          </w:r>
          <w:r>
            <w:fldChar w:fldCharType="begin"/>
          </w:r>
          <w:r>
            <w:instrText xml:space="preserve"> PAGEREF _Toc28664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07A7CC58">
          <w:pPr>
            <w:pStyle w:val="16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_Toc10610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2. 应急工作原则</w:t>
          </w:r>
          <w:r>
            <w:tab/>
          </w:r>
          <w:r>
            <w:fldChar w:fldCharType="begin"/>
          </w:r>
          <w:r>
            <w:instrText xml:space="preserve"> PAGEREF _Toc10610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1EEAF32E">
          <w:pPr>
            <w:pStyle w:val="16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_Toc2376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3. 应急组织机构及职责</w:t>
          </w:r>
          <w:r>
            <w:tab/>
          </w:r>
          <w:r>
            <w:fldChar w:fldCharType="begin"/>
          </w:r>
          <w:r>
            <w:instrText xml:space="preserve"> PAGEREF _Toc2376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0ACC8EB9">
          <w:pPr>
            <w:pStyle w:val="17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_Toc25769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3.1. 应急</w:t>
          </w:r>
          <w:r>
            <w:rPr>
              <w:rFonts w:hint="eastAsia"/>
              <w:lang w:val="en-US" w:eastAsia="zh-CN"/>
            </w:rPr>
            <w:t>管理部</w:t>
          </w:r>
          <w:r>
            <w:tab/>
          </w:r>
          <w:r>
            <w:fldChar w:fldCharType="begin"/>
          </w:r>
          <w:r>
            <w:instrText xml:space="preserve"> PAGEREF _Toc25769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49605F7E">
          <w:pPr>
            <w:pStyle w:val="16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_Toc17099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4. 应急响应</w:t>
          </w:r>
          <w:r>
            <w:tab/>
          </w:r>
          <w:r>
            <w:fldChar w:fldCharType="begin"/>
          </w:r>
          <w:r>
            <w:instrText xml:space="preserve"> PAGEREF _Toc17099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36ADE369">
          <w:pPr>
            <w:pStyle w:val="17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_Toc29894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4.1. 事件分级与响应流程</w:t>
          </w:r>
          <w:r>
            <w:tab/>
          </w:r>
          <w:r>
            <w:fldChar w:fldCharType="begin"/>
          </w:r>
          <w:r>
            <w:instrText xml:space="preserve"> PAGEREF _Toc29894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74416025">
          <w:pPr>
            <w:pStyle w:val="13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_Toc25127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4.1.1. 三级响应</w:t>
          </w:r>
          <w:r>
            <w:tab/>
          </w:r>
          <w:r>
            <w:fldChar w:fldCharType="begin"/>
          </w:r>
          <w:r>
            <w:instrText xml:space="preserve"> PAGEREF _Toc25127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659C9E99">
          <w:pPr>
            <w:pStyle w:val="13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_Toc5822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4.1.2. 二级响应</w:t>
          </w:r>
          <w:r>
            <w:tab/>
          </w:r>
          <w:r>
            <w:fldChar w:fldCharType="begin"/>
          </w:r>
          <w:r>
            <w:instrText xml:space="preserve"> PAGEREF _Toc5822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057716DF">
          <w:pPr>
            <w:pStyle w:val="13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_Toc11962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4.1.3. 一级响应</w:t>
          </w:r>
          <w:r>
            <w:tab/>
          </w:r>
          <w:r>
            <w:fldChar w:fldCharType="begin"/>
          </w:r>
          <w:r>
            <w:instrText xml:space="preserve"> PAGEREF _Toc11962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285A99CB">
          <w:pPr>
            <w:pStyle w:val="17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_Toc433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响应流程图</w:t>
          </w:r>
          <w:r>
            <w:tab/>
          </w:r>
          <w:r>
            <w:fldChar w:fldCharType="begin"/>
          </w:r>
          <w:r>
            <w:instrText xml:space="preserve"> PAGEREF _Toc433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5601DA05">
          <w:pPr>
            <w:pStyle w:val="16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_Toc17271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5. 后期处置</w:t>
          </w:r>
          <w:r>
            <w:tab/>
          </w:r>
          <w:r>
            <w:fldChar w:fldCharType="begin"/>
          </w:r>
          <w:r>
            <w:instrText xml:space="preserve"> PAGEREF _Toc17271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3020E2F2">
          <w:pPr>
            <w:pStyle w:val="16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_Toc27604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6. 预案管理与更新</w:t>
          </w:r>
          <w:r>
            <w:tab/>
          </w:r>
          <w:r>
            <w:fldChar w:fldCharType="begin"/>
          </w:r>
          <w:r>
            <w:instrText xml:space="preserve"> PAGEREF _Toc27604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313F4E3D">
          <w:pPr>
            <w:rPr>
              <w:rFonts w:hint="default" w:ascii="Arial" w:hAnsi="Arial" w:eastAsia="宋体" w:cs="Arial"/>
              <w:snapToGrid w:val="0"/>
              <w:color w:val="000000"/>
              <w:kern w:val="0"/>
              <w:sz w:val="21"/>
              <w:szCs w:val="21"/>
              <w:lang w:val="en-US" w:eastAsia="zh-CN" w:bidi="ar-SA"/>
            </w:rPr>
          </w:pPr>
          <w:r>
            <w:rPr>
              <w:rFonts w:hint="default"/>
              <w:lang w:val="en-US" w:eastAsia="zh-CN"/>
            </w:rPr>
            <w:fldChar w:fldCharType="end"/>
          </w:r>
        </w:p>
      </w:sdtContent>
    </w:sdt>
    <w:p w14:paraId="3CA48240">
      <w:pPr>
        <w:rPr>
          <w:rFonts w:hint="default" w:ascii="Arial" w:hAnsi="Arial" w:eastAsia="宋体" w:cs="Arial"/>
          <w:snapToGrid w:val="0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default" w:ascii="Arial" w:hAnsi="Arial" w:eastAsia="宋体" w:cs="Arial"/>
          <w:snapToGrid w:val="0"/>
          <w:color w:val="000000"/>
          <w:kern w:val="0"/>
          <w:sz w:val="21"/>
          <w:szCs w:val="21"/>
          <w:lang w:val="en-US" w:eastAsia="zh-CN" w:bidi="ar-SA"/>
        </w:rPr>
        <w:br w:type="page"/>
      </w:r>
    </w:p>
    <w:p w14:paraId="6F2C5EDF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演练基本信息</w:t>
      </w:r>
    </w:p>
    <w:p w14:paraId="4FEAFAE0">
      <w:pPr>
        <w:pStyle w:val="26"/>
        <w:ind w:left="0" w:leftChars="0" w:right="0" w:rightChars="0" w:firstLine="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演练名称： 合同执行专项应急演练（二级响应模拟）</w:t>
      </w:r>
    </w:p>
    <w:p w14:paraId="4F1B19EF">
      <w:pPr>
        <w:pStyle w:val="26"/>
        <w:ind w:left="0" w:leftChars="0" w:right="0" w:rightChars="0" w:firstLine="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演练目的： 检验《合同执行专项应急预案》及《应急实施方案》的有效性和可操作性；磨合甲乙双方应急协作机制；重点验证合同约定的“改正通知与费用暂停”流程的执行。</w:t>
      </w:r>
    </w:p>
    <w:p w14:paraId="3AA7EAB3">
      <w:pPr>
        <w:pStyle w:val="26"/>
        <w:ind w:left="0" w:leftChars="0" w:right="0" w:rightChars="0" w:firstLine="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演练类型： ☑ 实战演练（桌面+模拟文书）</w:t>
      </w:r>
    </w:p>
    <w:p w14:paraId="4320863A">
      <w:pPr>
        <w:pStyle w:val="26"/>
        <w:ind w:left="0" w:leftChars="0" w:right="0" w:rightChars="0" w:firstLine="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依据文件： 《合同执行专项应急预案》、《应急实施方案》、本项目主合同、《应急演练计划（YNTD-ITSS-1004）》</w:t>
      </w:r>
    </w:p>
    <w:p w14:paraId="13CC4743">
      <w:pPr>
        <w:pStyle w:val="26"/>
        <w:ind w:left="0" w:leftChars="0" w:right="0" w:rightChars="0" w:firstLine="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演练时间： 2025年9月10日 09:00 - 11:30</w:t>
      </w:r>
    </w:p>
    <w:p w14:paraId="5356FD68">
      <w:pPr>
        <w:pStyle w:val="26"/>
        <w:ind w:left="0" w:leftChars="0" w:right="0" w:rightChars="0" w:firstLine="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演练地点： 主会场：云南中恒电力通信技术有限公司项目部会议室；</w:t>
      </w:r>
    </w:p>
    <w:p w14:paraId="1D51EDDC">
      <w:pPr>
        <w:pStyle w:val="26"/>
        <w:ind w:left="0" w:leftChars="0" w:right="0" w:rightChars="0" w:firstLine="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分会场：云南腾电科技有限公司现场办公室</w:t>
      </w:r>
    </w:p>
    <w:p w14:paraId="58C7CDEC">
      <w:pPr>
        <w:pStyle w:val="26"/>
        <w:ind w:left="0" w:leftChars="0" w:right="0" w:rightChars="0" w:firstLine="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情景设定： 模拟乙方（云南腾电）技术人员在未充分授权的情况下，于某110kV变电站进行模拟攻击测试，触发调度主站高级别网络安全告警，导致甲方（云南中恒）被上级单位（曲靖供电局）质询，项目面临中断风险的突发事件。</w:t>
      </w:r>
    </w:p>
    <w:p w14:paraId="3D4F6D5C">
      <w:pPr>
        <w:pStyle w:val="26"/>
        <w:ind w:left="0" w:leftChars="0" w:right="0" w:rightChars="0" w:firstLine="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参演单位： 云南中恒电力通信技术有限公司（甲方）、云南腾电科技有限公司（乙方）</w:t>
      </w:r>
    </w:p>
    <w:p w14:paraId="35508794">
      <w:pPr>
        <w:pStyle w:val="26"/>
        <w:ind w:left="0" w:leftChars="0" w:right="0" w:rightChars="0" w:firstLine="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主要参演人员及角色：</w:t>
      </w:r>
    </w:p>
    <w:p w14:paraId="14CF501E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甲方（云南中恒）： 项目总代表（应急组长）李峰、技术负责人王伟、现场监理张明（参演）。</w:t>
      </w:r>
    </w:p>
    <w:p w14:paraId="2D152225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乙方（云南腾电）： 现场负责人赵强（应急副组长）、</w:t>
      </w:r>
      <w:r>
        <w:rPr>
          <w:rFonts w:hint="eastAsia"/>
          <w:lang w:val="en-US" w:eastAsia="zh-CN"/>
        </w:rPr>
        <w:t>运维</w:t>
      </w:r>
      <w:r>
        <w:rPr>
          <w:rFonts w:hint="default"/>
          <w:lang w:val="en-US" w:eastAsia="zh-CN"/>
        </w:rPr>
        <w:t>工程师陈浩（参演）。</w:t>
      </w:r>
    </w:p>
    <w:p w14:paraId="55C2169A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控制与评估： 甲方项目经理刘涛（控制），双方各指定记录员一名。</w:t>
      </w:r>
    </w:p>
    <w:p w14:paraId="5EB70E47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演练处置过程记录</w:t>
      </w:r>
    </w:p>
    <w:p w14:paraId="7278024F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阶段一：演练准备与启动 (09:00 - 09:15)</w:t>
      </w:r>
    </w:p>
    <w:p w14:paraId="496632BE">
      <w:pPr>
        <w:pStyle w:val="26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09:00，全体参演及控制、记录人员于主、分会场集合完毕。</w:t>
      </w:r>
    </w:p>
    <w:p w14:paraId="5586F3CD">
      <w:pPr>
        <w:pStyle w:val="26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控制员刘涛重申演练规则，强调“是演练不是演戏”及保密要求，明确演练旨在检验流程、非追究个人责任。</w:t>
      </w:r>
    </w:p>
    <w:p w14:paraId="1CCC8214">
      <w:pPr>
        <w:pStyle w:val="26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控制员详细介绍预设的“二级响应”模拟场景、初始条件及预期流程。</w:t>
      </w:r>
    </w:p>
    <w:p w14:paraId="2A717792">
      <w:pPr>
        <w:pStyle w:val="26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双方确认通讯链路（电话、即时通讯工具）畅通，文书模板就绪。</w:t>
      </w:r>
    </w:p>
    <w:p w14:paraId="57095A05">
      <w:pPr>
        <w:pStyle w:val="26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总指挥李峰宣布演练正式开始，各角色进入预定状态。</w:t>
      </w:r>
    </w:p>
    <w:p w14:paraId="25564AE5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阶段二：事件发生与初期响应 (09:15 - 09:40)</w:t>
      </w:r>
    </w:p>
    <w:p w14:paraId="4E9EFD60">
      <w:pPr>
        <w:pStyle w:val="26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09:15（事件触发）： 控制组向甲方参演员张明发布模拟告警信息：“接到供电局调度中心电话，质询关于某110kV变电站的异常高频扫描告警，要求我方立即说明情况。”</w:t>
      </w:r>
    </w:p>
    <w:p w14:paraId="0CE044BF">
      <w:pPr>
        <w:pStyle w:val="26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09:15-09:30（初期报告）： 甲方参演员张明立即执行“双线报告”：</w:t>
      </w:r>
    </w:p>
    <w:p w14:paraId="320B6424">
      <w:pPr>
        <w:pStyle w:val="26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通过电话向甲方应急组长李峰报告事件概况。</w:t>
      </w:r>
    </w:p>
    <w:p w14:paraId="5D880588">
      <w:pPr>
        <w:pStyle w:val="26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同时通过即时通讯工具向乙方现场负责人赵强通报情况，并要求其立即核查。</w:t>
      </w:r>
    </w:p>
    <w:p w14:paraId="4FA9102D">
      <w:pPr>
        <w:pStyle w:val="26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处置亮点： 报告行动迅速，渠道正确，符合《应急实施方案》2.2条要求。</w:t>
      </w:r>
    </w:p>
    <w:p w14:paraId="305771E3">
      <w:pPr>
        <w:pStyle w:val="26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09:30-09:40（应急启动）： 甲方李峰与乙方赵强进行紧急电话会议，快速核实模拟情况。基于事件已引发外部单位质询、存在明显操作违规的事实，根据《实施方案》3.2条及合同精神，甲方李峰决策启动二级应急响应。双方总代表确认响应级别。</w:t>
      </w:r>
    </w:p>
    <w:p w14:paraId="7629FF79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阶段三：应急响应与现场处置 (09:40 - 10:50)</w:t>
      </w:r>
    </w:p>
    <w:p w14:paraId="61B5BD6E">
      <w:pPr>
        <w:pStyle w:val="26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09:40-10:00（决策与正式通知）：</w:t>
      </w:r>
    </w:p>
    <w:p w14:paraId="75E5A255">
      <w:pPr>
        <w:pStyle w:val="26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甲方李峰作为总指挥，正式模拟签署《费用暂停支付与限期整改通知单》，依据合同第7.2条，宣布暂停相关款项支付，并限令乙方在规定时限内提交正式报告。</w:t>
      </w:r>
    </w:p>
    <w:p w14:paraId="39A1194A">
      <w:pPr>
        <w:pStyle w:val="26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处置亮点： 甲方熟练、果断地引用合同具体条款作为决策和行动依据，体现了预案与合同的衔接。</w:t>
      </w:r>
    </w:p>
    <w:p w14:paraId="2BAB4C8D">
      <w:pPr>
        <w:pStyle w:val="26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10:00-10:30（乙方调查与报告）：</w:t>
      </w:r>
    </w:p>
    <w:p w14:paraId="564C432A">
      <w:pPr>
        <w:pStyle w:val="26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乙方赵强组织内部简短复盘，分析“违规操作”原因。</w:t>
      </w:r>
    </w:p>
    <w:p w14:paraId="3F7E5119">
      <w:pPr>
        <w:pStyle w:val="26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乙方在模拟时限（30分钟）内向甲方提交了《事件原因分析报告》和《纠正措施计划》草案。</w:t>
      </w:r>
    </w:p>
    <w:p w14:paraId="47A8E426">
      <w:pPr>
        <w:pStyle w:val="26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暴露问题： 乙方提交的首版《原因分析报告》对责任描述模糊，倾向于归咎于“沟通误会”。经甲方质询后，修正版才正视“操作流程违规”的核心事实。</w:t>
      </w:r>
    </w:p>
    <w:p w14:paraId="731B755B">
      <w:pPr>
        <w:pStyle w:val="26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处置结果： 乙方在规定时间内完成了报告提交，且《纠正措施计划》基本涵盖了人员再培训、流程复核等关键措施。</w:t>
      </w:r>
    </w:p>
    <w:p w14:paraId="5FCE0C13">
      <w:pPr>
        <w:pStyle w:val="26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10:30-10:50（甲方评估与闭环）：</w:t>
      </w:r>
    </w:p>
    <w:p w14:paraId="037B745C">
      <w:pPr>
        <w:pStyle w:val="26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甲方李峰、王伟等对乙方提交的文件进行审查。</w:t>
      </w:r>
    </w:p>
    <w:p w14:paraId="5973E9FA">
      <w:pPr>
        <w:pStyle w:val="26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甲方认为《纠正措施计划》方向正确，但需增加刚性约束条款。经协商，要求乙方在计划中明确加入“所有现场测试操作前必须签署《安全操作确认单》并经甲方书面许可”的内容。</w:t>
      </w:r>
    </w:p>
    <w:p w14:paraId="776877C0">
      <w:pPr>
        <w:pStyle w:val="26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乙方接受甲方意见，更新计划。</w:t>
      </w:r>
    </w:p>
    <w:p w14:paraId="27221B5A">
      <w:pPr>
        <w:pStyle w:val="26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双方模拟签署《情况说明及复工确认书》，标志着本次模拟事件在处置流程上实现闭环。</w:t>
      </w:r>
    </w:p>
    <w:p w14:paraId="05632B43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阶段四：演练总结与评估 (10:50 - 11:30)</w:t>
      </w:r>
    </w:p>
    <w:p w14:paraId="2A40C607">
      <w:pPr>
        <w:pStyle w:val="26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所有参演、控制、记录人员集中进行复盘总结。</w:t>
      </w:r>
    </w:p>
    <w:p w14:paraId="72B4F264">
      <w:pPr>
        <w:pStyle w:val="26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氛围坦诚、务实，讨论聚焦于流程改进而非个人问责。</w:t>
      </w:r>
    </w:p>
    <w:p w14:paraId="1FD36DA3">
      <w:pPr>
        <w:pStyle w:val="26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记录员汇报关键时间节点和观察到的亮点与问题。</w:t>
      </w:r>
    </w:p>
    <w:p w14:paraId="52A1A2BD">
      <w:pPr>
        <w:pStyle w:val="26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双方共同讨论了信息记录规范性、乙方报告质量、预案合同衔接清晰度等具体问题，并初步形成了5项改进建议（详见对应报告）。</w:t>
      </w:r>
    </w:p>
    <w:p w14:paraId="1A901085">
      <w:pPr>
        <w:pStyle w:val="26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明确了《应急演练报告》的编写分工与完成时限。</w:t>
      </w:r>
    </w:p>
    <w:p w14:paraId="1966A69F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处置过程关键结论</w:t>
      </w:r>
    </w:p>
    <w:p w14:paraId="14E3B92F">
      <w:pPr>
        <w:pStyle w:val="26"/>
        <w:ind w:left="0" w:leftChars="0" w:right="0" w:rightChars="0" w:firstLine="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流程有效性得到验证： 从事件触发到响应启动（25分钟）、决策通知、乙方报告、甲方评估闭环的完整流程得到执行，证明主要应急路径是可行的。</w:t>
      </w:r>
    </w:p>
    <w:p w14:paraId="560A393D">
      <w:pPr>
        <w:pStyle w:val="26"/>
        <w:ind w:left="0" w:leftChars="0" w:right="0" w:rightChars="0" w:firstLine="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协作机制基本畅通： 双方沟通渠道有效，关键决策层能快速对接并做出统一决策。</w:t>
      </w:r>
    </w:p>
    <w:p w14:paraId="5C3C4D05">
      <w:pPr>
        <w:pStyle w:val="26"/>
        <w:ind w:left="0" w:leftChars="0" w:right="0" w:rightChars="0" w:firstLine="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暴露核心薄弱环节： 应急通讯的“留痕”管理不足、乙方对高级别响应严肃性的认识及初次报告质量需提升、预案与合同后果的联动指引需强化。</w:t>
      </w:r>
    </w:p>
    <w:p w14:paraId="6E730C6C">
      <w:pPr>
        <w:pStyle w:val="26"/>
        <w:ind w:left="0" w:leftChars="0" w:right="0" w:rightChars="0" w:firstLine="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达到演练核心目的： 成功检验了预案，锻炼了队伍，并识别出具体、可操作的改进点，为应急体系的完善提供了直接依据。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B2719F"/>
    <w:rsid w:val="05B95683"/>
    <w:rsid w:val="064A73D7"/>
    <w:rsid w:val="069D7E4F"/>
    <w:rsid w:val="07837C3C"/>
    <w:rsid w:val="08BB45BC"/>
    <w:rsid w:val="09B82DE6"/>
    <w:rsid w:val="0A0124A3"/>
    <w:rsid w:val="0AB94B2B"/>
    <w:rsid w:val="0ADD4CBE"/>
    <w:rsid w:val="0B497F1C"/>
    <w:rsid w:val="0D0E115E"/>
    <w:rsid w:val="0E372937"/>
    <w:rsid w:val="0EC95C85"/>
    <w:rsid w:val="102A2753"/>
    <w:rsid w:val="10563548"/>
    <w:rsid w:val="10EE19D3"/>
    <w:rsid w:val="126C2410"/>
    <w:rsid w:val="14BB0247"/>
    <w:rsid w:val="177A04CB"/>
    <w:rsid w:val="17F5251C"/>
    <w:rsid w:val="18D314AE"/>
    <w:rsid w:val="19573E8D"/>
    <w:rsid w:val="1AFF6F2C"/>
    <w:rsid w:val="1B4A1EFB"/>
    <w:rsid w:val="1D6B43AB"/>
    <w:rsid w:val="1D8B05A9"/>
    <w:rsid w:val="21A460DD"/>
    <w:rsid w:val="22431452"/>
    <w:rsid w:val="246B4C91"/>
    <w:rsid w:val="251069F2"/>
    <w:rsid w:val="26797B39"/>
    <w:rsid w:val="2A5561C7"/>
    <w:rsid w:val="2B3470A6"/>
    <w:rsid w:val="2CB27900"/>
    <w:rsid w:val="2E6C3ADF"/>
    <w:rsid w:val="2E864BA1"/>
    <w:rsid w:val="2EC456C9"/>
    <w:rsid w:val="3102072B"/>
    <w:rsid w:val="31CE5397"/>
    <w:rsid w:val="3482405C"/>
    <w:rsid w:val="3482493D"/>
    <w:rsid w:val="37517D16"/>
    <w:rsid w:val="37623CD1"/>
    <w:rsid w:val="37F72EF8"/>
    <w:rsid w:val="3800568F"/>
    <w:rsid w:val="39291F38"/>
    <w:rsid w:val="39755342"/>
    <w:rsid w:val="3B744E3E"/>
    <w:rsid w:val="3E90381A"/>
    <w:rsid w:val="3EB05C6A"/>
    <w:rsid w:val="3ED51A02"/>
    <w:rsid w:val="40956EC5"/>
    <w:rsid w:val="40C5459E"/>
    <w:rsid w:val="43560B8E"/>
    <w:rsid w:val="464D698B"/>
    <w:rsid w:val="4A995804"/>
    <w:rsid w:val="4D4C4DB0"/>
    <w:rsid w:val="4DD70B1D"/>
    <w:rsid w:val="4E8C3CA1"/>
    <w:rsid w:val="510A5F9F"/>
    <w:rsid w:val="532A16EF"/>
    <w:rsid w:val="53B844C3"/>
    <w:rsid w:val="54F64668"/>
    <w:rsid w:val="55A90FF1"/>
    <w:rsid w:val="55B94290"/>
    <w:rsid w:val="55E262B1"/>
    <w:rsid w:val="569869C4"/>
    <w:rsid w:val="57310207"/>
    <w:rsid w:val="5A9F6E67"/>
    <w:rsid w:val="5CA42512"/>
    <w:rsid w:val="5DC866D4"/>
    <w:rsid w:val="5F2E07B9"/>
    <w:rsid w:val="5F473629"/>
    <w:rsid w:val="602816AC"/>
    <w:rsid w:val="6074044E"/>
    <w:rsid w:val="61CD6067"/>
    <w:rsid w:val="61F47A98"/>
    <w:rsid w:val="62B80AC5"/>
    <w:rsid w:val="637D1D0F"/>
    <w:rsid w:val="640E45C0"/>
    <w:rsid w:val="65FF6A0B"/>
    <w:rsid w:val="665E06D8"/>
    <w:rsid w:val="6698171A"/>
    <w:rsid w:val="6765389A"/>
    <w:rsid w:val="69B67474"/>
    <w:rsid w:val="6BA22313"/>
    <w:rsid w:val="6C755C79"/>
    <w:rsid w:val="6CF22E26"/>
    <w:rsid w:val="6DF25AD5"/>
    <w:rsid w:val="6E032E11"/>
    <w:rsid w:val="6E526272"/>
    <w:rsid w:val="6F03131A"/>
    <w:rsid w:val="6F977CB5"/>
    <w:rsid w:val="72E476B5"/>
    <w:rsid w:val="751F199D"/>
    <w:rsid w:val="76EA5E14"/>
    <w:rsid w:val="7997722F"/>
    <w:rsid w:val="7A1A1CD6"/>
    <w:rsid w:val="7C0E7550"/>
    <w:rsid w:val="7EB50157"/>
    <w:rsid w:val="7FD05249"/>
    <w:rsid w:val="7FEA3E31"/>
    <w:rsid w:val="7FF15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26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table" w:customStyle="1" w:styleId="27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8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9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30">
    <w:name w:val="柴_标题1"/>
    <w:basedOn w:val="2"/>
    <w:next w:val="26"/>
    <w:link w:val="39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1">
    <w:name w:val="柴_标题2"/>
    <w:basedOn w:val="3"/>
    <w:next w:val="26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2">
    <w:name w:val="柴_标题3"/>
    <w:basedOn w:val="4"/>
    <w:next w:val="26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3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30"/>
    <w:qFormat/>
    <w:uiPriority w:val="0"/>
    <w:rPr>
      <w:rFonts w:ascii="Arial" w:hAnsi="Arial" w:eastAsia="宋体"/>
      <w:sz w:val="32"/>
    </w:r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6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2144</Words>
  <Characters>2413</Characters>
  <Lines>0</Lines>
  <Paragraphs>0</Paragraphs>
  <TotalTime>0</TotalTime>
  <ScaleCrop>false</ScaleCrop>
  <LinksUpToDate>false</LinksUpToDate>
  <CharactersWithSpaces>2517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2025-09-06T12:49:00Z</dcterms:created>
  <dc:creator>18442</dc:creator>
  <cp:lastModifiedBy>郝宇</cp:lastModifiedBy>
  <dcterms:modified xsi:type="dcterms:W3CDTF">2025-12-23T19:46:29Z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0D32182671224755A6D4CE835A5A6EA6_12</vt:lpwstr>
  </property>
  <property fmtid="{D5CDD505-2E9C-101B-9397-08002B2CF9AE}" pid="4" name="KSOTemplateDocerSaveRecord">
    <vt:lpwstr>eyJoZGlkIjoiMDY5NmFjMmM4ZTljMGJiZDAxN2JmYTc0NGI0NmFiNDgiLCJ1c2VySWQiOiIxMDc1MzgyOSJ9</vt:lpwstr>
  </property>
</Properties>
</file>