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621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2146"/>
      <w:r>
        <w:rPr>
          <w:rFonts w:hint="eastAsia"/>
          <w:lang w:val="en-US" w:eastAsia="zh-CN"/>
        </w:rPr>
        <w:t>运维服务能力改进管理</w:t>
      </w:r>
      <w:bookmarkStart w:id="25" w:name="_GoBack"/>
      <w:bookmarkEnd w:id="25"/>
      <w:r>
        <w:rPr>
          <w:rFonts w:hint="eastAsia"/>
          <w:lang w:val="en-US" w:eastAsia="zh-CN"/>
        </w:rPr>
        <w:t>制度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4501"/>
      <w:r>
        <w:rPr>
          <w:rFonts w:hint="eastAsia"/>
          <w:lang w:val="en-US" w:eastAsia="zh-CN"/>
        </w:rPr>
        <w:t>（YNTD-ITSS-0300）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2865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14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2E02A03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_Toc119446289"/>
          <w:r>
            <w:rPr>
              <w:rFonts w:ascii="宋体" w:hAnsi="宋体" w:eastAsia="宋体"/>
              <w:sz w:val="21"/>
            </w:rPr>
            <w:t>目录</w:t>
          </w:r>
        </w:p>
        <w:p w14:paraId="6AFE4A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_Toc6210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_Toc6210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6EDC0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_Toc22146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8400C7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（YNTD-ITSS-0300）</w:t>
          </w:r>
          <w:r>
            <w:tab/>
          </w:r>
          <w:r>
            <w:fldChar w:fldCharType="begin"/>
          </w:r>
          <w:r>
            <w:instrText xml:space="preserve"> PAGEREF _Toc4501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9D649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_Toc22865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_Toc22865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86D30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_Toc18417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C6A7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6D72F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_Toc18316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职责</w:t>
          </w:r>
          <w:r>
            <w:tab/>
          </w:r>
          <w:r>
            <w:fldChar w:fldCharType="begin"/>
          </w:r>
          <w:r>
            <w:instrText xml:space="preserve"> PAGEREF _Toc18316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E1046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_Toc13719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DB039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_Toc8674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5CD0D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_Toc17064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E89C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工作程序</w:t>
          </w:r>
          <w:r>
            <w:tab/>
          </w:r>
          <w:r>
            <w:fldChar w:fldCharType="begin"/>
          </w:r>
          <w:r>
            <w:instrText xml:space="preserve"> PAGEREF _Toc21649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A0334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_Toc4763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体系改进策划</w:t>
          </w:r>
          <w:r>
            <w:tab/>
          </w:r>
          <w:r>
            <w:fldChar w:fldCharType="begin"/>
          </w:r>
          <w:r>
            <w:instrText xml:space="preserve"> PAGEREF _Toc4763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842C8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纠正措施</w:t>
          </w:r>
          <w:r>
            <w:tab/>
          </w:r>
          <w:r>
            <w:fldChar w:fldCharType="begin"/>
          </w:r>
          <w:r>
            <w:instrText xml:space="preserve"> PAGEREF _Toc19423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7B313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_Toc6614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预防措施</w:t>
          </w:r>
          <w:r>
            <w:tab/>
          </w:r>
          <w:r>
            <w:fldChar w:fldCharType="begin"/>
          </w:r>
          <w:r>
            <w:instrText xml:space="preserve"> PAGEREF _Toc6614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1459E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措施的实施</w:t>
          </w:r>
          <w:r>
            <w:tab/>
          </w:r>
          <w:r>
            <w:fldChar w:fldCharType="begin"/>
          </w:r>
          <w:r>
            <w:instrText xml:space="preserve"> PAGEREF _Toc1752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F2871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_Toc11921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实施效果的确认、巩固</w:t>
          </w:r>
          <w:r>
            <w:tab/>
          </w:r>
          <w:r>
            <w:fldChar w:fldCharType="begin"/>
          </w:r>
          <w:r>
            <w:instrText xml:space="preserve"> PAGEREF _Toc11921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C9444E">
          <w:r>
            <w:fldChar w:fldCharType="end"/>
          </w:r>
        </w:p>
      </w:sdtContent>
    </w:sdt>
    <w:p w14:paraId="3D04ECBC">
      <w:r>
        <w:rPr>
          <w:rFonts w:hint="eastAsia"/>
        </w:rPr>
        <w:br w:type="page"/>
      </w:r>
    </w:p>
    <w:p w14:paraId="315CF4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8417"/>
      <w:r>
        <w:rPr>
          <w:rFonts w:hint="eastAsia"/>
        </w:rPr>
        <w:t>目的</w:t>
      </w:r>
      <w:bookmarkEnd w:id="4"/>
      <w:bookmarkEnd w:id="5"/>
    </w:p>
    <w:p w14:paraId="43DE29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为指导公司运维管理体系的改进活动，消除出现的不合格和不合格产生的原因，消除潜在不合格的因素，防止其发生，达到持续改进ITSS运维服务管理体系的有效性。</w:t>
      </w:r>
    </w:p>
    <w:p w14:paraId="0144C32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19446290"/>
      <w:bookmarkStart w:id="7" w:name="_Toc22664"/>
      <w:r>
        <w:rPr>
          <w:rFonts w:hint="eastAsia"/>
        </w:rPr>
        <w:t>适用范围</w:t>
      </w:r>
      <w:bookmarkEnd w:id="6"/>
      <w:bookmarkEnd w:id="7"/>
    </w:p>
    <w:p w14:paraId="16B2CC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适用公司运维管理体系出现的或潜在的不合格而采取的改进措施。</w:t>
      </w:r>
    </w:p>
    <w:p w14:paraId="19C0425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119446291"/>
      <w:bookmarkStart w:id="9" w:name="_Toc18316"/>
      <w:r>
        <w:rPr>
          <w:rFonts w:hint="eastAsia"/>
        </w:rPr>
        <w:t>职责</w:t>
      </w:r>
      <w:bookmarkEnd w:id="8"/>
      <w:bookmarkEnd w:id="9"/>
    </w:p>
    <w:p w14:paraId="6F6903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3719"/>
      <w:r>
        <w:rPr>
          <w:rFonts w:hint="eastAsia"/>
          <w:lang w:val="en-US" w:eastAsia="zh-CN"/>
        </w:rPr>
        <w:t>总经理</w:t>
      </w:r>
      <w:bookmarkEnd w:id="10"/>
    </w:p>
    <w:p w14:paraId="4A84DC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总经理负责改进活动的总体策划，为体系改进提供必要的资源；负责批准公司服务能力管理改进计划</w:t>
      </w:r>
      <w:r>
        <w:rPr>
          <w:rFonts w:hint="eastAsia"/>
          <w:lang w:eastAsia="zh-CN"/>
        </w:rPr>
        <w:t>。</w:t>
      </w:r>
    </w:p>
    <w:p w14:paraId="3757BF3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8674"/>
      <w:r>
        <w:rPr>
          <w:rFonts w:hint="eastAsia"/>
          <w:lang w:val="en-US" w:eastAsia="zh-CN"/>
        </w:rPr>
        <w:t>质量部</w:t>
      </w:r>
      <w:bookmarkEnd w:id="11"/>
    </w:p>
    <w:p w14:paraId="255447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</w:rPr>
        <w:t>质量部负责收集改进需求，对所有改进需求进行评估、记录、排定优先顺序并制定改进计划，监督改进活动的实施，跟踪改进绩效</w:t>
      </w:r>
      <w:r>
        <w:rPr>
          <w:rFonts w:hint="eastAsia"/>
          <w:lang w:eastAsia="zh-CN"/>
        </w:rPr>
        <w:t>。</w:t>
      </w:r>
    </w:p>
    <w:p w14:paraId="00E5E11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7064"/>
      <w:r>
        <w:rPr>
          <w:rFonts w:hint="eastAsia"/>
          <w:lang w:val="en-US" w:eastAsia="zh-CN"/>
        </w:rPr>
        <w:t>其他运维部门</w:t>
      </w:r>
      <w:bookmarkEnd w:id="12"/>
    </w:p>
    <w:p w14:paraId="10A2CBE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eastAsia="zh-CN"/>
        </w:rPr>
      </w:pPr>
      <w:r>
        <w:rPr>
          <w:rFonts w:hint="eastAsia"/>
        </w:rPr>
        <w:t>各责任部门负责各过程执行绩效的度量，收集执行中的问题，对单个过程进行改进并组织实施</w:t>
      </w:r>
      <w:r>
        <w:rPr>
          <w:rFonts w:hint="eastAsia"/>
          <w:lang w:eastAsia="zh-CN"/>
        </w:rPr>
        <w:t>。</w:t>
      </w:r>
    </w:p>
    <w:p w14:paraId="2AEFD10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各责任部门负责收集运维实施中发现的问题，提出改进的需求</w:t>
      </w:r>
      <w:r>
        <w:rPr>
          <w:rFonts w:hint="eastAsia"/>
          <w:lang w:eastAsia="zh-CN"/>
        </w:rPr>
        <w:t>。</w:t>
      </w:r>
    </w:p>
    <w:p w14:paraId="6E2F668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当出现或存在潜在的管理问题时，</w:t>
      </w:r>
      <w:r>
        <w:rPr>
          <w:rFonts w:hint="eastAsia"/>
          <w:lang w:val="en-US" w:eastAsia="zh-CN"/>
        </w:rPr>
        <w:t>运维相关部门</w:t>
      </w:r>
      <w:r>
        <w:rPr>
          <w:rFonts w:hint="eastAsia"/>
        </w:rPr>
        <w:t>发出相应的纠正预防措施要求，组织纠正预防措施有效性评价及纠正预防；涉及体系文件修订的，执行体系修订流程</w:t>
      </w:r>
    </w:p>
    <w:p w14:paraId="460B330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19446292"/>
      <w:bookmarkStart w:id="14" w:name="_Toc21649"/>
      <w:r>
        <w:rPr>
          <w:rFonts w:hint="eastAsia"/>
        </w:rPr>
        <w:t>工作程序</w:t>
      </w:r>
      <w:bookmarkEnd w:id="13"/>
      <w:bookmarkEnd w:id="14"/>
    </w:p>
    <w:p w14:paraId="2B7758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119446293"/>
      <w:bookmarkStart w:id="16" w:name="_Toc4763"/>
      <w:r>
        <w:rPr>
          <w:rFonts w:hint="eastAsia"/>
        </w:rPr>
        <w:t>体系改进策划</w:t>
      </w:r>
      <w:bookmarkEnd w:id="15"/>
      <w:bookmarkEnd w:id="16"/>
    </w:p>
    <w:p w14:paraId="78830D1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质量部通过体系运行过程、审核结果、数据分析、纠正和预防措施的实施、管理评审的结果，积极寻找体系持续改进的机会，确定需要实施改进的过程，制定《运维服务能力改进计划》报总经理审核批准后，予以实施。</w:t>
      </w:r>
    </w:p>
    <w:p w14:paraId="75A2C92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持续改进采用PDCA方式进行。在制订改进计划时应考虑：</w:t>
      </w:r>
    </w:p>
    <w:p w14:paraId="5F75AC80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改进项目的目标和总体要求；</w:t>
      </w:r>
    </w:p>
    <w:p w14:paraId="6C53F8A1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分析现有过程的状况确定改进方案；</w:t>
      </w:r>
    </w:p>
    <w:p w14:paraId="0249D8EB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实施改进并评价改进的效果。</w:t>
      </w:r>
    </w:p>
    <w:p w14:paraId="55F63315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改进的具体操作从纠正或预防两方面进行。</w:t>
      </w:r>
    </w:p>
    <w:p w14:paraId="2399FD5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119446294"/>
      <w:bookmarkStart w:id="18" w:name="_Toc19423"/>
      <w:r>
        <w:rPr>
          <w:rFonts w:hint="eastAsia"/>
        </w:rPr>
        <w:t>纠正措施</w:t>
      </w:r>
      <w:bookmarkEnd w:id="17"/>
      <w:bookmarkEnd w:id="18"/>
    </w:p>
    <w:p w14:paraId="1616C428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对顾客投诉、运维服务过程及运维体系发现的不合格均应制定纠正措施。</w:t>
      </w:r>
    </w:p>
    <w:p w14:paraId="33336DF8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责任部门组织人员对出现的问题进行调查，分析问题原因，确定问题的性质和影响面大小，制定相应的纠正措施并负责。纠正措施应与问题造成的影响程度相适应。</w:t>
      </w:r>
    </w:p>
    <w:p w14:paraId="2839FDD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对于重大、重复出现的问题的纠正措施由归口管理部门组织相关部门制定，报总经理审批后实施或提交管理评审。</w:t>
      </w:r>
    </w:p>
    <w:p w14:paraId="028C715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一般性问题的纠正措施由归口管理部门组织制定措施，部门经理审批后执行。</w:t>
      </w:r>
    </w:p>
    <w:p w14:paraId="7DB9567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119446295"/>
      <w:bookmarkStart w:id="20" w:name="_Toc6614"/>
      <w:r>
        <w:rPr>
          <w:rFonts w:hint="eastAsia"/>
        </w:rPr>
        <w:t>预防措施</w:t>
      </w:r>
      <w:bookmarkEnd w:id="19"/>
      <w:bookmarkEnd w:id="20"/>
    </w:p>
    <w:p w14:paraId="621426D6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各部门在日常工作中收集内外部有关运维服务质量的信息数据，应用统计技术进行分析，找出潜在的影响运维服务质量的因素或趋势。收集的信息可包括：顾客或市场反馈信息、项目的验收、测试数据、质量统计数据、供方业绩等。</w:t>
      </w:r>
    </w:p>
    <w:p w14:paraId="0D3FF5DF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归口管理部门针对主要原因拟出预防措施方案，预防措施应与潜在问题的影响程度相适应，当涉及到不同部门和人员时应及时进行沟通。预防措施由总经理批准实施，重大的预防措施提交管理评审。</w:t>
      </w:r>
    </w:p>
    <w:p w14:paraId="5DF93C8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19446296"/>
      <w:bookmarkStart w:id="22" w:name="_Toc1752"/>
      <w:r>
        <w:rPr>
          <w:rFonts w:hint="eastAsia"/>
        </w:rPr>
        <w:t>措施的实施</w:t>
      </w:r>
      <w:bookmarkEnd w:id="21"/>
      <w:bookmarkEnd w:id="22"/>
    </w:p>
    <w:p w14:paraId="2C5B8E7A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措施计划涉及到的人、财、物等资源问题时，部门经理负责落实到位，必要时向公司总经理提出资源申请，保证措施的正常实施。</w:t>
      </w:r>
    </w:p>
    <w:p w14:paraId="54F69366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措施计划涉及到的责任部门和人员应按计划要求组织实施，并将实施中出现的问题及时反馈到归口部门，必要时报总经理协调。</w:t>
      </w:r>
    </w:p>
    <w:p w14:paraId="3339AD17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对运维服务过程中发生的问题的纠正和预防措施实施情况，由归口责任部门进行检查；对体系采取纠正和预防措施及管理评审的改进措施，由质量部进行检查，并协助解决执行中的问题，保证计划按期完成。</w:t>
      </w:r>
    </w:p>
    <w:p w14:paraId="4B2D5B18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纠正措施和预防措施在制订时必须规定措施的完成期限和责任人，措施的实施方案需要细化，便于工作进一步展开。</w:t>
      </w:r>
    </w:p>
    <w:p w14:paraId="3EA75163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纠正和预防措施的实施情况记录在《改进计划跟踪表》中，由质量部统一保存。</w:t>
      </w:r>
    </w:p>
    <w:p w14:paraId="14BF625B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质量部应该在改进项完成期限1个月之前提醒相关的责任部门，督促其按时完成改进措施。</w:t>
      </w:r>
    </w:p>
    <w:p w14:paraId="1371821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19446297"/>
      <w:bookmarkStart w:id="24" w:name="_Toc11921"/>
      <w:r>
        <w:rPr>
          <w:rFonts w:hint="eastAsia"/>
        </w:rPr>
        <w:t>实施效果的确认、巩固</w:t>
      </w:r>
      <w:bookmarkEnd w:id="23"/>
      <w:bookmarkEnd w:id="24"/>
    </w:p>
    <w:p w14:paraId="278D70D5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eastAsia"/>
        </w:rPr>
        <w:t>措施在实施一段时间或一定周期后，归口部门负责人对所采取的措施的执行情况及效果进行确认。确保措施得到落实并取得成效。</w:t>
      </w:r>
    </w:p>
    <w:p w14:paraId="7CB2F247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eastAsia"/>
        </w:rPr>
        <w:t>措施实施完成后，责任部门应及时将纠正和预防措施的制订、实施、检查、确认等情况整理成书面报告，并归档保存。</w:t>
      </w:r>
    </w:p>
    <w:p w14:paraId="51E3B2AC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eastAsia"/>
        </w:rPr>
        <w:t>确认后的措施凡与现行技术文件、管理文件要求不一致时，应对相关的技术文件、管理文件提出修改意见，经批准后组织修订。</w:t>
      </w:r>
    </w:p>
    <w:p w14:paraId="3A1BB7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E503B"/>
    <w:multiLevelType w:val="singleLevel"/>
    <w:tmpl w:val="848E50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E9B4EE0"/>
    <w:multiLevelType w:val="singleLevel"/>
    <w:tmpl w:val="9E9B4E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7EC759"/>
    <w:multiLevelType w:val="singleLevel"/>
    <w:tmpl w:val="BC7EC7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23914CD"/>
    <w:multiLevelType w:val="singleLevel"/>
    <w:tmpl w:val="E23914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969E01B"/>
    <w:multiLevelType w:val="singleLevel"/>
    <w:tmpl w:val="E969E0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A66865C"/>
    <w:multiLevelType w:val="singleLevel"/>
    <w:tmpl w:val="EA66865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416852A9"/>
    <w:multiLevelType w:val="singleLevel"/>
    <w:tmpl w:val="416852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28B5457"/>
    <w:rsid w:val="03431E67"/>
    <w:rsid w:val="043B3539"/>
    <w:rsid w:val="050D65F7"/>
    <w:rsid w:val="05B95683"/>
    <w:rsid w:val="0A2C751F"/>
    <w:rsid w:val="0A2F0DBE"/>
    <w:rsid w:val="0A8235E3"/>
    <w:rsid w:val="0AB766CF"/>
    <w:rsid w:val="0B5C5BE2"/>
    <w:rsid w:val="0C9E222B"/>
    <w:rsid w:val="0D676AC1"/>
    <w:rsid w:val="0E4B1F3E"/>
    <w:rsid w:val="0ED53D1D"/>
    <w:rsid w:val="1208048A"/>
    <w:rsid w:val="128E7347"/>
    <w:rsid w:val="134358DA"/>
    <w:rsid w:val="157A28AF"/>
    <w:rsid w:val="187327BD"/>
    <w:rsid w:val="1A9A6727"/>
    <w:rsid w:val="1AC11F06"/>
    <w:rsid w:val="1C4C39E7"/>
    <w:rsid w:val="1CFA34AD"/>
    <w:rsid w:val="1D0165EA"/>
    <w:rsid w:val="21A974B5"/>
    <w:rsid w:val="228D26CE"/>
    <w:rsid w:val="242B3823"/>
    <w:rsid w:val="26085301"/>
    <w:rsid w:val="26976211"/>
    <w:rsid w:val="27702CEA"/>
    <w:rsid w:val="295F4405"/>
    <w:rsid w:val="29CE1F49"/>
    <w:rsid w:val="2B7D22D9"/>
    <w:rsid w:val="2CD930DF"/>
    <w:rsid w:val="2FC260AC"/>
    <w:rsid w:val="32C0264B"/>
    <w:rsid w:val="3347098D"/>
    <w:rsid w:val="39B822CE"/>
    <w:rsid w:val="3C0D4B53"/>
    <w:rsid w:val="403C31DA"/>
    <w:rsid w:val="413C37E5"/>
    <w:rsid w:val="42DD6902"/>
    <w:rsid w:val="44924C25"/>
    <w:rsid w:val="4D495A2D"/>
    <w:rsid w:val="4F3501F1"/>
    <w:rsid w:val="4F4C1097"/>
    <w:rsid w:val="50AF18DD"/>
    <w:rsid w:val="51C07B1A"/>
    <w:rsid w:val="52FC4B82"/>
    <w:rsid w:val="535B1AD6"/>
    <w:rsid w:val="53B316E5"/>
    <w:rsid w:val="58733B38"/>
    <w:rsid w:val="59D803A9"/>
    <w:rsid w:val="5ADC3C17"/>
    <w:rsid w:val="5B3255E5"/>
    <w:rsid w:val="5CFC06C6"/>
    <w:rsid w:val="5E8B1BDC"/>
    <w:rsid w:val="60001B6F"/>
    <w:rsid w:val="646649A5"/>
    <w:rsid w:val="64FB2EEB"/>
    <w:rsid w:val="652979A2"/>
    <w:rsid w:val="66110C30"/>
    <w:rsid w:val="67780823"/>
    <w:rsid w:val="68016A6B"/>
    <w:rsid w:val="68ED228A"/>
    <w:rsid w:val="6A2D7FEB"/>
    <w:rsid w:val="6EB63269"/>
    <w:rsid w:val="6EC72090"/>
    <w:rsid w:val="6F7C0E99"/>
    <w:rsid w:val="711F7F62"/>
    <w:rsid w:val="73045661"/>
    <w:rsid w:val="735B4AB6"/>
    <w:rsid w:val="74542618"/>
    <w:rsid w:val="751A73BE"/>
    <w:rsid w:val="76BB072D"/>
    <w:rsid w:val="79314CD6"/>
    <w:rsid w:val="794E7636"/>
    <w:rsid w:val="7C1F350C"/>
    <w:rsid w:val="7CB67090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1681</Words>
  <Characters>1795</Characters>
  <Lines>0</Lines>
  <Paragraphs>0</Paragraphs>
  <TotalTime>4</TotalTime>
  <ScaleCrop>false</ScaleCrop>
  <LinksUpToDate>false</LinksUpToDate>
  <CharactersWithSpaces>1919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2025-12-23T21:20:08Z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