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09704D">
      <w:pPr>
        <w:pStyle w:val="2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bookmarkStart w:id="29" w:name="_GoBack"/>
      <w:bookmarkStart w:id="0" w:name="_Toc18052"/>
      <w:r>
        <w:drawing>
          <wp:anchor distT="0" distB="0" distL="114300" distR="114300" simplePos="0" relativeHeight="251659264" behindDoc="1" locked="0" layoutInCell="1" allowOverlap="1">
            <wp:simplePos x="0" y="0"/>
            <wp:positionH relativeFrom="column">
              <wp:posOffset>-1186815</wp:posOffset>
            </wp:positionH>
            <wp:positionV relativeFrom="paragraph">
              <wp:posOffset>15875</wp:posOffset>
            </wp:positionV>
            <wp:extent cx="7609840" cy="9761855"/>
            <wp:effectExtent l="0" t="0" r="10160" b="698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7609840" cy="9761855"/>
                    </a:xfrm>
                    <a:prstGeom prst="rect">
                      <a:avLst/>
                    </a:prstGeom>
                    <a:noFill/>
                    <a:ln>
                      <a:noFill/>
                    </a:ln>
                  </pic:spPr>
                </pic:pic>
              </a:graphicData>
            </a:graphic>
          </wp:anchor>
        </w:drawing>
      </w:r>
      <w:bookmarkEnd w:id="29"/>
      <w:r>
        <w:rPr>
          <w:rFonts w:hint="eastAsia"/>
          <w:lang w:val="en-US" w:eastAsia="zh-CN"/>
        </w:rPr>
        <w:t>云南腾电科技有限公司</w:t>
      </w:r>
      <w:bookmarkEnd w:id="0"/>
    </w:p>
    <w:p w14:paraId="49BB6A81">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default"/>
          <w:lang w:val="en-US" w:eastAsia="zh-CN"/>
        </w:rPr>
      </w:pPr>
      <w:bookmarkStart w:id="1" w:name="_Toc28962"/>
      <w:r>
        <w:rPr>
          <w:rFonts w:hint="eastAsia"/>
          <w:lang w:val="en-US" w:eastAsia="zh-CN"/>
        </w:rPr>
        <w:t>内部审核程序</w:t>
      </w:r>
      <w:bookmarkEnd w:id="1"/>
    </w:p>
    <w:p w14:paraId="44992887">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2" w:name="_Toc6909"/>
      <w:r>
        <w:rPr>
          <w:rFonts w:hint="eastAsia"/>
          <w:lang w:val="en-US" w:eastAsia="zh-CN"/>
        </w:rPr>
        <w:t>（YNTD-ITSS-0401）</w:t>
      </w:r>
      <w:bookmarkEnd w:id="2"/>
    </w:p>
    <w:p w14:paraId="07DEF3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06B03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08B5CF21">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吴杰</w:t>
            </w:r>
          </w:p>
        </w:tc>
        <w:tc>
          <w:tcPr>
            <w:tcW w:w="4261" w:type="dxa"/>
          </w:tcPr>
          <w:p w14:paraId="39FA7DB4">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4A624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044B37A8">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赵建中</w:t>
            </w:r>
          </w:p>
        </w:tc>
        <w:tc>
          <w:tcPr>
            <w:tcW w:w="4261" w:type="dxa"/>
            <w:shd w:val="clear" w:color="auto" w:fill="auto"/>
          </w:tcPr>
          <w:p w14:paraId="7C0A16A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6FC95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629D833A">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陆涛</w:t>
            </w:r>
          </w:p>
        </w:tc>
        <w:tc>
          <w:tcPr>
            <w:tcW w:w="4261" w:type="dxa"/>
          </w:tcPr>
          <w:p w14:paraId="656B22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bl>
    <w:p w14:paraId="46327F7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7342B97F">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hAnsi="宋体" w:eastAsia="宋体" w:cs="宋体"/>
          <w:sz w:val="30"/>
          <w:szCs w:val="30"/>
        </w:rPr>
      </w:pPr>
      <w:bookmarkStart w:id="3" w:name="_Toc5372"/>
      <w:r>
        <w:rPr>
          <w:rFonts w:ascii="宋体" w:hAnsi="宋体" w:eastAsia="宋体" w:cs="宋体"/>
          <w:b/>
          <w:bCs/>
          <w:spacing w:val="-4"/>
          <w:sz w:val="30"/>
          <w:szCs w:val="30"/>
        </w:rPr>
        <w:t>文件编制和变更履历</w:t>
      </w:r>
      <w:bookmarkEnd w:id="3"/>
    </w:p>
    <w:tbl>
      <w:tblPr>
        <w:tblStyle w:val="42"/>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14:paraId="3FD110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171B868C">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7C1D57C9">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5C31873F">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0CDCE20E">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hAnsi="宋体" w:eastAsia="宋体" w:cs="宋体"/>
                <w:sz w:val="24"/>
                <w:szCs w:val="24"/>
              </w:rPr>
            </w:pPr>
            <w:r>
              <w:rPr>
                <w:rFonts w:ascii="宋体" w:hAnsi="宋体" w:eastAsia="宋体" w:cs="宋体"/>
                <w:b/>
                <w:bCs/>
                <w:spacing w:val="-6"/>
                <w:sz w:val="24"/>
                <w:szCs w:val="24"/>
              </w:rPr>
              <w:t>发布</w:t>
            </w:r>
          </w:p>
        </w:tc>
        <w:tc>
          <w:tcPr>
            <w:tcW w:w="2288" w:type="dxa"/>
            <w:gridSpan w:val="2"/>
            <w:tcBorders>
              <w:top w:val="single" w:color="000000" w:sz="10" w:space="0"/>
            </w:tcBorders>
            <w:shd w:val="clear" w:color="auto" w:fill="D9D9D9"/>
          </w:tcPr>
          <w:p w14:paraId="5D044F35">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hAnsi="宋体" w:eastAsia="宋体" w:cs="宋体"/>
                <w:sz w:val="24"/>
                <w:szCs w:val="24"/>
              </w:rPr>
            </w:pPr>
            <w:r>
              <w:rPr>
                <w:rFonts w:ascii="宋体" w:hAnsi="宋体" w:eastAsia="宋体" w:cs="宋体"/>
                <w:b/>
                <w:bCs/>
                <w:spacing w:val="-6"/>
                <w:sz w:val="24"/>
                <w:szCs w:val="24"/>
              </w:rPr>
              <w:t>实施</w:t>
            </w:r>
          </w:p>
        </w:tc>
        <w:tc>
          <w:tcPr>
            <w:tcW w:w="1383" w:type="dxa"/>
            <w:vMerge w:val="restart"/>
            <w:tcBorders>
              <w:top w:val="single" w:color="000000" w:sz="10" w:space="0"/>
              <w:bottom w:val="nil"/>
              <w:right w:val="single" w:color="000000" w:sz="10" w:space="0"/>
            </w:tcBorders>
            <w:shd w:val="clear" w:color="auto" w:fill="D9D9D9"/>
          </w:tcPr>
          <w:p w14:paraId="59686762">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1036D608">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hAnsi="宋体" w:eastAsia="宋体" w:cs="宋体"/>
                <w:sz w:val="24"/>
                <w:szCs w:val="24"/>
              </w:rPr>
            </w:pPr>
            <w:r>
              <w:rPr>
                <w:rFonts w:ascii="宋体" w:hAnsi="宋体" w:eastAsia="宋体" w:cs="宋体"/>
                <w:b/>
                <w:bCs/>
                <w:spacing w:val="-5"/>
                <w:sz w:val="24"/>
                <w:szCs w:val="24"/>
              </w:rPr>
              <w:t>更改记录</w:t>
            </w:r>
          </w:p>
        </w:tc>
      </w:tr>
      <w:tr w14:paraId="6AD171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7739B0BC">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14:paraId="0640307D">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0644A745">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799EE85A">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0A0944D8">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338ED4DB">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hAnsi="宋体" w:eastAsia="宋体" w:cs="宋体"/>
                <w:sz w:val="24"/>
                <w:szCs w:val="24"/>
              </w:rPr>
            </w:pPr>
            <w:r>
              <w:rPr>
                <w:rFonts w:ascii="宋体" w:hAnsi="宋体" w:eastAsia="宋体" w:cs="宋体"/>
                <w:b/>
                <w:bCs/>
                <w:spacing w:val="-5"/>
                <w:sz w:val="24"/>
                <w:szCs w:val="24"/>
              </w:rPr>
              <w:t>批准</w:t>
            </w:r>
          </w:p>
        </w:tc>
        <w:tc>
          <w:tcPr>
            <w:tcW w:w="1271" w:type="dxa"/>
            <w:shd w:val="clear" w:color="auto" w:fill="D9D9D9"/>
          </w:tcPr>
          <w:p w14:paraId="2D6F740B">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383" w:type="dxa"/>
            <w:vMerge w:val="continue"/>
            <w:tcBorders>
              <w:top w:val="nil"/>
              <w:right w:val="single" w:color="000000" w:sz="10" w:space="0"/>
            </w:tcBorders>
          </w:tcPr>
          <w:p w14:paraId="0D1CE5FB">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710E34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3C883D7D">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14:paraId="7FB962C6">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rFonts w:hint="eastAsia"/>
                <w:spacing w:val="-4"/>
              </w:rPr>
              <w:t>吴杰</w:t>
            </w:r>
          </w:p>
        </w:tc>
        <w:tc>
          <w:tcPr>
            <w:tcW w:w="1274" w:type="dxa"/>
          </w:tcPr>
          <w:p w14:paraId="0B391C79">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2025.1.7</w:t>
            </w:r>
          </w:p>
        </w:tc>
        <w:tc>
          <w:tcPr>
            <w:tcW w:w="957" w:type="dxa"/>
          </w:tcPr>
          <w:p w14:paraId="0806E2DD">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赵建中</w:t>
            </w:r>
          </w:p>
        </w:tc>
        <w:tc>
          <w:tcPr>
            <w:tcW w:w="1377" w:type="dxa"/>
          </w:tcPr>
          <w:p w14:paraId="0320F66E">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2025.1.7</w:t>
            </w:r>
          </w:p>
        </w:tc>
        <w:tc>
          <w:tcPr>
            <w:tcW w:w="1017" w:type="dxa"/>
          </w:tcPr>
          <w:p w14:paraId="7B95F9C2">
            <w:pPr>
              <w:pStyle w:val="27"/>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陆涛</w:t>
            </w:r>
          </w:p>
        </w:tc>
        <w:tc>
          <w:tcPr>
            <w:tcW w:w="1271" w:type="dxa"/>
          </w:tcPr>
          <w:p w14:paraId="76E7ED73">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2025.1.7</w:t>
            </w:r>
          </w:p>
        </w:tc>
        <w:tc>
          <w:tcPr>
            <w:tcW w:w="1383" w:type="dxa"/>
            <w:tcBorders>
              <w:right w:val="single" w:color="000000" w:sz="10" w:space="0"/>
            </w:tcBorders>
          </w:tcPr>
          <w:p w14:paraId="1A5ABD82">
            <w:pPr>
              <w:pStyle w:val="27"/>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14:paraId="74A769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3DAB5E6A">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14:paraId="304E0B0C">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14:paraId="66497D48">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14:paraId="1FE3C12A">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14:paraId="012EE647">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14:paraId="75BDB48B">
            <w:pPr>
              <w:pStyle w:val="27"/>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14:paraId="7A74C2F1">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color="000000" w:sz="10" w:space="0"/>
            </w:tcBorders>
          </w:tcPr>
          <w:p w14:paraId="120E8B79">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14:paraId="7CAEAE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5787F63E">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color="000000" w:sz="10" w:space="0"/>
            </w:tcBorders>
          </w:tcPr>
          <w:p w14:paraId="2BD69362">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color="000000" w:sz="10" w:space="0"/>
            </w:tcBorders>
          </w:tcPr>
          <w:p w14:paraId="519DD42E">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color="000000" w:sz="10" w:space="0"/>
            </w:tcBorders>
          </w:tcPr>
          <w:p w14:paraId="264D4828">
            <w:pPr>
              <w:pStyle w:val="27"/>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color="000000" w:sz="10" w:space="0"/>
            </w:tcBorders>
          </w:tcPr>
          <w:p w14:paraId="324414F2">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color="000000" w:sz="10" w:space="0"/>
            </w:tcBorders>
          </w:tcPr>
          <w:p w14:paraId="0FD934D7">
            <w:pPr>
              <w:pStyle w:val="27"/>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color="000000" w:sz="10" w:space="0"/>
            </w:tcBorders>
          </w:tcPr>
          <w:p w14:paraId="225C6788">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color="000000" w:sz="10" w:space="0"/>
              <w:right w:val="single" w:color="000000" w:sz="10" w:space="0"/>
            </w:tcBorders>
          </w:tcPr>
          <w:p w14:paraId="3E77818D">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14:paraId="6C9B832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sdt>
      <w:sdtPr>
        <w:rPr>
          <w:rFonts w:ascii="宋体" w:hAnsi="宋体" w:eastAsia="宋体" w:cs="Arial"/>
          <w:snapToGrid w:val="0"/>
          <w:color w:val="000000"/>
          <w:kern w:val="0"/>
          <w:sz w:val="21"/>
          <w:szCs w:val="21"/>
          <w:lang w:val="en-US" w:eastAsia="en-US" w:bidi="ar-SA"/>
        </w:rPr>
        <w:id w:val="147472464"/>
        <w15:color w:val="DBDBDB"/>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6D4B32E2">
          <w:pPr>
            <w:spacing w:before="0" w:beforeLines="0" w:after="0" w:afterLines="0" w:line="240" w:lineRule="auto"/>
            <w:ind w:left="0" w:leftChars="0" w:right="0" w:rightChars="0" w:firstLine="0" w:firstLineChars="0"/>
            <w:jc w:val="center"/>
          </w:pPr>
          <w:r>
            <w:rPr>
              <w:rFonts w:ascii="宋体" w:hAnsi="宋体" w:eastAsia="宋体"/>
              <w:sz w:val="21"/>
            </w:rPr>
            <w:t>目录</w:t>
          </w:r>
        </w:p>
        <w:p w14:paraId="5898C8E1">
          <w:pPr>
            <w:pStyle w:val="16"/>
            <w:tabs>
              <w:tab w:val="right" w:leader="dot" w:pos="8306"/>
            </w:tabs>
          </w:pPr>
          <w:r>
            <w:fldChar w:fldCharType="begin"/>
          </w:r>
          <w:r>
            <w:instrText xml:space="preserve">TOC \o "1-3" \h \u </w:instrText>
          </w:r>
          <w:r>
            <w:fldChar w:fldCharType="separate"/>
          </w:r>
          <w:r>
            <w:fldChar w:fldCharType="begin"/>
          </w:r>
          <w:r>
            <w:instrText xml:space="preserve"> HYPERLINK \l _Toc18052 </w:instrText>
          </w:r>
          <w:r>
            <w:fldChar w:fldCharType="separate"/>
          </w:r>
          <w:r>
            <w:rPr>
              <w:rFonts w:hint="eastAsia"/>
              <w:lang w:val="en-US" w:eastAsia="zh-CN"/>
            </w:rPr>
            <w:t>云南腾电科技有限公司</w:t>
          </w:r>
          <w:r>
            <w:tab/>
          </w:r>
          <w:r>
            <w:fldChar w:fldCharType="begin"/>
          </w:r>
          <w:r>
            <w:instrText xml:space="preserve"> PAGEREF _Toc18052 \h </w:instrText>
          </w:r>
          <w:r>
            <w:fldChar w:fldCharType="separate"/>
          </w:r>
          <w:r>
            <w:t>1</w:t>
          </w:r>
          <w:r>
            <w:fldChar w:fldCharType="end"/>
          </w:r>
          <w:r>
            <w:fldChar w:fldCharType="end"/>
          </w:r>
        </w:p>
        <w:p w14:paraId="2AC4A3BF">
          <w:pPr>
            <w:pStyle w:val="16"/>
            <w:tabs>
              <w:tab w:val="right" w:leader="dot" w:pos="8306"/>
            </w:tabs>
          </w:pPr>
          <w:r>
            <w:fldChar w:fldCharType="begin"/>
          </w:r>
          <w:r>
            <w:instrText xml:space="preserve"> HYPERLINK \l _Toc28962 </w:instrText>
          </w:r>
          <w:r>
            <w:fldChar w:fldCharType="separate"/>
          </w:r>
          <w:r>
            <w:rPr>
              <w:rFonts w:hint="eastAsia"/>
              <w:lang w:val="en-US" w:eastAsia="zh-CN"/>
            </w:rPr>
            <w:t>内部审核程序</w:t>
          </w:r>
          <w:r>
            <w:tab/>
          </w:r>
          <w:r>
            <w:fldChar w:fldCharType="begin"/>
          </w:r>
          <w:r>
            <w:instrText xml:space="preserve"> PAGEREF _Toc28962 \h </w:instrText>
          </w:r>
          <w:r>
            <w:fldChar w:fldCharType="separate"/>
          </w:r>
          <w:r>
            <w:t>1</w:t>
          </w:r>
          <w:r>
            <w:fldChar w:fldCharType="end"/>
          </w:r>
          <w:r>
            <w:fldChar w:fldCharType="end"/>
          </w:r>
        </w:p>
        <w:p w14:paraId="2E1A0231">
          <w:pPr>
            <w:pStyle w:val="16"/>
            <w:tabs>
              <w:tab w:val="right" w:leader="dot" w:pos="8306"/>
            </w:tabs>
          </w:pPr>
          <w:r>
            <w:fldChar w:fldCharType="begin"/>
          </w:r>
          <w:r>
            <w:instrText xml:space="preserve"> HYPERLINK \l _Toc6909 </w:instrText>
          </w:r>
          <w:r>
            <w:fldChar w:fldCharType="separate"/>
          </w:r>
          <w:r>
            <w:rPr>
              <w:rFonts w:hint="eastAsia"/>
              <w:lang w:val="en-US" w:eastAsia="zh-CN"/>
            </w:rPr>
            <w:t>（YNTD-ITSS-0401）</w:t>
          </w:r>
          <w:r>
            <w:tab/>
          </w:r>
          <w:r>
            <w:fldChar w:fldCharType="begin"/>
          </w:r>
          <w:r>
            <w:instrText xml:space="preserve"> PAGEREF _Toc6909 \h </w:instrText>
          </w:r>
          <w:r>
            <w:fldChar w:fldCharType="separate"/>
          </w:r>
          <w:r>
            <w:t>1</w:t>
          </w:r>
          <w:r>
            <w:fldChar w:fldCharType="end"/>
          </w:r>
          <w:r>
            <w:fldChar w:fldCharType="end"/>
          </w:r>
        </w:p>
        <w:p w14:paraId="258AF61A">
          <w:pPr>
            <w:pStyle w:val="16"/>
            <w:tabs>
              <w:tab w:val="right" w:leader="dot" w:pos="8306"/>
            </w:tabs>
          </w:pPr>
          <w:r>
            <w:fldChar w:fldCharType="begin"/>
          </w:r>
          <w:r>
            <w:instrText xml:space="preserve"> HYPERLINK \l _Toc5372 </w:instrText>
          </w:r>
          <w:r>
            <w:fldChar w:fldCharType="separate"/>
          </w:r>
          <w:r>
            <w:rPr>
              <w:rFonts w:ascii="宋体" w:hAnsi="宋体" w:eastAsia="宋体" w:cs="宋体"/>
              <w:bCs/>
              <w:spacing w:val="-4"/>
              <w:szCs w:val="30"/>
            </w:rPr>
            <w:t>文件编制和变更履历</w:t>
          </w:r>
          <w:r>
            <w:tab/>
          </w:r>
          <w:r>
            <w:fldChar w:fldCharType="begin"/>
          </w:r>
          <w:r>
            <w:instrText xml:space="preserve"> PAGEREF _Toc5372 \h </w:instrText>
          </w:r>
          <w:r>
            <w:fldChar w:fldCharType="separate"/>
          </w:r>
          <w:r>
            <w:t>2</w:t>
          </w:r>
          <w:r>
            <w:fldChar w:fldCharType="end"/>
          </w:r>
          <w:r>
            <w:fldChar w:fldCharType="end"/>
          </w:r>
        </w:p>
        <w:p w14:paraId="1D92FF6D">
          <w:pPr>
            <w:pStyle w:val="16"/>
            <w:tabs>
              <w:tab w:val="right" w:leader="dot" w:pos="8306"/>
            </w:tabs>
          </w:pPr>
          <w:r>
            <w:fldChar w:fldCharType="begin"/>
          </w:r>
          <w:r>
            <w:instrText xml:space="preserve"> HYPERLINK \l _Toc8767 </w:instrText>
          </w:r>
          <w:r>
            <w:fldChar w:fldCharType="separate"/>
          </w:r>
          <w:r>
            <w:rPr>
              <w:rFonts w:hint="default"/>
              <w:lang w:val="en-US" w:eastAsia="zh-CN"/>
            </w:rPr>
            <w:t>1. 概述</w:t>
          </w:r>
          <w:r>
            <w:tab/>
          </w:r>
          <w:r>
            <w:fldChar w:fldCharType="begin"/>
          </w:r>
          <w:r>
            <w:instrText xml:space="preserve"> PAGEREF _Toc8767 \h </w:instrText>
          </w:r>
          <w:r>
            <w:fldChar w:fldCharType="separate"/>
          </w:r>
          <w:r>
            <w:t>5</w:t>
          </w:r>
          <w:r>
            <w:fldChar w:fldCharType="end"/>
          </w:r>
          <w:r>
            <w:fldChar w:fldCharType="end"/>
          </w:r>
        </w:p>
        <w:p w14:paraId="76F57191">
          <w:pPr>
            <w:pStyle w:val="17"/>
            <w:tabs>
              <w:tab w:val="right" w:leader="dot" w:pos="8306"/>
            </w:tabs>
          </w:pPr>
          <w:r>
            <w:fldChar w:fldCharType="begin"/>
          </w:r>
          <w:r>
            <w:instrText xml:space="preserve"> HYPERLINK \l _Toc8932 </w:instrText>
          </w:r>
          <w:r>
            <w:fldChar w:fldCharType="separate"/>
          </w:r>
          <w:r>
            <w:rPr>
              <w:rFonts w:hint="default"/>
              <w:lang w:val="en-US" w:eastAsia="zh-CN"/>
            </w:rPr>
            <w:t>1.1. 目的</w:t>
          </w:r>
          <w:r>
            <w:tab/>
          </w:r>
          <w:r>
            <w:fldChar w:fldCharType="begin"/>
          </w:r>
          <w:r>
            <w:instrText xml:space="preserve"> PAGEREF _Toc8932 \h </w:instrText>
          </w:r>
          <w:r>
            <w:fldChar w:fldCharType="separate"/>
          </w:r>
          <w:r>
            <w:t>5</w:t>
          </w:r>
          <w:r>
            <w:fldChar w:fldCharType="end"/>
          </w:r>
          <w:r>
            <w:fldChar w:fldCharType="end"/>
          </w:r>
        </w:p>
        <w:p w14:paraId="472D2D19">
          <w:pPr>
            <w:pStyle w:val="17"/>
            <w:tabs>
              <w:tab w:val="right" w:leader="dot" w:pos="8306"/>
            </w:tabs>
          </w:pPr>
          <w:r>
            <w:fldChar w:fldCharType="begin"/>
          </w:r>
          <w:r>
            <w:instrText xml:space="preserve"> HYPERLINK \l _Toc6426 </w:instrText>
          </w:r>
          <w:r>
            <w:fldChar w:fldCharType="separate"/>
          </w:r>
          <w:r>
            <w:rPr>
              <w:rFonts w:hint="default"/>
              <w:lang w:val="en-US" w:eastAsia="zh-CN"/>
            </w:rPr>
            <w:t>1.2. 适用范围</w:t>
          </w:r>
          <w:r>
            <w:tab/>
          </w:r>
          <w:r>
            <w:fldChar w:fldCharType="begin"/>
          </w:r>
          <w:r>
            <w:instrText xml:space="preserve"> PAGEREF _Toc6426 \h </w:instrText>
          </w:r>
          <w:r>
            <w:fldChar w:fldCharType="separate"/>
          </w:r>
          <w:r>
            <w:t>5</w:t>
          </w:r>
          <w:r>
            <w:fldChar w:fldCharType="end"/>
          </w:r>
          <w:r>
            <w:fldChar w:fldCharType="end"/>
          </w:r>
        </w:p>
        <w:p w14:paraId="65B9A8BE">
          <w:pPr>
            <w:pStyle w:val="17"/>
            <w:tabs>
              <w:tab w:val="right" w:leader="dot" w:pos="8306"/>
            </w:tabs>
          </w:pPr>
          <w:r>
            <w:fldChar w:fldCharType="begin"/>
          </w:r>
          <w:r>
            <w:instrText xml:space="preserve"> HYPERLINK \l _Toc14770 </w:instrText>
          </w:r>
          <w:r>
            <w:fldChar w:fldCharType="separate"/>
          </w:r>
          <w:r>
            <w:rPr>
              <w:rFonts w:hint="default"/>
              <w:lang w:val="en-US" w:eastAsia="zh-CN"/>
            </w:rPr>
            <w:t>1.3. 职责</w:t>
          </w:r>
          <w:r>
            <w:tab/>
          </w:r>
          <w:r>
            <w:fldChar w:fldCharType="begin"/>
          </w:r>
          <w:r>
            <w:instrText xml:space="preserve"> PAGEREF _Toc14770 \h </w:instrText>
          </w:r>
          <w:r>
            <w:fldChar w:fldCharType="separate"/>
          </w:r>
          <w:r>
            <w:t>5</w:t>
          </w:r>
          <w:r>
            <w:fldChar w:fldCharType="end"/>
          </w:r>
          <w:r>
            <w:fldChar w:fldCharType="end"/>
          </w:r>
        </w:p>
        <w:p w14:paraId="319F9E5F">
          <w:pPr>
            <w:pStyle w:val="13"/>
            <w:tabs>
              <w:tab w:val="right" w:leader="dot" w:pos="8306"/>
            </w:tabs>
          </w:pPr>
          <w:r>
            <w:fldChar w:fldCharType="begin"/>
          </w:r>
          <w:r>
            <w:instrText xml:space="preserve"> HYPERLINK \l _Toc19243 </w:instrText>
          </w:r>
          <w:r>
            <w:fldChar w:fldCharType="separate"/>
          </w:r>
          <w:r>
            <w:rPr>
              <w:rFonts w:hint="default"/>
              <w:lang w:val="en-US" w:eastAsia="zh-CN"/>
            </w:rPr>
            <w:t>1.3.1. 总经理</w:t>
          </w:r>
          <w:r>
            <w:tab/>
          </w:r>
          <w:r>
            <w:fldChar w:fldCharType="begin"/>
          </w:r>
          <w:r>
            <w:instrText xml:space="preserve"> PAGEREF _Toc19243 \h </w:instrText>
          </w:r>
          <w:r>
            <w:fldChar w:fldCharType="separate"/>
          </w:r>
          <w:r>
            <w:t>5</w:t>
          </w:r>
          <w:r>
            <w:fldChar w:fldCharType="end"/>
          </w:r>
          <w:r>
            <w:fldChar w:fldCharType="end"/>
          </w:r>
        </w:p>
        <w:p w14:paraId="100AC271">
          <w:pPr>
            <w:pStyle w:val="13"/>
            <w:tabs>
              <w:tab w:val="right" w:leader="dot" w:pos="8306"/>
            </w:tabs>
          </w:pPr>
          <w:r>
            <w:fldChar w:fldCharType="begin"/>
          </w:r>
          <w:r>
            <w:instrText xml:space="preserve"> HYPERLINK \l _Toc1583 </w:instrText>
          </w:r>
          <w:r>
            <w:fldChar w:fldCharType="separate"/>
          </w:r>
          <w:r>
            <w:rPr>
              <w:rFonts w:hint="default"/>
              <w:lang w:val="en-US" w:eastAsia="zh-CN"/>
            </w:rPr>
            <w:t>1.3.2. 管理者代表</w:t>
          </w:r>
          <w:r>
            <w:tab/>
          </w:r>
          <w:r>
            <w:fldChar w:fldCharType="begin"/>
          </w:r>
          <w:r>
            <w:instrText xml:space="preserve"> PAGEREF _Toc1583 \h </w:instrText>
          </w:r>
          <w:r>
            <w:fldChar w:fldCharType="separate"/>
          </w:r>
          <w:r>
            <w:t>5</w:t>
          </w:r>
          <w:r>
            <w:fldChar w:fldCharType="end"/>
          </w:r>
          <w:r>
            <w:fldChar w:fldCharType="end"/>
          </w:r>
        </w:p>
        <w:p w14:paraId="4DC1AD56">
          <w:pPr>
            <w:pStyle w:val="13"/>
            <w:tabs>
              <w:tab w:val="right" w:leader="dot" w:pos="8306"/>
            </w:tabs>
          </w:pPr>
          <w:r>
            <w:fldChar w:fldCharType="begin"/>
          </w:r>
          <w:r>
            <w:instrText xml:space="preserve"> HYPERLINK \l _Toc27465 </w:instrText>
          </w:r>
          <w:r>
            <w:fldChar w:fldCharType="separate"/>
          </w:r>
          <w:r>
            <w:rPr>
              <w:rFonts w:hint="default"/>
              <w:lang w:val="en-US" w:eastAsia="zh-CN"/>
            </w:rPr>
            <w:t>1.3.3. 质量部</w:t>
          </w:r>
          <w:r>
            <w:tab/>
          </w:r>
          <w:r>
            <w:fldChar w:fldCharType="begin"/>
          </w:r>
          <w:r>
            <w:instrText xml:space="preserve"> PAGEREF _Toc27465 \h </w:instrText>
          </w:r>
          <w:r>
            <w:fldChar w:fldCharType="separate"/>
          </w:r>
          <w:r>
            <w:t>5</w:t>
          </w:r>
          <w:r>
            <w:fldChar w:fldCharType="end"/>
          </w:r>
          <w:r>
            <w:fldChar w:fldCharType="end"/>
          </w:r>
        </w:p>
        <w:p w14:paraId="504D7F0F">
          <w:pPr>
            <w:pStyle w:val="13"/>
            <w:tabs>
              <w:tab w:val="right" w:leader="dot" w:pos="8306"/>
            </w:tabs>
          </w:pPr>
          <w:r>
            <w:fldChar w:fldCharType="begin"/>
          </w:r>
          <w:r>
            <w:instrText xml:space="preserve"> HYPERLINK \l _Toc3131 </w:instrText>
          </w:r>
          <w:r>
            <w:fldChar w:fldCharType="separate"/>
          </w:r>
          <w:r>
            <w:rPr>
              <w:rFonts w:hint="default"/>
              <w:lang w:val="en-US" w:eastAsia="zh-CN"/>
            </w:rPr>
            <w:t>1.3.4. 审核组长</w:t>
          </w:r>
          <w:r>
            <w:tab/>
          </w:r>
          <w:r>
            <w:fldChar w:fldCharType="begin"/>
          </w:r>
          <w:r>
            <w:instrText xml:space="preserve"> PAGEREF _Toc3131 \h </w:instrText>
          </w:r>
          <w:r>
            <w:fldChar w:fldCharType="separate"/>
          </w:r>
          <w:r>
            <w:t>5</w:t>
          </w:r>
          <w:r>
            <w:fldChar w:fldCharType="end"/>
          </w:r>
          <w:r>
            <w:fldChar w:fldCharType="end"/>
          </w:r>
        </w:p>
        <w:p w14:paraId="5DFF2E01">
          <w:pPr>
            <w:pStyle w:val="13"/>
            <w:tabs>
              <w:tab w:val="right" w:leader="dot" w:pos="8306"/>
            </w:tabs>
          </w:pPr>
          <w:r>
            <w:fldChar w:fldCharType="begin"/>
          </w:r>
          <w:r>
            <w:instrText xml:space="preserve"> HYPERLINK \l _Toc16529 </w:instrText>
          </w:r>
          <w:r>
            <w:fldChar w:fldCharType="separate"/>
          </w:r>
          <w:r>
            <w:rPr>
              <w:rFonts w:hint="default"/>
              <w:lang w:val="en-US" w:eastAsia="zh-CN"/>
            </w:rPr>
            <w:t xml:space="preserve">1.3.5. </w:t>
          </w:r>
          <w:r>
            <w:rPr>
              <w:rFonts w:hint="eastAsia"/>
              <w:lang w:val="en-US" w:eastAsia="zh-CN"/>
            </w:rPr>
            <w:t>其他运维相关部门</w:t>
          </w:r>
          <w:r>
            <w:tab/>
          </w:r>
          <w:r>
            <w:fldChar w:fldCharType="begin"/>
          </w:r>
          <w:r>
            <w:instrText xml:space="preserve"> PAGEREF _Toc16529 \h </w:instrText>
          </w:r>
          <w:r>
            <w:fldChar w:fldCharType="separate"/>
          </w:r>
          <w:r>
            <w:t>5</w:t>
          </w:r>
          <w:r>
            <w:fldChar w:fldCharType="end"/>
          </w:r>
          <w:r>
            <w:fldChar w:fldCharType="end"/>
          </w:r>
        </w:p>
        <w:p w14:paraId="375B9853">
          <w:pPr>
            <w:pStyle w:val="16"/>
            <w:tabs>
              <w:tab w:val="right" w:leader="dot" w:pos="8306"/>
            </w:tabs>
          </w:pPr>
          <w:r>
            <w:fldChar w:fldCharType="begin"/>
          </w:r>
          <w:r>
            <w:instrText xml:space="preserve"> HYPERLINK \l _Toc1596 </w:instrText>
          </w:r>
          <w:r>
            <w:fldChar w:fldCharType="separate"/>
          </w:r>
          <w:r>
            <w:rPr>
              <w:rFonts w:hint="default"/>
              <w:lang w:val="en-US" w:eastAsia="zh-CN"/>
            </w:rPr>
            <w:t>2. 制定年度内审计划</w:t>
          </w:r>
          <w:r>
            <w:tab/>
          </w:r>
          <w:r>
            <w:fldChar w:fldCharType="begin"/>
          </w:r>
          <w:r>
            <w:instrText xml:space="preserve"> PAGEREF _Toc1596 \h </w:instrText>
          </w:r>
          <w:r>
            <w:fldChar w:fldCharType="separate"/>
          </w:r>
          <w:r>
            <w:t>5</w:t>
          </w:r>
          <w:r>
            <w:fldChar w:fldCharType="end"/>
          </w:r>
          <w:r>
            <w:fldChar w:fldCharType="end"/>
          </w:r>
        </w:p>
        <w:p w14:paraId="70B96205">
          <w:pPr>
            <w:pStyle w:val="16"/>
            <w:tabs>
              <w:tab w:val="right" w:leader="dot" w:pos="8306"/>
            </w:tabs>
          </w:pPr>
          <w:r>
            <w:fldChar w:fldCharType="begin"/>
          </w:r>
          <w:r>
            <w:instrText xml:space="preserve"> HYPERLINK \l _Toc21672 </w:instrText>
          </w:r>
          <w:r>
            <w:fldChar w:fldCharType="separate"/>
          </w:r>
          <w:r>
            <w:rPr>
              <w:rFonts w:hint="default"/>
              <w:lang w:val="en-US" w:eastAsia="zh-CN"/>
            </w:rPr>
            <w:t>3. 内审流程</w:t>
          </w:r>
          <w:r>
            <w:tab/>
          </w:r>
          <w:r>
            <w:fldChar w:fldCharType="begin"/>
          </w:r>
          <w:r>
            <w:instrText xml:space="preserve"> PAGEREF _Toc21672 \h </w:instrText>
          </w:r>
          <w:r>
            <w:fldChar w:fldCharType="separate"/>
          </w:r>
          <w:r>
            <w:t>6</w:t>
          </w:r>
          <w:r>
            <w:fldChar w:fldCharType="end"/>
          </w:r>
          <w:r>
            <w:fldChar w:fldCharType="end"/>
          </w:r>
        </w:p>
        <w:p w14:paraId="1899DA1B">
          <w:pPr>
            <w:pStyle w:val="17"/>
            <w:tabs>
              <w:tab w:val="right" w:leader="dot" w:pos="8306"/>
            </w:tabs>
          </w:pPr>
          <w:r>
            <w:fldChar w:fldCharType="begin"/>
          </w:r>
          <w:r>
            <w:instrText xml:space="preserve"> HYPERLINK \l _Toc29898 </w:instrText>
          </w:r>
          <w:r>
            <w:fldChar w:fldCharType="separate"/>
          </w:r>
          <w:r>
            <w:rPr>
              <w:rFonts w:hint="default"/>
              <w:lang w:val="en-US" w:eastAsia="zh-CN"/>
            </w:rPr>
            <w:t>3.1. 启动内审</w:t>
          </w:r>
          <w:r>
            <w:tab/>
          </w:r>
          <w:r>
            <w:fldChar w:fldCharType="begin"/>
          </w:r>
          <w:r>
            <w:instrText xml:space="preserve"> PAGEREF _Toc29898 \h </w:instrText>
          </w:r>
          <w:r>
            <w:fldChar w:fldCharType="separate"/>
          </w:r>
          <w:r>
            <w:t>6</w:t>
          </w:r>
          <w:r>
            <w:fldChar w:fldCharType="end"/>
          </w:r>
          <w:r>
            <w:fldChar w:fldCharType="end"/>
          </w:r>
        </w:p>
        <w:p w14:paraId="5CDF3E69">
          <w:pPr>
            <w:pStyle w:val="13"/>
            <w:tabs>
              <w:tab w:val="right" w:leader="dot" w:pos="8306"/>
            </w:tabs>
          </w:pPr>
          <w:r>
            <w:fldChar w:fldCharType="begin"/>
          </w:r>
          <w:r>
            <w:instrText xml:space="preserve"> HYPERLINK \l _Toc29991 </w:instrText>
          </w:r>
          <w:r>
            <w:fldChar w:fldCharType="separate"/>
          </w:r>
          <w:r>
            <w:rPr>
              <w:rFonts w:hint="default"/>
              <w:lang w:val="en-US" w:eastAsia="zh-CN"/>
            </w:rPr>
            <w:t>3.1.1. 确定内审组成员</w:t>
          </w:r>
          <w:r>
            <w:tab/>
          </w:r>
          <w:r>
            <w:fldChar w:fldCharType="begin"/>
          </w:r>
          <w:r>
            <w:instrText xml:space="preserve"> PAGEREF _Toc29991 \h </w:instrText>
          </w:r>
          <w:r>
            <w:fldChar w:fldCharType="separate"/>
          </w:r>
          <w:r>
            <w:t>6</w:t>
          </w:r>
          <w:r>
            <w:fldChar w:fldCharType="end"/>
          </w:r>
          <w:r>
            <w:fldChar w:fldCharType="end"/>
          </w:r>
        </w:p>
        <w:p w14:paraId="10714690">
          <w:pPr>
            <w:pStyle w:val="13"/>
            <w:tabs>
              <w:tab w:val="right" w:leader="dot" w:pos="8306"/>
            </w:tabs>
          </w:pPr>
          <w:r>
            <w:fldChar w:fldCharType="begin"/>
          </w:r>
          <w:r>
            <w:instrText xml:space="preserve"> HYPERLINK \l _Toc2292 </w:instrText>
          </w:r>
          <w:r>
            <w:fldChar w:fldCharType="separate"/>
          </w:r>
          <w:r>
            <w:rPr>
              <w:rFonts w:hint="default"/>
              <w:lang w:val="en-US" w:eastAsia="zh-CN"/>
            </w:rPr>
            <w:t>3.1.2. 准备内审计划</w:t>
          </w:r>
          <w:r>
            <w:tab/>
          </w:r>
          <w:r>
            <w:fldChar w:fldCharType="begin"/>
          </w:r>
          <w:r>
            <w:instrText xml:space="preserve"> PAGEREF _Toc2292 \h </w:instrText>
          </w:r>
          <w:r>
            <w:fldChar w:fldCharType="separate"/>
          </w:r>
          <w:r>
            <w:t>6</w:t>
          </w:r>
          <w:r>
            <w:fldChar w:fldCharType="end"/>
          </w:r>
          <w:r>
            <w:fldChar w:fldCharType="end"/>
          </w:r>
        </w:p>
        <w:p w14:paraId="2275E96D">
          <w:pPr>
            <w:pStyle w:val="13"/>
            <w:tabs>
              <w:tab w:val="right" w:leader="dot" w:pos="8306"/>
            </w:tabs>
          </w:pPr>
          <w:r>
            <w:fldChar w:fldCharType="begin"/>
          </w:r>
          <w:r>
            <w:instrText xml:space="preserve"> HYPERLINK \l _Toc10576 </w:instrText>
          </w:r>
          <w:r>
            <w:fldChar w:fldCharType="separate"/>
          </w:r>
          <w:r>
            <w:rPr>
              <w:rFonts w:hint="default"/>
              <w:lang w:val="en-US" w:eastAsia="zh-CN"/>
            </w:rPr>
            <w:t>3.1.3. 通知被审核部门</w:t>
          </w:r>
          <w:r>
            <w:tab/>
          </w:r>
          <w:r>
            <w:fldChar w:fldCharType="begin"/>
          </w:r>
          <w:r>
            <w:instrText xml:space="preserve"> PAGEREF _Toc10576 \h </w:instrText>
          </w:r>
          <w:r>
            <w:fldChar w:fldCharType="separate"/>
          </w:r>
          <w:r>
            <w:t>6</w:t>
          </w:r>
          <w:r>
            <w:fldChar w:fldCharType="end"/>
          </w:r>
          <w:r>
            <w:fldChar w:fldCharType="end"/>
          </w:r>
        </w:p>
        <w:p w14:paraId="09990E72">
          <w:pPr>
            <w:pStyle w:val="13"/>
            <w:tabs>
              <w:tab w:val="right" w:leader="dot" w:pos="8306"/>
            </w:tabs>
          </w:pPr>
          <w:r>
            <w:fldChar w:fldCharType="begin"/>
          </w:r>
          <w:r>
            <w:instrText xml:space="preserve"> HYPERLINK \l _Toc9631 </w:instrText>
          </w:r>
          <w:r>
            <w:fldChar w:fldCharType="separate"/>
          </w:r>
          <w:r>
            <w:rPr>
              <w:rFonts w:hint="default"/>
              <w:lang w:val="en-US" w:eastAsia="zh-CN"/>
            </w:rPr>
            <w:t>3.1.4. 被审核部门回复</w:t>
          </w:r>
          <w:r>
            <w:tab/>
          </w:r>
          <w:r>
            <w:fldChar w:fldCharType="begin"/>
          </w:r>
          <w:r>
            <w:instrText xml:space="preserve"> PAGEREF _Toc9631 \h </w:instrText>
          </w:r>
          <w:r>
            <w:fldChar w:fldCharType="separate"/>
          </w:r>
          <w:r>
            <w:t>6</w:t>
          </w:r>
          <w:r>
            <w:fldChar w:fldCharType="end"/>
          </w:r>
          <w:r>
            <w:fldChar w:fldCharType="end"/>
          </w:r>
        </w:p>
        <w:p w14:paraId="0E7362C1">
          <w:pPr>
            <w:pStyle w:val="17"/>
            <w:tabs>
              <w:tab w:val="right" w:leader="dot" w:pos="8306"/>
            </w:tabs>
          </w:pPr>
          <w:r>
            <w:fldChar w:fldCharType="begin"/>
          </w:r>
          <w:r>
            <w:instrText xml:space="preserve"> HYPERLINK \l _Toc1659 </w:instrText>
          </w:r>
          <w:r>
            <w:fldChar w:fldCharType="separate"/>
          </w:r>
          <w:r>
            <w:rPr>
              <w:rFonts w:hint="default"/>
              <w:lang w:val="en-US" w:eastAsia="zh-CN"/>
            </w:rPr>
            <w:t>3.2. 实施内审</w:t>
          </w:r>
          <w:r>
            <w:tab/>
          </w:r>
          <w:r>
            <w:fldChar w:fldCharType="begin"/>
          </w:r>
          <w:r>
            <w:instrText xml:space="preserve"> PAGEREF _Toc1659 \h </w:instrText>
          </w:r>
          <w:r>
            <w:fldChar w:fldCharType="separate"/>
          </w:r>
          <w:r>
            <w:t>6</w:t>
          </w:r>
          <w:r>
            <w:fldChar w:fldCharType="end"/>
          </w:r>
          <w:r>
            <w:fldChar w:fldCharType="end"/>
          </w:r>
        </w:p>
        <w:p w14:paraId="01F2E320">
          <w:pPr>
            <w:pStyle w:val="13"/>
            <w:tabs>
              <w:tab w:val="right" w:leader="dot" w:pos="8306"/>
            </w:tabs>
          </w:pPr>
          <w:r>
            <w:fldChar w:fldCharType="begin"/>
          </w:r>
          <w:r>
            <w:instrText xml:space="preserve"> HYPERLINK \l _Toc22718 </w:instrText>
          </w:r>
          <w:r>
            <w:fldChar w:fldCharType="separate"/>
          </w:r>
          <w:r>
            <w:rPr>
              <w:rFonts w:hint="default"/>
              <w:lang w:val="en-US" w:eastAsia="zh-CN"/>
            </w:rPr>
            <w:t>3.2.1. 首次会议</w:t>
          </w:r>
          <w:r>
            <w:tab/>
          </w:r>
          <w:r>
            <w:fldChar w:fldCharType="begin"/>
          </w:r>
          <w:r>
            <w:instrText xml:space="preserve"> PAGEREF _Toc22718 \h </w:instrText>
          </w:r>
          <w:r>
            <w:fldChar w:fldCharType="separate"/>
          </w:r>
          <w:r>
            <w:t>6</w:t>
          </w:r>
          <w:r>
            <w:fldChar w:fldCharType="end"/>
          </w:r>
          <w:r>
            <w:fldChar w:fldCharType="end"/>
          </w:r>
        </w:p>
        <w:p w14:paraId="6F31B7B5">
          <w:pPr>
            <w:pStyle w:val="13"/>
            <w:tabs>
              <w:tab w:val="right" w:leader="dot" w:pos="8306"/>
            </w:tabs>
          </w:pPr>
          <w:r>
            <w:fldChar w:fldCharType="begin"/>
          </w:r>
          <w:r>
            <w:instrText xml:space="preserve"> HYPERLINK \l _Toc24797 </w:instrText>
          </w:r>
          <w:r>
            <w:fldChar w:fldCharType="separate"/>
          </w:r>
          <w:r>
            <w:rPr>
              <w:rFonts w:hint="default"/>
              <w:lang w:val="en-US" w:eastAsia="zh-CN"/>
            </w:rPr>
            <w:t>3.2.2. 执行内审</w:t>
          </w:r>
          <w:r>
            <w:tab/>
          </w:r>
          <w:r>
            <w:fldChar w:fldCharType="begin"/>
          </w:r>
          <w:r>
            <w:instrText xml:space="preserve"> PAGEREF _Toc24797 \h </w:instrText>
          </w:r>
          <w:r>
            <w:fldChar w:fldCharType="separate"/>
          </w:r>
          <w:r>
            <w:t>7</w:t>
          </w:r>
          <w:r>
            <w:fldChar w:fldCharType="end"/>
          </w:r>
          <w:r>
            <w:fldChar w:fldCharType="end"/>
          </w:r>
        </w:p>
        <w:p w14:paraId="515CDAAA">
          <w:pPr>
            <w:pStyle w:val="13"/>
            <w:tabs>
              <w:tab w:val="right" w:leader="dot" w:pos="8306"/>
            </w:tabs>
          </w:pPr>
          <w:r>
            <w:fldChar w:fldCharType="begin"/>
          </w:r>
          <w:r>
            <w:instrText xml:space="preserve"> HYPERLINK \l _Toc29565 </w:instrText>
          </w:r>
          <w:r>
            <w:fldChar w:fldCharType="separate"/>
          </w:r>
          <w:r>
            <w:rPr>
              <w:rFonts w:hint="default"/>
              <w:lang w:val="en-US" w:eastAsia="zh-CN"/>
            </w:rPr>
            <w:t>3.2.3. 内审组会议</w:t>
          </w:r>
          <w:r>
            <w:tab/>
          </w:r>
          <w:r>
            <w:fldChar w:fldCharType="begin"/>
          </w:r>
          <w:r>
            <w:instrText xml:space="preserve"> PAGEREF _Toc29565 \h </w:instrText>
          </w:r>
          <w:r>
            <w:fldChar w:fldCharType="separate"/>
          </w:r>
          <w:r>
            <w:t>7</w:t>
          </w:r>
          <w:r>
            <w:fldChar w:fldCharType="end"/>
          </w:r>
          <w:r>
            <w:fldChar w:fldCharType="end"/>
          </w:r>
        </w:p>
        <w:p w14:paraId="02215288">
          <w:pPr>
            <w:pStyle w:val="13"/>
            <w:tabs>
              <w:tab w:val="right" w:leader="dot" w:pos="8306"/>
            </w:tabs>
          </w:pPr>
          <w:r>
            <w:fldChar w:fldCharType="begin"/>
          </w:r>
          <w:r>
            <w:instrText xml:space="preserve"> HYPERLINK \l _Toc917 </w:instrText>
          </w:r>
          <w:r>
            <w:fldChar w:fldCharType="separate"/>
          </w:r>
          <w:r>
            <w:rPr>
              <w:rFonts w:hint="default"/>
              <w:lang w:val="en-US" w:eastAsia="zh-CN"/>
            </w:rPr>
            <w:t>3.2.4. 末次会议</w:t>
          </w:r>
          <w:r>
            <w:tab/>
          </w:r>
          <w:r>
            <w:fldChar w:fldCharType="begin"/>
          </w:r>
          <w:r>
            <w:instrText xml:space="preserve"> PAGEREF _Toc917 \h </w:instrText>
          </w:r>
          <w:r>
            <w:fldChar w:fldCharType="separate"/>
          </w:r>
          <w:r>
            <w:t>7</w:t>
          </w:r>
          <w:r>
            <w:fldChar w:fldCharType="end"/>
          </w:r>
          <w:r>
            <w:fldChar w:fldCharType="end"/>
          </w:r>
        </w:p>
        <w:p w14:paraId="0DE641C5">
          <w:pPr>
            <w:pStyle w:val="17"/>
            <w:tabs>
              <w:tab w:val="right" w:leader="dot" w:pos="8306"/>
            </w:tabs>
          </w:pPr>
          <w:r>
            <w:fldChar w:fldCharType="begin"/>
          </w:r>
          <w:r>
            <w:instrText xml:space="preserve"> HYPERLINK \l _Toc24725 </w:instrText>
          </w:r>
          <w:r>
            <w:fldChar w:fldCharType="separate"/>
          </w:r>
          <w:r>
            <w:rPr>
              <w:rFonts w:hint="default"/>
              <w:lang w:val="en-US" w:eastAsia="zh-CN"/>
            </w:rPr>
            <w:t>3.3. 结束审核</w:t>
          </w:r>
          <w:r>
            <w:tab/>
          </w:r>
          <w:r>
            <w:fldChar w:fldCharType="begin"/>
          </w:r>
          <w:r>
            <w:instrText xml:space="preserve"> PAGEREF _Toc24725 \h </w:instrText>
          </w:r>
          <w:r>
            <w:fldChar w:fldCharType="separate"/>
          </w:r>
          <w:r>
            <w:t>7</w:t>
          </w:r>
          <w:r>
            <w:fldChar w:fldCharType="end"/>
          </w:r>
          <w:r>
            <w:fldChar w:fldCharType="end"/>
          </w:r>
        </w:p>
        <w:p w14:paraId="7121B5B0">
          <w:pPr>
            <w:pStyle w:val="16"/>
            <w:tabs>
              <w:tab w:val="right" w:leader="dot" w:pos="8306"/>
            </w:tabs>
          </w:pPr>
          <w:r>
            <w:fldChar w:fldCharType="begin"/>
          </w:r>
          <w:r>
            <w:instrText xml:space="preserve"> HYPERLINK \l _Toc12843 </w:instrText>
          </w:r>
          <w:r>
            <w:fldChar w:fldCharType="separate"/>
          </w:r>
          <w:r>
            <w:rPr>
              <w:rFonts w:hint="default"/>
              <w:lang w:val="en-US" w:eastAsia="zh-CN"/>
            </w:rPr>
            <w:t>4. 内审员要求</w:t>
          </w:r>
          <w:r>
            <w:tab/>
          </w:r>
          <w:r>
            <w:fldChar w:fldCharType="begin"/>
          </w:r>
          <w:r>
            <w:instrText xml:space="preserve"> PAGEREF _Toc12843 \h </w:instrText>
          </w:r>
          <w:r>
            <w:fldChar w:fldCharType="separate"/>
          </w:r>
          <w:r>
            <w:t>7</w:t>
          </w:r>
          <w:r>
            <w:fldChar w:fldCharType="end"/>
          </w:r>
          <w:r>
            <w:fldChar w:fldCharType="end"/>
          </w:r>
        </w:p>
        <w:p w14:paraId="5E0EB8D3">
          <w:pPr>
            <w:pStyle w:val="16"/>
            <w:tabs>
              <w:tab w:val="right" w:leader="dot" w:pos="8306"/>
            </w:tabs>
          </w:pPr>
          <w:r>
            <w:fldChar w:fldCharType="begin"/>
          </w:r>
          <w:r>
            <w:instrText xml:space="preserve"> HYPERLINK \l _Toc4701 </w:instrText>
          </w:r>
          <w:r>
            <w:fldChar w:fldCharType="separate"/>
          </w:r>
          <w:r>
            <w:rPr>
              <w:rFonts w:hint="default"/>
              <w:lang w:val="en-US" w:eastAsia="zh-CN"/>
            </w:rPr>
            <w:t xml:space="preserve">5. </w:t>
          </w:r>
          <w:r>
            <w:rPr>
              <w:rFonts w:hint="eastAsia"/>
              <w:lang w:val="en-US" w:eastAsia="zh-CN"/>
            </w:rPr>
            <w:t>KPI指标</w:t>
          </w:r>
          <w:r>
            <w:tab/>
          </w:r>
          <w:r>
            <w:fldChar w:fldCharType="begin"/>
          </w:r>
          <w:r>
            <w:instrText xml:space="preserve"> PAGEREF _Toc4701 \h </w:instrText>
          </w:r>
          <w:r>
            <w:fldChar w:fldCharType="separate"/>
          </w:r>
          <w:r>
            <w:t>8</w:t>
          </w:r>
          <w:r>
            <w:fldChar w:fldCharType="end"/>
          </w:r>
          <w:r>
            <w:fldChar w:fldCharType="end"/>
          </w:r>
        </w:p>
        <w:p w14:paraId="2EBD3524">
          <w:pPr>
            <w:pStyle w:val="16"/>
            <w:tabs>
              <w:tab w:val="right" w:leader="dot" w:pos="8306"/>
            </w:tabs>
          </w:pPr>
          <w:r>
            <w:fldChar w:fldCharType="begin"/>
          </w:r>
          <w:r>
            <w:instrText xml:space="preserve"> HYPERLINK \l _Toc1752 </w:instrText>
          </w:r>
          <w:r>
            <w:fldChar w:fldCharType="separate"/>
          </w:r>
          <w:r>
            <w:rPr>
              <w:rFonts w:hint="default"/>
              <w:lang w:val="en-US" w:eastAsia="zh-CN"/>
            </w:rPr>
            <w:t>6. 相关文件</w:t>
          </w:r>
          <w:r>
            <w:tab/>
          </w:r>
          <w:r>
            <w:fldChar w:fldCharType="begin"/>
          </w:r>
          <w:r>
            <w:instrText xml:space="preserve"> PAGEREF _Toc1752 \h </w:instrText>
          </w:r>
          <w:r>
            <w:fldChar w:fldCharType="separate"/>
          </w:r>
          <w:r>
            <w:t>8</w:t>
          </w:r>
          <w:r>
            <w:fldChar w:fldCharType="end"/>
          </w:r>
          <w:r>
            <w:fldChar w:fldCharType="end"/>
          </w:r>
        </w:p>
        <w:p w14:paraId="35B91DA5">
          <w:pPr>
            <w:rPr>
              <w:rFonts w:hint="default"/>
              <w:lang w:val="en-US" w:eastAsia="zh-CN"/>
            </w:rPr>
          </w:pPr>
          <w:r>
            <w:fldChar w:fldCharType="end"/>
          </w:r>
        </w:p>
      </w:sdtContent>
    </w:sdt>
    <w:p w14:paraId="2469D4AA">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8767"/>
      <w:r>
        <w:rPr>
          <w:rFonts w:hint="default"/>
          <w:lang w:val="en-US" w:eastAsia="zh-CN"/>
        </w:rPr>
        <w:t>概述</w:t>
      </w:r>
      <w:bookmarkEnd w:id="4"/>
    </w:p>
    <w:p w14:paraId="3B8DC29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8932"/>
      <w:r>
        <w:rPr>
          <w:rFonts w:hint="default"/>
          <w:lang w:val="en-US" w:eastAsia="zh-CN"/>
        </w:rPr>
        <w:t>目的</w:t>
      </w:r>
      <w:bookmarkEnd w:id="5"/>
    </w:p>
    <w:p w14:paraId="63C0897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通过规范内部审核机制，确保体系的符合性和有效性，并得到持续改进。</w:t>
      </w:r>
    </w:p>
    <w:p w14:paraId="292F248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6426"/>
      <w:r>
        <w:rPr>
          <w:rFonts w:hint="default"/>
          <w:lang w:val="en-US" w:eastAsia="zh-CN"/>
        </w:rPr>
        <w:t>适用范围</w:t>
      </w:r>
      <w:bookmarkEnd w:id="6"/>
    </w:p>
    <w:p w14:paraId="7E2D430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适用于本公司运维管理体系内部的审核。</w:t>
      </w:r>
    </w:p>
    <w:p w14:paraId="32CC92D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14770"/>
      <w:r>
        <w:rPr>
          <w:rFonts w:hint="default"/>
          <w:lang w:val="en-US" w:eastAsia="zh-CN"/>
        </w:rPr>
        <w:t>职责</w:t>
      </w:r>
      <w:bookmarkEnd w:id="7"/>
    </w:p>
    <w:p w14:paraId="74C5FAF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19243"/>
      <w:r>
        <w:rPr>
          <w:rFonts w:hint="default"/>
          <w:lang w:val="en-US" w:eastAsia="zh-CN"/>
        </w:rPr>
        <w:t>总经理</w:t>
      </w:r>
      <w:bookmarkEnd w:id="8"/>
    </w:p>
    <w:p w14:paraId="4065322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负责年度审核计划的批准，任命内部审核员。</w:t>
      </w:r>
    </w:p>
    <w:p w14:paraId="038B322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1583"/>
      <w:r>
        <w:rPr>
          <w:rFonts w:hint="default"/>
          <w:lang w:val="en-US" w:eastAsia="zh-CN"/>
        </w:rPr>
        <w:t>管理者代表</w:t>
      </w:r>
      <w:bookmarkEnd w:id="9"/>
    </w:p>
    <w:p w14:paraId="72C5633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负责审核年度审核计划，任命审核组长，确定审核组成员，组织落实纠正措施，并向总经理汇报内部审核情况。</w:t>
      </w:r>
    </w:p>
    <w:p w14:paraId="7210977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27465"/>
      <w:r>
        <w:rPr>
          <w:rFonts w:hint="default"/>
          <w:lang w:val="en-US" w:eastAsia="zh-CN"/>
        </w:rPr>
        <w:t>质量部</w:t>
      </w:r>
      <w:bookmarkEnd w:id="10"/>
    </w:p>
    <w:p w14:paraId="274B6B5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质量部</w:t>
      </w:r>
      <w:r>
        <w:rPr>
          <w:rFonts w:hint="default"/>
          <w:lang w:val="en-US" w:eastAsia="zh-CN"/>
        </w:rPr>
        <w:t>负责编制年度审核计划、实施计划，负责内部审核资料的保管。协助组织对审核员的培训、聘任等工作。</w:t>
      </w:r>
    </w:p>
    <w:p w14:paraId="0DF5996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3131"/>
      <w:r>
        <w:rPr>
          <w:rFonts w:hint="default"/>
          <w:lang w:val="en-US" w:eastAsia="zh-CN"/>
        </w:rPr>
        <w:t>审核组长</w:t>
      </w:r>
      <w:bookmarkEnd w:id="11"/>
    </w:p>
    <w:p w14:paraId="01B5E07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负责组织实施现场审核、编制内部审核报告，验证纠正措施的效果、整理现场审核形成的全部记录。</w:t>
      </w:r>
    </w:p>
    <w:p w14:paraId="376EFB8E">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16529"/>
      <w:r>
        <w:rPr>
          <w:rFonts w:hint="eastAsia"/>
          <w:lang w:val="en-US" w:eastAsia="zh-CN"/>
        </w:rPr>
        <w:t>其他运维相关部门</w:t>
      </w:r>
      <w:bookmarkEnd w:id="12"/>
    </w:p>
    <w:p w14:paraId="595F21A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负责提交内审相关材料，各类运维相关记录文件。</w:t>
      </w:r>
    </w:p>
    <w:p w14:paraId="0F1CE606">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1596"/>
      <w:r>
        <w:rPr>
          <w:rFonts w:hint="default"/>
          <w:lang w:val="en-US" w:eastAsia="zh-CN"/>
        </w:rPr>
        <w:t>制定年度内审计划</w:t>
      </w:r>
      <w:bookmarkEnd w:id="13"/>
    </w:p>
    <w:p w14:paraId="4DFD732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质量部</w:t>
      </w:r>
      <w:r>
        <w:rPr>
          <w:rFonts w:hint="default"/>
          <w:lang w:val="en-US" w:eastAsia="zh-CN"/>
        </w:rPr>
        <w:t>于内审实施前，编制内审计划，记录于《内审计划表》，提交至管理者代表审批，审批通过后的年度计划将下发至各部门作为下一年内审工作安排指导。</w:t>
      </w:r>
    </w:p>
    <w:p w14:paraId="03AEE61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年度内审计划必须包括管理体系所涉及的所有过程和部门，一般情况下，对各部门的内部审核每年不少于一次。</w:t>
      </w:r>
    </w:p>
    <w:p w14:paraId="1DD971A1">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21672"/>
      <w:r>
        <w:rPr>
          <w:rFonts w:hint="default"/>
          <w:lang w:val="en-US" w:eastAsia="zh-CN"/>
        </w:rPr>
        <w:t>内审流程</w:t>
      </w:r>
      <w:bookmarkEnd w:id="14"/>
    </w:p>
    <w:p w14:paraId="0C6DA9D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29898"/>
      <w:r>
        <w:rPr>
          <w:rFonts w:hint="default"/>
          <w:lang w:val="en-US" w:eastAsia="zh-CN"/>
        </w:rPr>
        <w:t>启动内审</w:t>
      </w:r>
      <w:bookmarkEnd w:id="15"/>
    </w:p>
    <w:p w14:paraId="7E53EF1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29991"/>
      <w:r>
        <w:rPr>
          <w:rFonts w:hint="default"/>
          <w:lang w:val="en-US" w:eastAsia="zh-CN"/>
        </w:rPr>
        <w:t>确定内审组成员</w:t>
      </w:r>
      <w:bookmarkEnd w:id="16"/>
    </w:p>
    <w:p w14:paraId="6DBE0DE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任命内审组组长，通常情况下，</w:t>
      </w:r>
      <w:r>
        <w:rPr>
          <w:rFonts w:hint="eastAsia"/>
          <w:lang w:val="en-US" w:eastAsia="zh-CN"/>
        </w:rPr>
        <w:t>质量部</w:t>
      </w:r>
      <w:r>
        <w:rPr>
          <w:rFonts w:hint="default"/>
          <w:lang w:val="en-US" w:eastAsia="zh-CN"/>
        </w:rPr>
        <w:t>负责人担任内审组组长；选择具有内审员资格的人组成内审组。</w:t>
      </w:r>
    </w:p>
    <w:p w14:paraId="328ED33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2292"/>
      <w:r>
        <w:rPr>
          <w:rFonts w:hint="default"/>
          <w:lang w:val="en-US" w:eastAsia="zh-CN"/>
        </w:rPr>
        <w:t>准备内审计划</w:t>
      </w:r>
      <w:bookmarkEnd w:id="17"/>
    </w:p>
    <w:p w14:paraId="67E0C2A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将审核目的、审核部门、会议地点和审核时间安排等记录于《内审计划表》，将关键指标、审核要点等记录于《内审检查表》。</w:t>
      </w:r>
    </w:p>
    <w:p w14:paraId="604F1F9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10576"/>
      <w:r>
        <w:rPr>
          <w:rFonts w:hint="default"/>
          <w:lang w:val="en-US" w:eastAsia="zh-CN"/>
        </w:rPr>
        <w:t>通知被审核部门</w:t>
      </w:r>
      <w:bookmarkEnd w:id="18"/>
    </w:p>
    <w:p w14:paraId="35A384A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内审组应至少提前三天向被审核部门发出内审通知，说明审核时间和重点，内审通知应附带《年度内审计划表》、《审核安排计划表》和《内审检查表》。</w:t>
      </w:r>
    </w:p>
    <w:p w14:paraId="5D4FD43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9631"/>
      <w:r>
        <w:rPr>
          <w:rFonts w:hint="default"/>
          <w:lang w:val="en-US" w:eastAsia="zh-CN"/>
        </w:rPr>
        <w:t>被审核部门回复</w:t>
      </w:r>
      <w:bookmarkEnd w:id="19"/>
    </w:p>
    <w:p w14:paraId="3122857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被审核部门接到内审通知后，如果对内审通知的内容有异议，可在两天之内通知内审组，双方经过协商达成一致后可对内审计划另行安排。被审核部门应做好必要的准备工作并指定至少一名陪同人员协助内审。</w:t>
      </w:r>
    </w:p>
    <w:p w14:paraId="1925ED5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0" w:name="_Toc1659"/>
      <w:r>
        <w:rPr>
          <w:rFonts w:hint="default"/>
          <w:lang w:val="en-US" w:eastAsia="zh-CN"/>
        </w:rPr>
        <w:t>实施内审</w:t>
      </w:r>
      <w:bookmarkEnd w:id="20"/>
    </w:p>
    <w:p w14:paraId="75B8820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1" w:name="_Toc22718"/>
      <w:r>
        <w:rPr>
          <w:rFonts w:hint="default"/>
          <w:lang w:val="en-US" w:eastAsia="zh-CN"/>
        </w:rPr>
        <w:t>首次会议</w:t>
      </w:r>
      <w:bookmarkEnd w:id="21"/>
    </w:p>
    <w:p w14:paraId="4A49347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内审组组长主持召开首次会议，向被审核部门说明本次内审目的、具体安排和注意事项。</w:t>
      </w:r>
    </w:p>
    <w:p w14:paraId="373CA01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2" w:name="_Toc24797"/>
      <w:r>
        <w:rPr>
          <w:rFonts w:hint="default"/>
          <w:lang w:val="en-US" w:eastAsia="zh-CN"/>
        </w:rPr>
        <w:t>执行内审</w:t>
      </w:r>
      <w:bookmarkEnd w:id="22"/>
    </w:p>
    <w:p w14:paraId="0B81B4A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首次会议后，内审组按照预先设定的审核内容进行审核，并记录所见事实。若发现与规定不符合的现象，应将事实记录于《不符合项报告》中。不符合项应得到被审核部门负责人的确认，以保证不符合项被完全理解，并有利于不符合现象的纠正。若发现虽然未违反有关规定，但有趋势发展成为不符合项的现象，内审员应将此类现象作为观察项记录并跟踪，以便采取措施积极预防此类现象的进一步发展。</w:t>
      </w:r>
    </w:p>
    <w:p w14:paraId="10E22C21">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3" w:name="_Toc29565"/>
      <w:r>
        <w:rPr>
          <w:rFonts w:hint="default"/>
          <w:lang w:val="en-US" w:eastAsia="zh-CN"/>
        </w:rPr>
        <w:t>内审组会议</w:t>
      </w:r>
      <w:bookmarkEnd w:id="23"/>
    </w:p>
    <w:p w14:paraId="21735E3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遇到问题时，内审组召开会议，统一意见；内审结束时，内审组召开会议，对内审的执行和完成情况进行总结，编写内审报告并记录于《内审报告》。</w:t>
      </w:r>
    </w:p>
    <w:p w14:paraId="6991069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4" w:name="_Toc917"/>
      <w:r>
        <w:rPr>
          <w:rFonts w:hint="default"/>
          <w:lang w:val="en-US" w:eastAsia="zh-CN"/>
        </w:rPr>
        <w:t>末次会议</w:t>
      </w:r>
      <w:bookmarkEnd w:id="24"/>
    </w:p>
    <w:p w14:paraId="1574EFC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内审组组长主持召开末次会议，向被审核部门通报此次审核的执行情况，报告内审发现和不符合项的种类和数量。被审核部门若对不符合项有疑义，且双方无法达成共识，可提交至公司管理层裁决。</w:t>
      </w:r>
    </w:p>
    <w:p w14:paraId="7FB7F8A2">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5" w:name="_Toc24725"/>
      <w:r>
        <w:rPr>
          <w:rFonts w:hint="default"/>
          <w:lang w:val="en-US" w:eastAsia="zh-CN"/>
        </w:rPr>
        <w:t>结束审核</w:t>
      </w:r>
      <w:bookmarkEnd w:id="25"/>
    </w:p>
    <w:p w14:paraId="53754122">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被审核部门应根据内审报告指出的问题制定切实可行的改进计划，记录于《持续改进计划表》，并在规定时间内将改进计划提交给内审组，并按期按改进计划的要求实施纠正。</w:t>
      </w:r>
    </w:p>
    <w:p w14:paraId="015595D3">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内审组接受持续改进计划并对被审核部门的改进计划的实施情况进行监督检查，验证其全部有效后，内审全部结束。</w:t>
      </w:r>
    </w:p>
    <w:p w14:paraId="3AF9AD1F">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内审的全部文件和记录由</w:t>
      </w:r>
      <w:r>
        <w:rPr>
          <w:rFonts w:hint="eastAsia"/>
          <w:lang w:val="en-US" w:eastAsia="zh-CN"/>
        </w:rPr>
        <w:t>质量部</w:t>
      </w:r>
      <w:r>
        <w:rPr>
          <w:rFonts w:hint="default"/>
          <w:lang w:val="en-US" w:eastAsia="zh-CN"/>
        </w:rPr>
        <w:t>存档，以保证记录和报告的保密性。</w:t>
      </w:r>
    </w:p>
    <w:p w14:paraId="72C2403D">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内审报告和改进计划将作为管理评审的输入之一。</w:t>
      </w:r>
    </w:p>
    <w:p w14:paraId="6BEE2B62">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6" w:name="_Toc12843"/>
      <w:r>
        <w:rPr>
          <w:rFonts w:hint="default"/>
          <w:lang w:val="en-US" w:eastAsia="zh-CN"/>
        </w:rPr>
        <w:t>内审员要求</w:t>
      </w:r>
      <w:bookmarkEnd w:id="26"/>
    </w:p>
    <w:p w14:paraId="46706700">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内审员要具有一定审核技能和知识，以保证达到审核目标。</w:t>
      </w:r>
    </w:p>
    <w:p w14:paraId="52146F64">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内审员应与被审核部门无直接责任关系。</w:t>
      </w:r>
    </w:p>
    <w:p w14:paraId="1CD48B99">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内审员不能审核自己的工作。</w:t>
      </w:r>
    </w:p>
    <w:p w14:paraId="21AB39B3">
      <w:pPr>
        <w:pStyle w:val="28"/>
        <w:bidi w:val="0"/>
        <w:rPr>
          <w:rFonts w:hint="default"/>
          <w:lang w:val="en-US" w:eastAsia="zh-CN"/>
        </w:rPr>
      </w:pPr>
      <w:bookmarkStart w:id="27" w:name="_Toc4701"/>
      <w:r>
        <w:rPr>
          <w:rFonts w:hint="eastAsia"/>
          <w:lang w:val="en-US" w:eastAsia="zh-CN"/>
        </w:rPr>
        <w:t>KPI指标</w:t>
      </w:r>
      <w:bookmarkEnd w:id="27"/>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36F71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6217D8B">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指标名称</w:t>
            </w:r>
          </w:p>
        </w:tc>
        <w:tc>
          <w:tcPr>
            <w:tcW w:w="2130" w:type="dxa"/>
          </w:tcPr>
          <w:p w14:paraId="24D34E61">
            <w:pPr>
              <w:pStyle w:val="29"/>
              <w:widowControl w:val="0"/>
              <w:rPr>
                <w:rFonts w:hint="default"/>
                <w:vertAlign w:val="baseline"/>
                <w:lang w:val="en-US" w:eastAsia="zh-CN"/>
              </w:rPr>
            </w:pPr>
            <w:r>
              <w:rPr>
                <w:rFonts w:hint="eastAsia"/>
                <w:vertAlign w:val="baseline"/>
                <w:lang w:val="en-US" w:eastAsia="zh-CN"/>
              </w:rPr>
              <w:t>计算方式</w:t>
            </w:r>
          </w:p>
        </w:tc>
        <w:tc>
          <w:tcPr>
            <w:tcW w:w="2131" w:type="dxa"/>
          </w:tcPr>
          <w:p w14:paraId="1A965A98">
            <w:pPr>
              <w:pStyle w:val="29"/>
              <w:widowControl w:val="0"/>
              <w:rPr>
                <w:rFonts w:hint="default"/>
                <w:vertAlign w:val="baseline"/>
                <w:lang w:val="en-US" w:eastAsia="zh-CN"/>
              </w:rPr>
            </w:pPr>
            <w:r>
              <w:rPr>
                <w:rFonts w:hint="eastAsia"/>
                <w:vertAlign w:val="baseline"/>
                <w:lang w:val="en-US" w:eastAsia="zh-CN"/>
              </w:rPr>
              <w:t>目标值</w:t>
            </w:r>
          </w:p>
        </w:tc>
        <w:tc>
          <w:tcPr>
            <w:tcW w:w="2131" w:type="dxa"/>
          </w:tcPr>
          <w:p w14:paraId="65667D46">
            <w:pPr>
              <w:pStyle w:val="29"/>
              <w:widowControl w:val="0"/>
              <w:rPr>
                <w:rFonts w:hint="default"/>
                <w:vertAlign w:val="baseline"/>
                <w:lang w:val="en-US" w:eastAsia="zh-CN"/>
              </w:rPr>
            </w:pPr>
            <w:r>
              <w:rPr>
                <w:rFonts w:hint="eastAsia"/>
                <w:vertAlign w:val="baseline"/>
                <w:lang w:val="en-US" w:eastAsia="zh-CN"/>
              </w:rPr>
              <w:t>考核周期</w:t>
            </w:r>
          </w:p>
        </w:tc>
      </w:tr>
      <w:tr w14:paraId="535D4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uto"/>
            <w:vAlign w:val="top"/>
          </w:tcPr>
          <w:p w14:paraId="1E47E241">
            <w:pPr>
              <w:pStyle w:val="27"/>
              <w:widowControl w:val="0"/>
              <w:spacing w:before="232" w:line="218" w:lineRule="auto"/>
              <w:ind w:left="403" w:leftChars="0"/>
              <w:rPr>
                <w:rFonts w:hint="default" w:ascii="宋体" w:hAnsi="宋体" w:eastAsia="宋体" w:cs="宋体"/>
                <w:snapToGrid w:val="0"/>
                <w:color w:val="000000"/>
                <w:kern w:val="0"/>
                <w:sz w:val="24"/>
                <w:szCs w:val="24"/>
                <w:lang w:val="en-US" w:eastAsia="zh-CN" w:bidi="ar-SA"/>
              </w:rPr>
            </w:pPr>
            <w:r>
              <w:rPr>
                <w:spacing w:val="-8"/>
                <w:sz w:val="24"/>
                <w:szCs w:val="24"/>
              </w:rPr>
              <w:t>内审覆盖率</w:t>
            </w:r>
          </w:p>
        </w:tc>
        <w:tc>
          <w:tcPr>
            <w:tcW w:w="2130" w:type="dxa"/>
            <w:shd w:val="clear" w:color="auto" w:fill="auto"/>
            <w:vAlign w:val="top"/>
          </w:tcPr>
          <w:p w14:paraId="73415B5F">
            <w:pPr>
              <w:pStyle w:val="27"/>
              <w:widowControl w:val="0"/>
              <w:spacing w:before="232" w:line="217" w:lineRule="auto"/>
              <w:rPr>
                <w:rFonts w:hint="default" w:ascii="宋体" w:hAnsi="宋体" w:eastAsia="宋体" w:cs="宋体"/>
                <w:snapToGrid w:val="0"/>
                <w:color w:val="000000"/>
                <w:kern w:val="0"/>
                <w:sz w:val="24"/>
                <w:szCs w:val="24"/>
                <w:lang w:val="en-US" w:eastAsia="zh-CN" w:bidi="ar-SA"/>
              </w:rPr>
            </w:pPr>
            <w:r>
              <w:rPr>
                <w:spacing w:val="-4"/>
                <w:sz w:val="24"/>
                <w:szCs w:val="24"/>
              </w:rPr>
              <w:t>内审受审核部门/体系覆盖部门</w:t>
            </w:r>
          </w:p>
        </w:tc>
        <w:tc>
          <w:tcPr>
            <w:tcW w:w="2131" w:type="dxa"/>
            <w:shd w:val="clear" w:color="auto" w:fill="auto"/>
            <w:vAlign w:val="top"/>
          </w:tcPr>
          <w:p w14:paraId="3061633B">
            <w:pPr>
              <w:pStyle w:val="27"/>
              <w:widowControl w:val="0"/>
              <w:spacing w:before="231" w:line="237" w:lineRule="auto"/>
              <w:ind w:left="221" w:leftChars="0"/>
              <w:rPr>
                <w:rFonts w:hint="default" w:ascii="宋体" w:hAnsi="宋体" w:eastAsia="宋体" w:cs="宋体"/>
                <w:snapToGrid w:val="0"/>
                <w:color w:val="000000"/>
                <w:kern w:val="0"/>
                <w:sz w:val="24"/>
                <w:szCs w:val="24"/>
                <w:lang w:val="en-US" w:eastAsia="zh-CN" w:bidi="ar-SA"/>
              </w:rPr>
            </w:pPr>
            <w:r>
              <w:rPr>
                <w:spacing w:val="-5"/>
                <w:sz w:val="24"/>
                <w:szCs w:val="24"/>
              </w:rPr>
              <w:t>100%</w:t>
            </w:r>
          </w:p>
        </w:tc>
        <w:tc>
          <w:tcPr>
            <w:tcW w:w="2131" w:type="dxa"/>
            <w:shd w:val="clear" w:color="auto" w:fill="auto"/>
            <w:vAlign w:val="top"/>
          </w:tcPr>
          <w:p w14:paraId="0762AC8F">
            <w:pPr>
              <w:pStyle w:val="27"/>
              <w:widowControl w:val="0"/>
              <w:spacing w:before="232" w:line="218" w:lineRule="auto"/>
              <w:ind w:left="162" w:leftChars="0"/>
              <w:rPr>
                <w:rFonts w:hint="default" w:ascii="宋体" w:hAnsi="宋体" w:eastAsia="宋体" w:cs="宋体"/>
                <w:snapToGrid w:val="0"/>
                <w:color w:val="000000"/>
                <w:kern w:val="0"/>
                <w:sz w:val="24"/>
                <w:szCs w:val="24"/>
                <w:lang w:val="en-US" w:eastAsia="zh-CN" w:bidi="ar-SA"/>
              </w:rPr>
            </w:pPr>
            <w:r>
              <w:rPr>
                <w:spacing w:val="-6"/>
                <w:sz w:val="24"/>
                <w:szCs w:val="24"/>
              </w:rPr>
              <w:t>年度</w:t>
            </w:r>
          </w:p>
        </w:tc>
      </w:tr>
    </w:tbl>
    <w:p w14:paraId="01B354E4">
      <w:pPr>
        <w:pStyle w:val="29"/>
        <w:rPr>
          <w:rFonts w:hint="default"/>
          <w:lang w:val="en-US" w:eastAsia="zh-CN"/>
        </w:rPr>
      </w:pPr>
    </w:p>
    <w:p w14:paraId="5733E2F6">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8" w:name="_Toc1752"/>
      <w:r>
        <w:rPr>
          <w:rFonts w:hint="default"/>
          <w:lang w:val="en-US" w:eastAsia="zh-CN"/>
        </w:rPr>
        <w:t>相关文件</w:t>
      </w:r>
      <w:bookmarkEnd w:id="28"/>
    </w:p>
    <w:p w14:paraId="0E32B49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《年度内审计划表》</w:t>
      </w:r>
    </w:p>
    <w:p w14:paraId="788C78D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《年度审核安排计划表》</w:t>
      </w:r>
    </w:p>
    <w:p w14:paraId="5A1E6AB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《内审检查表》</w:t>
      </w:r>
    </w:p>
    <w:p w14:paraId="3108549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《内审报告》</w:t>
      </w:r>
    </w:p>
    <w:p w14:paraId="7D2ECA5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《不符合项报告》</w:t>
      </w:r>
    </w:p>
    <w:p w14:paraId="315E7CD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《持续改进计划表》</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DAA42840"/>
    <w:multiLevelType w:val="singleLevel"/>
    <w:tmpl w:val="DAA42840"/>
    <w:lvl w:ilvl="0" w:tentative="0">
      <w:start w:val="1"/>
      <w:numFmt w:val="decimal"/>
      <w:lvlText w:val="%1."/>
      <w:lvlJc w:val="left"/>
      <w:pPr>
        <w:ind w:left="425" w:hanging="425"/>
      </w:pPr>
      <w:rPr>
        <w:rFonts w:hint="default"/>
      </w:rPr>
    </w:lvl>
  </w:abstractNum>
  <w:abstractNum w:abstractNumId="2">
    <w:nsid w:val="5760B9DF"/>
    <w:multiLevelType w:val="singleLevel"/>
    <w:tmpl w:val="5760B9DF"/>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7A149C"/>
    <w:rsid w:val="028440C8"/>
    <w:rsid w:val="03431E67"/>
    <w:rsid w:val="05B95683"/>
    <w:rsid w:val="0A2F0DBE"/>
    <w:rsid w:val="0E4B1F3E"/>
    <w:rsid w:val="0E7B2823"/>
    <w:rsid w:val="11743EDB"/>
    <w:rsid w:val="128E7347"/>
    <w:rsid w:val="157A28AF"/>
    <w:rsid w:val="16BB1304"/>
    <w:rsid w:val="1A4679FD"/>
    <w:rsid w:val="1A9A6727"/>
    <w:rsid w:val="1AC11F06"/>
    <w:rsid w:val="1C4C39E7"/>
    <w:rsid w:val="1CFA34AD"/>
    <w:rsid w:val="1D300C7D"/>
    <w:rsid w:val="202375CE"/>
    <w:rsid w:val="20D72EFF"/>
    <w:rsid w:val="21696E53"/>
    <w:rsid w:val="24286B52"/>
    <w:rsid w:val="248F710D"/>
    <w:rsid w:val="26976211"/>
    <w:rsid w:val="27FA6A57"/>
    <w:rsid w:val="295F4405"/>
    <w:rsid w:val="2B7D22D9"/>
    <w:rsid w:val="2FC260AC"/>
    <w:rsid w:val="32096215"/>
    <w:rsid w:val="32D22AAA"/>
    <w:rsid w:val="36B52BBF"/>
    <w:rsid w:val="3C0D4B53"/>
    <w:rsid w:val="407451A1"/>
    <w:rsid w:val="442C5D93"/>
    <w:rsid w:val="477C28E3"/>
    <w:rsid w:val="48F52D8D"/>
    <w:rsid w:val="49221512"/>
    <w:rsid w:val="4B1F2A17"/>
    <w:rsid w:val="4CD01739"/>
    <w:rsid w:val="4D495A2D"/>
    <w:rsid w:val="4DF21C30"/>
    <w:rsid w:val="4ED1072C"/>
    <w:rsid w:val="4F3501F1"/>
    <w:rsid w:val="50AF18DD"/>
    <w:rsid w:val="526B217C"/>
    <w:rsid w:val="53B27284"/>
    <w:rsid w:val="53B316E5"/>
    <w:rsid w:val="552A3C28"/>
    <w:rsid w:val="58733B38"/>
    <w:rsid w:val="5A5F4374"/>
    <w:rsid w:val="5ADC3C17"/>
    <w:rsid w:val="5AF2343A"/>
    <w:rsid w:val="5E8B1BDC"/>
    <w:rsid w:val="5F0B4ACB"/>
    <w:rsid w:val="5F3729F3"/>
    <w:rsid w:val="60001B6F"/>
    <w:rsid w:val="60FF41BB"/>
    <w:rsid w:val="62BA26D6"/>
    <w:rsid w:val="633C17DD"/>
    <w:rsid w:val="65120B64"/>
    <w:rsid w:val="66320C06"/>
    <w:rsid w:val="67511E0E"/>
    <w:rsid w:val="67564E5F"/>
    <w:rsid w:val="67780823"/>
    <w:rsid w:val="68ED228A"/>
    <w:rsid w:val="6A2D7FEB"/>
    <w:rsid w:val="6B340F05"/>
    <w:rsid w:val="6BF02D53"/>
    <w:rsid w:val="6CDE737B"/>
    <w:rsid w:val="6EB63269"/>
    <w:rsid w:val="6EDD6355"/>
    <w:rsid w:val="6F7C0E99"/>
    <w:rsid w:val="6F8F2BAE"/>
    <w:rsid w:val="73B34C8D"/>
    <w:rsid w:val="73B76908"/>
    <w:rsid w:val="74542618"/>
    <w:rsid w:val="76BB072D"/>
    <w:rsid w:val="76BD26F7"/>
    <w:rsid w:val="79314CD6"/>
    <w:rsid w:val="7A951295"/>
    <w:rsid w:val="7C1F350C"/>
    <w:rsid w:val="7C330D65"/>
    <w:rsid w:val="7C5C02BC"/>
    <w:rsid w:val="7CB67090"/>
    <w:rsid w:val="7D741635"/>
    <w:rsid w:val="7EA366EB"/>
    <w:rsid w:val="7EFB3DBC"/>
    <w:rsid w:val="7F3265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table" w:customStyle="1" w:styleId="42">
    <w:name w:val="Table Normal_0"/>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1722</Words>
  <Characters>1898</Characters>
  <Lines>0</Lines>
  <Paragraphs>0</Paragraphs>
  <TotalTime>0</TotalTime>
  <ScaleCrop>false</ScaleCrop>
  <LinksUpToDate>false</LinksUpToDate>
  <CharactersWithSpaces>2010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2025-09-06T12:49:00Z</dcterms:created>
  <dc:creator>18442</dc:creator>
  <cp:lastModifiedBy>郝宇</cp:lastModifiedBy>
  <dcterms:modified xsi:type="dcterms:W3CDTF">2025-12-23T03:42:06Z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0D32182671224755A6D4CE835A5A6EA6_12</vt:lpwstr>
  </property>
  <property fmtid="{D5CDD505-2E9C-101B-9397-08002B2CF9AE}" pid="4" name="KSOTemplateDocerSaveRecord">
    <vt:lpwstr>eyJoZGlkIjoiMDY5NmFjMmM4ZTljMGJiZDAxN2JmYTc0NGI0NmFiNDgiLCJ1c2VySWQiOiIxMDc1MzgyOSJ9</vt:lpwstr>
  </property>
</Properties>
</file>