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23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3"/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满意度调查报告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2025.10.14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2025.10.14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2025.10.14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10.14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10.14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82" w:type="dxa"/>
          </w:tcPr>
          <w:p w14:paraId="76E7ED73">
            <w:pPr>
              <w:pStyle w:val="27"/>
              <w:spacing w:before="230" w:line="237" w:lineRule="auto"/>
              <w:ind w:left="220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10.14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85F320F">
      <w:pPr>
        <w:pStyle w:val="30"/>
        <w:bidi w:val="0"/>
        <w:rPr>
          <w:rFonts w:hint="eastAsia"/>
        </w:rPr>
      </w:pPr>
      <w:bookmarkStart w:id="0" w:name="_Toc428823195"/>
      <w:bookmarkStart w:id="1" w:name="_Toc278555954"/>
      <w:bookmarkStart w:id="2" w:name="_Toc198622117"/>
      <w:bookmarkStart w:id="3" w:name="_Toc481913844"/>
      <w:r>
        <w:rPr>
          <w:rFonts w:hint="eastAsia"/>
        </w:rPr>
        <w:t>目的</w:t>
      </w:r>
      <w:bookmarkEnd w:id="0"/>
      <w:bookmarkEnd w:id="1"/>
      <w:bookmarkEnd w:id="2"/>
      <w:bookmarkEnd w:id="3"/>
    </w:p>
    <w:p w14:paraId="33450576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本次用户满意度调查由</w:t>
      </w:r>
      <w:r>
        <w:rPr>
          <w:rFonts w:hint="eastAsia" w:ascii="微软雅黑" w:hAnsi="微软雅黑" w:eastAsia="微软雅黑" w:cs="Arial"/>
          <w:sz w:val="24"/>
        </w:rPr>
        <w:t>北京万泰中联科技股份有限公司</w:t>
      </w:r>
      <w:r>
        <w:rPr>
          <w:rFonts w:hint="eastAsia" w:ascii="微软雅黑" w:hAnsi="微软雅黑" w:eastAsia="微软雅黑"/>
          <w:sz w:val="24"/>
        </w:rPr>
        <w:t>发起，面向运维服务的用户，用于解决以下问题：</w:t>
      </w:r>
    </w:p>
    <w:p w14:paraId="5D5AEEDE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评估</w:t>
      </w:r>
      <w:r>
        <w:rPr>
          <w:rFonts w:hint="eastAsia" w:ascii="微软雅黑" w:hAnsi="微软雅黑" w:eastAsia="微软雅黑" w:cs="Arial"/>
          <w:sz w:val="24"/>
        </w:rPr>
        <w:t>公司服务对象</w:t>
      </w:r>
      <w:r>
        <w:rPr>
          <w:rFonts w:hint="eastAsia" w:ascii="微软雅黑" w:hAnsi="微软雅黑" w:eastAsia="微软雅黑"/>
          <w:sz w:val="24"/>
        </w:rPr>
        <w:t>的满意度现状，用以衡量运维服务管理水平；</w:t>
      </w:r>
    </w:p>
    <w:p w14:paraId="1F5CE283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识别</w:t>
      </w:r>
      <w:r>
        <w:rPr>
          <w:rFonts w:hint="eastAsia" w:ascii="微软雅黑" w:hAnsi="微软雅黑" w:eastAsia="微软雅黑" w:cs="Arial"/>
          <w:sz w:val="24"/>
        </w:rPr>
        <w:t>公司运维服务</w:t>
      </w:r>
      <w:r>
        <w:rPr>
          <w:rFonts w:hint="eastAsia" w:ascii="微软雅黑" w:hAnsi="微软雅黑" w:eastAsia="微软雅黑"/>
          <w:sz w:val="24"/>
        </w:rPr>
        <w:t>团队改进运维服务的优先级，用以指导运维服务管理决策。</w:t>
      </w:r>
    </w:p>
    <w:p w14:paraId="05F0CD9E">
      <w:pPr>
        <w:pStyle w:val="30"/>
        <w:bidi w:val="0"/>
        <w:rPr>
          <w:rFonts w:hint="eastAsia"/>
        </w:rPr>
      </w:pPr>
      <w:bookmarkStart w:id="4" w:name="_Toc428823196"/>
      <w:bookmarkStart w:id="5" w:name="_Toc198622118"/>
      <w:bookmarkStart w:id="6" w:name="_Toc278555955"/>
      <w:bookmarkStart w:id="7" w:name="_Toc481913845"/>
      <w:r>
        <w:rPr>
          <w:rFonts w:hint="eastAsia"/>
          <w:lang w:eastAsia="zh-CN"/>
        </w:rPr>
        <w:t>调查</w:t>
      </w:r>
      <w:r>
        <w:rPr>
          <w:rFonts w:hint="eastAsia"/>
        </w:rPr>
        <w:t>时间</w:t>
      </w:r>
      <w:bookmarkEnd w:id="4"/>
      <w:bookmarkEnd w:id="5"/>
      <w:bookmarkEnd w:id="6"/>
      <w:bookmarkEnd w:id="7"/>
    </w:p>
    <w:p w14:paraId="5A9AF48E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 w:cs="Arial"/>
          <w:sz w:val="24"/>
        </w:rPr>
      </w:pPr>
      <w:r>
        <w:rPr>
          <w:rFonts w:hint="eastAsia" w:ascii="微软雅黑" w:hAnsi="微软雅黑" w:eastAsia="微软雅黑" w:cs="Arial"/>
          <w:sz w:val="24"/>
        </w:rPr>
        <w:t>发放及回收：</w:t>
      </w:r>
      <w:r>
        <w:rPr>
          <w:rFonts w:hint="eastAsia" w:ascii="微软雅黑" w:hAnsi="微软雅黑" w:eastAsia="微软雅黑" w:cs="Arial"/>
          <w:sz w:val="24"/>
          <w:lang w:val="en-US" w:eastAsia="zh-CN"/>
        </w:rPr>
        <w:t>2025-10-10</w:t>
      </w:r>
      <w:r>
        <w:rPr>
          <w:rFonts w:hint="eastAsia" w:ascii="微软雅黑" w:hAnsi="微软雅黑" w:eastAsia="微软雅黑" w:cs="Arial"/>
          <w:sz w:val="24"/>
        </w:rPr>
        <w:t xml:space="preserve"> </w:t>
      </w:r>
      <w:r>
        <w:rPr>
          <w:rFonts w:hint="eastAsia" w:ascii="微软雅黑" w:hAnsi="微软雅黑" w:eastAsia="微软雅黑" w:cs="Arial"/>
          <w:sz w:val="24"/>
          <w:lang w:val="en-US" w:eastAsia="zh-CN"/>
        </w:rPr>
        <w:t>至</w:t>
      </w:r>
      <w:r>
        <w:rPr>
          <w:rFonts w:hint="eastAsia" w:ascii="微软雅黑" w:hAnsi="微软雅黑" w:eastAsia="微软雅黑" w:cs="Arial"/>
          <w:sz w:val="24"/>
        </w:rPr>
        <w:t xml:space="preserve"> </w:t>
      </w:r>
      <w:r>
        <w:rPr>
          <w:rFonts w:hint="eastAsia" w:ascii="微软雅黑" w:hAnsi="微软雅黑" w:eastAsia="微软雅黑" w:cs="Arial"/>
          <w:sz w:val="24"/>
          <w:lang w:val="en-US" w:eastAsia="zh-CN"/>
        </w:rPr>
        <w:t>2025-10-13</w:t>
      </w:r>
    </w:p>
    <w:p w14:paraId="491DC02D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 w:cs="Arial"/>
          <w:sz w:val="24"/>
        </w:rPr>
      </w:pPr>
      <w:r>
        <w:rPr>
          <w:rFonts w:hint="eastAsia" w:ascii="微软雅黑" w:hAnsi="微软雅黑" w:eastAsia="微软雅黑" w:cs="Arial"/>
          <w:sz w:val="24"/>
        </w:rPr>
        <w:t>整理及分析：</w:t>
      </w:r>
      <w:r>
        <w:rPr>
          <w:rFonts w:hint="eastAsia" w:ascii="微软雅黑" w:hAnsi="微软雅黑" w:eastAsia="微软雅黑" w:cs="Arial"/>
          <w:sz w:val="24"/>
          <w:lang w:val="en-US" w:eastAsia="zh-CN"/>
        </w:rPr>
        <w:t>2025-10-14</w:t>
      </w:r>
    </w:p>
    <w:p w14:paraId="766DCA97">
      <w:pPr>
        <w:pStyle w:val="30"/>
        <w:bidi w:val="0"/>
        <w:rPr>
          <w:rFonts w:hint="eastAsia"/>
        </w:rPr>
      </w:pPr>
      <w:bookmarkStart w:id="8" w:name="_Toc428823197"/>
      <w:bookmarkStart w:id="9" w:name="_Toc481913846"/>
      <w:bookmarkStart w:id="10" w:name="_Toc278555956"/>
      <w:bookmarkStart w:id="11" w:name="_Toc198622119"/>
      <w:r>
        <w:rPr>
          <w:rFonts w:hint="eastAsia"/>
          <w:lang w:eastAsia="zh-CN"/>
        </w:rPr>
        <w:t>调查</w:t>
      </w:r>
      <w:r>
        <w:rPr>
          <w:rFonts w:hint="eastAsia"/>
        </w:rPr>
        <w:t>对象</w:t>
      </w:r>
      <w:bookmarkEnd w:id="8"/>
      <w:bookmarkEnd w:id="9"/>
      <w:bookmarkEnd w:id="10"/>
      <w:bookmarkEnd w:id="11"/>
    </w:p>
    <w:p w14:paraId="187A522A">
      <w:pPr>
        <w:numPr>
          <w:ilvl w:val="0"/>
          <w:numId w:val="2"/>
        </w:numPr>
        <w:spacing w:before="0" w:after="0" w:line="360" w:lineRule="auto"/>
        <w:rPr>
          <w:rFonts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fill="FFFFFF"/>
        </w:rPr>
        <w:t>四川中电福溪电力开发有限公司</w:t>
      </w:r>
    </w:p>
    <w:p w14:paraId="7FF53D46">
      <w:pPr>
        <w:numPr>
          <w:ilvl w:val="0"/>
          <w:numId w:val="2"/>
        </w:numPr>
        <w:spacing w:before="0" w:after="0" w:line="360" w:lineRule="auto"/>
        <w:rPr>
          <w:rFonts w:hint="eastAsia"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fill="FFFFFF"/>
        </w:rPr>
        <w:t>光大环保能源（天津）有限公司</w:t>
      </w:r>
    </w:p>
    <w:p w14:paraId="5A0E9D1C">
      <w:pPr>
        <w:numPr>
          <w:ilvl w:val="0"/>
          <w:numId w:val="2"/>
        </w:numPr>
        <w:spacing w:before="0" w:after="0" w:line="360" w:lineRule="auto"/>
        <w:rPr>
          <w:rFonts w:hint="eastAsia"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fill="FFFFFF"/>
        </w:rPr>
        <w:t>中国水利电力物资天津有限公司</w:t>
      </w:r>
    </w:p>
    <w:p w14:paraId="4B07F05E">
      <w:pPr>
        <w:numPr>
          <w:ilvl w:val="0"/>
          <w:numId w:val="2"/>
        </w:numPr>
        <w:spacing w:before="0" w:after="0" w:line="360" w:lineRule="auto"/>
        <w:rPr>
          <w:rFonts w:hint="eastAsia"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fill="FFFFFF"/>
        </w:rPr>
        <w:t>巴彦淖尔乌拉特中旗富汇风能电力有限公司</w:t>
      </w:r>
    </w:p>
    <w:p w14:paraId="7BB3037A">
      <w:pPr>
        <w:numPr>
          <w:ilvl w:val="0"/>
          <w:numId w:val="2"/>
        </w:numPr>
        <w:spacing w:before="0" w:after="0" w:line="360" w:lineRule="auto"/>
        <w:rPr>
          <w:rFonts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fill="FFFFFF"/>
        </w:rPr>
        <w:t>大唐乌拉特后旗新能源有限公司</w:t>
      </w:r>
    </w:p>
    <w:p w14:paraId="7CF576DE">
      <w:pPr>
        <w:numPr>
          <w:ilvl w:val="0"/>
          <w:numId w:val="2"/>
        </w:numPr>
        <w:spacing w:before="0" w:after="0" w:line="360" w:lineRule="auto"/>
        <w:rPr>
          <w:rFonts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fill="FFFFFF"/>
        </w:rPr>
        <w:t>大唐五原新能源有限公司</w:t>
      </w:r>
    </w:p>
    <w:p w14:paraId="486F550A">
      <w:pPr>
        <w:numPr>
          <w:ilvl w:val="0"/>
          <w:numId w:val="2"/>
        </w:numPr>
        <w:spacing w:before="0" w:after="0" w:line="360" w:lineRule="auto"/>
        <w:rPr>
          <w:rFonts w:hint="eastAsia"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fill="FFFFFF"/>
        </w:rPr>
        <w:t>巴彦淖尔乌拉特后旗富汇风能电力有限公司</w:t>
      </w:r>
    </w:p>
    <w:p w14:paraId="3766E8C5">
      <w:pPr>
        <w:numPr>
          <w:ilvl w:val="0"/>
          <w:numId w:val="2"/>
        </w:numPr>
        <w:spacing w:before="0" w:after="0" w:line="360" w:lineRule="auto"/>
        <w:rPr>
          <w:rFonts w:hint="eastAsia" w:ascii="微软雅黑" w:hAnsi="微软雅黑" w:eastAsia="微软雅黑" w:cs="Arial"/>
          <w:color w:val="000000"/>
          <w:sz w:val="24"/>
        </w:rPr>
      </w:pPr>
      <w:bookmarkStart w:id="12" w:name="_Toc481913847"/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fill="FFFFFF"/>
        </w:rPr>
        <w:t>吉林电力股份有限公司</w:t>
      </w:r>
    </w:p>
    <w:p w14:paraId="20EBA180">
      <w:pPr>
        <w:pStyle w:val="3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调查流程</w:t>
      </w:r>
      <w:bookmarkEnd w:id="12"/>
    </w:p>
    <w:p w14:paraId="1DC71698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 w:cs="Arial"/>
          <w:sz w:val="24"/>
        </w:rPr>
      </w:pPr>
      <w:r>
        <w:rPr>
          <w:rFonts w:hint="eastAsia" w:ascii="微软雅黑" w:hAnsi="微软雅黑" w:eastAsia="微软雅黑" w:cs="Arial"/>
          <w:sz w:val="24"/>
        </w:rPr>
        <w:t>问卷设计</w:t>
      </w:r>
    </w:p>
    <w:p w14:paraId="7840C99E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 w:cs="Arial"/>
          <w:sz w:val="24"/>
        </w:rPr>
      </w:pPr>
      <w:r>
        <w:rPr>
          <w:rFonts w:hint="eastAsia" w:ascii="微软雅黑" w:hAnsi="微软雅黑" w:eastAsia="微软雅黑" w:cs="Arial"/>
          <w:sz w:val="24"/>
        </w:rPr>
        <w:t>问卷发放与回收</w:t>
      </w:r>
    </w:p>
    <w:p w14:paraId="4BABDA4D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 w:cs="Arial"/>
          <w:sz w:val="24"/>
        </w:rPr>
      </w:pPr>
      <w:r>
        <w:rPr>
          <w:rFonts w:hint="eastAsia" w:ascii="微软雅黑" w:hAnsi="微软雅黑" w:eastAsia="微软雅黑" w:cs="Arial"/>
          <w:sz w:val="24"/>
        </w:rPr>
        <w:t>数据处理与分析</w:t>
      </w:r>
    </w:p>
    <w:p w14:paraId="2D3B429C">
      <w:pPr>
        <w:pStyle w:val="30"/>
        <w:bidi w:val="0"/>
        <w:rPr>
          <w:rFonts w:hint="eastAsia"/>
        </w:rPr>
      </w:pPr>
      <w:bookmarkStart w:id="13" w:name="_Toc428823199"/>
      <w:bookmarkStart w:id="14" w:name="_Toc278555959"/>
      <w:bookmarkStart w:id="15" w:name="_Toc481913848"/>
      <w:r>
        <w:rPr>
          <w:rFonts w:hint="eastAsia"/>
          <w:lang w:eastAsia="zh-CN"/>
        </w:rPr>
        <w:t>计算方法</w:t>
      </w:r>
      <w:bookmarkEnd w:id="13"/>
      <w:bookmarkEnd w:id="14"/>
      <w:bookmarkEnd w:id="15"/>
    </w:p>
    <w:p w14:paraId="2FCFF65F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满意度 = 客户满意度得分总和/客户满意度调查问卷数量。</w:t>
      </w:r>
    </w:p>
    <w:p w14:paraId="7425048E">
      <w:pPr>
        <w:pStyle w:val="30"/>
        <w:bidi w:val="0"/>
        <w:rPr>
          <w:rFonts w:hint="eastAsia"/>
        </w:rPr>
      </w:pPr>
      <w:bookmarkStart w:id="16" w:name="_Toc428823205"/>
      <w:bookmarkStart w:id="17" w:name="_Toc278555965"/>
      <w:bookmarkStart w:id="18" w:name="_Toc481913849"/>
      <w:r>
        <w:rPr>
          <w:rFonts w:hint="eastAsia"/>
        </w:rPr>
        <w:t>调查结果</w:t>
      </w:r>
      <w:bookmarkEnd w:id="16"/>
      <w:bookmarkEnd w:id="17"/>
      <w:r>
        <w:rPr>
          <w:rFonts w:hint="eastAsia"/>
          <w:lang w:eastAsia="zh-CN"/>
        </w:rPr>
        <w:t>分析</w:t>
      </w:r>
      <w:bookmarkEnd w:id="18"/>
    </w:p>
    <w:p w14:paraId="4E7D1858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回收的用户满意度调查问卷经统计后得到如下结果：</w:t>
      </w:r>
    </w:p>
    <w:tbl>
      <w:tblPr>
        <w:tblStyle w:val="20"/>
        <w:tblW w:w="4927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"/>
        <w:gridCol w:w="2005"/>
        <w:gridCol w:w="514"/>
        <w:gridCol w:w="519"/>
        <w:gridCol w:w="516"/>
        <w:gridCol w:w="525"/>
        <w:gridCol w:w="514"/>
        <w:gridCol w:w="555"/>
        <w:gridCol w:w="474"/>
        <w:gridCol w:w="521"/>
        <w:gridCol w:w="482"/>
        <w:gridCol w:w="474"/>
        <w:gridCol w:w="793"/>
      </w:tblGrid>
      <w:tr w14:paraId="46CED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48F02E">
            <w:pPr>
              <w:widowControl/>
              <w:spacing w:before="0" w:after="0" w:line="400" w:lineRule="exact"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697" w:type="pct"/>
            <w:gridSpan w:val="12"/>
            <w:tcBorders>
              <w:top w:val="nil"/>
              <w:left w:val="nil"/>
              <w:bottom w:val="single" w:color="auto" w:sz="8" w:space="0"/>
              <w:right w:val="nil"/>
            </w:tcBorders>
            <w:noWrap/>
            <w:vAlign w:val="center"/>
          </w:tcPr>
          <w:p w14:paraId="198DF389">
            <w:pPr>
              <w:widowControl/>
              <w:spacing w:before="0" w:after="0" w:line="400" w:lineRule="exact"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满意度调查情况</w:t>
            </w:r>
          </w:p>
        </w:tc>
      </w:tr>
      <w:tr w14:paraId="6FDFD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730" w:type="pct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C59FD9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问卷总数：</w:t>
            </w:r>
            <w:r>
              <w:rPr>
                <w:rFonts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8</w:t>
            </w: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；有效问卷数量：</w:t>
            </w:r>
            <w:r>
              <w:rPr>
                <w:rFonts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8</w:t>
            </w: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。</w:t>
            </w:r>
          </w:p>
        </w:tc>
        <w:tc>
          <w:tcPr>
            <w:tcW w:w="2269" w:type="pct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E3DA78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单项打分满分：10,总分100分</w:t>
            </w:r>
          </w:p>
        </w:tc>
      </w:tr>
      <w:tr w14:paraId="79F0A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1BF3EE1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FE5CF07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调查客户名称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6C3FD60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故障响应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6304A7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故障排除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C7A689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备件供应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5DED19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备件质量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0CBC80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定期巡检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3A83E3">
            <w:pPr>
              <w:widowControl/>
              <w:spacing w:before="0" w:after="0" w:line="400" w:lineRule="exact"/>
              <w:jc w:val="both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巡检效果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B27902B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培训及时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2CC4D5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培训效果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BBE638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服务水平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ADDFA3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表达能力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E994C88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总分</w:t>
            </w:r>
          </w:p>
        </w:tc>
      </w:tr>
      <w:tr w14:paraId="636AD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C3403C7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38E5D1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fill="FFFFFF"/>
              </w:rPr>
              <w:t>四川中电福溪电力开发有限公司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9AD1B4">
            <w:pPr>
              <w:widowControl/>
              <w:spacing w:before="0" w:after="0" w:line="400" w:lineRule="exact"/>
              <w:jc w:val="center"/>
              <w:rPr>
                <w:rFonts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3C293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A714B9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E5AE16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7609F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D5D08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9232F4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EE0230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49AA6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D1EA4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86C0D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</w:tr>
      <w:tr w14:paraId="223DB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4F8A73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F6F54E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fill="FFFFFF"/>
              </w:rPr>
              <w:t>光大环保能源（天津）有限公司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EEB61BF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2D495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654DC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D9F79D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C76F12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FA378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11765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43250A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3B49E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CC32F6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C8FFE3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94</w:t>
            </w:r>
          </w:p>
        </w:tc>
      </w:tr>
      <w:tr w14:paraId="189B5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532224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9259E4D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fill="FFFFFF"/>
              </w:rPr>
              <w:t>中国水利电力物资天津有限公司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089760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665AE1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E2697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B32AF6F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25B32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EBC84D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4144B1F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319D44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D14851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2D8C3C5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FB8D7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98</w:t>
            </w:r>
          </w:p>
        </w:tc>
      </w:tr>
      <w:tr w14:paraId="558C0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AEB7CB4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CFE00C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fill="FFFFFF"/>
              </w:rPr>
              <w:t>巴彦淖尔乌拉特中旗富汇风能电力有限公司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C29E5F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67CC41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AB0F4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4D0BE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7BACC6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28BD6A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BC6B24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EB23B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5E5F45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3577B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E6400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96</w:t>
            </w:r>
          </w:p>
        </w:tc>
      </w:tr>
      <w:tr w14:paraId="519E3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8BB99B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57CA107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fill="FFFFFF"/>
              </w:rPr>
              <w:t>大唐乌拉特后旗新能源有限公司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9F9FFC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3072D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A09E73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E934C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BD3F6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5A1447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E86D6B5">
            <w:pPr>
              <w:widowControl w:val="0"/>
              <w:spacing w:before="0" w:after="0" w:line="400" w:lineRule="exact"/>
              <w:jc w:val="center"/>
              <w:rPr>
                <w:rFonts w:hint="default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72301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D6F7EC0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F7D781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EC546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</w:tr>
      <w:tr w14:paraId="1824E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A127EB3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5CB4722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fill="FFFFFF"/>
              </w:rPr>
              <w:t>大唐五原新能源有限公司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FA00431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24FFF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C6176F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CC153E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DCAC7D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D68F39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20F5821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CCE8C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1298C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196B6C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3D8D05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431F6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B36A60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E222EB5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fill="FFFFFF"/>
              </w:rPr>
              <w:t>巴彦淖尔乌拉特后旗富汇风能电力有限公司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688AB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808DFE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1888A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7F6D905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CDA95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4C7ECE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0CB616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B5A77D1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927D5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7B867A3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CE531FB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</w:tr>
      <w:tr w14:paraId="3A29C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EB1FDC6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8BA989F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fill="FFFFFF"/>
              </w:rPr>
              <w:t>吉林电力股份有限公司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714D50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C1EF0B5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2871B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E5E90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A08AF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390FD75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1E2D45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34067F0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A69FC3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D52749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0072F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</w:tr>
      <w:tr w14:paraId="1FEF9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98273C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F2E8ECF">
            <w:pPr>
              <w:widowControl w:val="0"/>
              <w:tabs>
                <w:tab w:val="left" w:pos="3654"/>
              </w:tabs>
              <w:spacing w:before="0" w:after="0" w:line="400" w:lineRule="exact"/>
              <w:ind w:left="142"/>
              <w:jc w:val="center"/>
              <w:rPr>
                <w:rFonts w:hint="eastAsia" w:ascii="微软雅黑" w:hAnsi="微软雅黑" w:eastAsia="微软雅黑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Arial"/>
                <w:kern w:val="2"/>
                <w:sz w:val="24"/>
                <w:szCs w:val="24"/>
                <w:lang w:val="en-US" w:eastAsia="zh-CN" w:bidi="ar-SA"/>
              </w:rPr>
              <w:t>统计值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89890C1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76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78865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F6CDCB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78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EEEFFC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9C64A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64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C2CDB3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C13B4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ECFAF30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C953410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78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AEDC22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74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C82551">
            <w:pPr>
              <w:widowControl w:val="0"/>
              <w:spacing w:before="0" w:after="0" w:line="400" w:lineRule="exact"/>
              <w:jc w:val="center"/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=SUM(ABOVE)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760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</w:tr>
      <w:tr w14:paraId="19CF1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9957B4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93" w:type="pct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C08EAA3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满意度平均分</w:t>
            </w:r>
          </w:p>
        </w:tc>
        <w:tc>
          <w:tcPr>
            <w:tcW w:w="3504" w:type="pct"/>
            <w:gridSpan w:val="11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0B2684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5分</w:t>
            </w:r>
          </w:p>
        </w:tc>
      </w:tr>
    </w:tbl>
    <w:p w14:paraId="34DCE2AD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对已统计的用户满意度调查问卷结果进行分析，满足公司对运维服务的要求（≥9</w:t>
      </w:r>
      <w:r>
        <w:rPr>
          <w:rFonts w:hint="eastAsia" w:ascii="微软雅黑" w:hAnsi="微软雅黑" w:eastAsia="微软雅黑"/>
          <w:sz w:val="24"/>
          <w:lang w:val="en-US" w:eastAsia="zh-CN"/>
        </w:rPr>
        <w:t>5</w:t>
      </w:r>
      <w:r>
        <w:rPr>
          <w:rFonts w:hint="eastAsia" w:ascii="微软雅黑" w:hAnsi="微软雅黑" w:eastAsia="微软雅黑"/>
          <w:sz w:val="24"/>
        </w:rPr>
        <w:t>分）</w:t>
      </w:r>
      <w:r>
        <w:rPr>
          <w:rFonts w:ascii="微软雅黑" w:hAnsi="微软雅黑" w:eastAsia="微软雅黑"/>
          <w:sz w:val="24"/>
        </w:rPr>
        <w:t>。</w:t>
      </w:r>
    </w:p>
    <w:p w14:paraId="4642417E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但仍发现运维服务工作过程中存在的问题：</w:t>
      </w:r>
    </w:p>
    <w:p w14:paraId="3DB0A851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1、运维人员在定期巡检的服务互动性</w:t>
      </w:r>
      <w:r>
        <w:rPr>
          <w:rFonts w:ascii="微软雅黑" w:hAnsi="微软雅黑" w:eastAsia="微软雅黑"/>
          <w:sz w:val="24"/>
        </w:rPr>
        <w:t>上有所欠缺</w:t>
      </w:r>
      <w:r>
        <w:rPr>
          <w:rFonts w:hint="eastAsia" w:ascii="微软雅黑" w:hAnsi="微软雅黑" w:eastAsia="微软雅黑"/>
          <w:sz w:val="24"/>
        </w:rPr>
        <w:t>；</w:t>
      </w:r>
    </w:p>
    <w:p w14:paraId="7C132003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2、运维服务过程针对培训效果的评估有待改进。</w:t>
      </w:r>
    </w:p>
    <w:p w14:paraId="2AAA75D3">
      <w:pPr>
        <w:pStyle w:val="30"/>
        <w:bidi w:val="0"/>
        <w:rPr>
          <w:rFonts w:hint="eastAsia"/>
        </w:rPr>
      </w:pPr>
      <w:bookmarkStart w:id="19" w:name="_Toc193352436"/>
      <w:bookmarkStart w:id="20" w:name="_Toc481913850"/>
      <w:bookmarkStart w:id="21" w:name="_Toc428823209"/>
      <w:bookmarkStart w:id="22" w:name="_Toc278555969"/>
      <w:r>
        <w:rPr>
          <w:rFonts w:hint="eastAsia"/>
        </w:rPr>
        <w:t>主要</w:t>
      </w:r>
      <w:bookmarkEnd w:id="19"/>
      <w:r>
        <w:rPr>
          <w:rFonts w:hint="eastAsia"/>
        </w:rPr>
        <w:t>建议</w:t>
      </w:r>
      <w:bookmarkEnd w:id="20"/>
      <w:bookmarkEnd w:id="21"/>
      <w:bookmarkEnd w:id="22"/>
    </w:p>
    <w:p w14:paraId="23651118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1、加强对运维服务专业人员专业知识的培训，强化定期巡检意识；</w:t>
      </w:r>
    </w:p>
    <w:p w14:paraId="30E5E26C">
      <w:pPr>
        <w:spacing w:before="0" w:after="0" w:line="360" w:lineRule="auto"/>
        <w:ind w:firstLine="480" w:firstLineChars="200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2、针对运维服务过程发起的培训工作，加强培训效果评价工作。</w:t>
      </w:r>
    </w:p>
    <w:p w14:paraId="2E17F118">
      <w:pPr>
        <w:pStyle w:val="29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34A22E8"/>
    <w:multiLevelType w:val="multilevel"/>
    <w:tmpl w:val="434A22E8"/>
    <w:lvl w:ilvl="0" w:tentative="0">
      <w:start w:val="1"/>
      <w:numFmt w:val="bullet"/>
      <w:lvlText w:val="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2672B"/>
    <w:rsid w:val="003F5F2A"/>
    <w:rsid w:val="0103164E"/>
    <w:rsid w:val="01161381"/>
    <w:rsid w:val="02A14C7A"/>
    <w:rsid w:val="057E2F8C"/>
    <w:rsid w:val="05B95683"/>
    <w:rsid w:val="05BB6053"/>
    <w:rsid w:val="06CE625A"/>
    <w:rsid w:val="07762B7A"/>
    <w:rsid w:val="08B60D54"/>
    <w:rsid w:val="09C54D20"/>
    <w:rsid w:val="0A2665D5"/>
    <w:rsid w:val="0A4C6966"/>
    <w:rsid w:val="0AAB601E"/>
    <w:rsid w:val="0E344BF5"/>
    <w:rsid w:val="0EF73476"/>
    <w:rsid w:val="0F084230"/>
    <w:rsid w:val="0F784FB5"/>
    <w:rsid w:val="104263AF"/>
    <w:rsid w:val="10602B4E"/>
    <w:rsid w:val="14E135FC"/>
    <w:rsid w:val="1723614E"/>
    <w:rsid w:val="1864257A"/>
    <w:rsid w:val="1BF81957"/>
    <w:rsid w:val="1CED57CC"/>
    <w:rsid w:val="1CFC0FD3"/>
    <w:rsid w:val="1D5F5A06"/>
    <w:rsid w:val="1D9F1675"/>
    <w:rsid w:val="202E4A5B"/>
    <w:rsid w:val="203B62B7"/>
    <w:rsid w:val="21DB2344"/>
    <w:rsid w:val="25E248AA"/>
    <w:rsid w:val="26331C9C"/>
    <w:rsid w:val="285E0D94"/>
    <w:rsid w:val="289229E4"/>
    <w:rsid w:val="28E93E0F"/>
    <w:rsid w:val="299F2EB8"/>
    <w:rsid w:val="2E5073D1"/>
    <w:rsid w:val="2FD44032"/>
    <w:rsid w:val="2FF47408"/>
    <w:rsid w:val="309612E7"/>
    <w:rsid w:val="36AC7A6D"/>
    <w:rsid w:val="39C6570A"/>
    <w:rsid w:val="3AFC6078"/>
    <w:rsid w:val="3B196D9D"/>
    <w:rsid w:val="3CEF5448"/>
    <w:rsid w:val="3CF17FD1"/>
    <w:rsid w:val="3FB1402D"/>
    <w:rsid w:val="3FBD5AEC"/>
    <w:rsid w:val="41614FF9"/>
    <w:rsid w:val="424E557E"/>
    <w:rsid w:val="435A07F6"/>
    <w:rsid w:val="43B9111D"/>
    <w:rsid w:val="441E78BA"/>
    <w:rsid w:val="46A71700"/>
    <w:rsid w:val="46E01544"/>
    <w:rsid w:val="472529AB"/>
    <w:rsid w:val="49793D38"/>
    <w:rsid w:val="4C170309"/>
    <w:rsid w:val="4CB13CBC"/>
    <w:rsid w:val="4CC748AA"/>
    <w:rsid w:val="4CE94821"/>
    <w:rsid w:val="4E692885"/>
    <w:rsid w:val="50526B81"/>
    <w:rsid w:val="511A766F"/>
    <w:rsid w:val="514259DF"/>
    <w:rsid w:val="523C3645"/>
    <w:rsid w:val="52552958"/>
    <w:rsid w:val="55F30C73"/>
    <w:rsid w:val="59142A73"/>
    <w:rsid w:val="59DE3233"/>
    <w:rsid w:val="5BCE7A03"/>
    <w:rsid w:val="5C693FE2"/>
    <w:rsid w:val="5CAD3CE1"/>
    <w:rsid w:val="5D94582C"/>
    <w:rsid w:val="5E337FF2"/>
    <w:rsid w:val="5EC60B1E"/>
    <w:rsid w:val="5F322E09"/>
    <w:rsid w:val="60011A2A"/>
    <w:rsid w:val="60067040"/>
    <w:rsid w:val="60474C82"/>
    <w:rsid w:val="60D333C6"/>
    <w:rsid w:val="6328434C"/>
    <w:rsid w:val="64013B5B"/>
    <w:rsid w:val="64615601"/>
    <w:rsid w:val="653463FD"/>
    <w:rsid w:val="654E3963"/>
    <w:rsid w:val="66B57962"/>
    <w:rsid w:val="67E6412F"/>
    <w:rsid w:val="68D67EF7"/>
    <w:rsid w:val="69361881"/>
    <w:rsid w:val="6AAF6118"/>
    <w:rsid w:val="6BF6134F"/>
    <w:rsid w:val="6C860D49"/>
    <w:rsid w:val="6DE5298B"/>
    <w:rsid w:val="71A36DE5"/>
    <w:rsid w:val="73520AC2"/>
    <w:rsid w:val="75EB0D5A"/>
    <w:rsid w:val="77710438"/>
    <w:rsid w:val="783C790D"/>
    <w:rsid w:val="78F2672B"/>
    <w:rsid w:val="793D18CD"/>
    <w:rsid w:val="79507852"/>
    <w:rsid w:val="7ABB6F28"/>
    <w:rsid w:val="7B6A318A"/>
    <w:rsid w:val="7BA568E2"/>
    <w:rsid w:val="7D464AE5"/>
    <w:rsid w:val="7D6905A3"/>
    <w:rsid w:val="7E23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917</Words>
  <Characters>1090</Characters>
  <Lines>0</Lines>
  <Paragraphs>0</Paragraphs>
  <TotalTime>0</TotalTime>
  <ScaleCrop>false</ScaleCrop>
  <LinksUpToDate>false</LinksUpToDate>
  <CharactersWithSpaces>1094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2025-12-23T03:43:09Z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341D1C7ED3A1444E8EA73691394D44B6_11</vt:lpwstr>
  </property>
  <property fmtid="{D5CDD505-2E9C-101B-9397-08002B2CF9AE}" pid="4" name="KSOTemplateDocerSaveRecord">
    <vt:lpwstr>eyJoZGlkIjoiMDY5NmFjMmM4ZTljMGJiZDAxN2JmYTc0NGI0NmFiNDgiLCJ1c2VySWQiOiIxMDc1MzgyOSJ9</vt:lpwstr>
  </property>
</Properties>
</file>