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420" w:leftChars="0" w:right="0" w:rightChars="0" w:firstLine="420" w:firstLineChars="0"/>
        <w:jc w:val="center"/>
        <w:rPr>
          <w:rFonts w:hint="default"/>
          <w:lang w:val="en-US" w:eastAsia="zh-CN"/>
        </w:rPr>
      </w:pPr>
      <w:bookmarkStart w:id="0" w:name="_GoBack"/>
      <w:bookmarkEnd w:id="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运维服务内审计划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（YNTD-ITSS-0410）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2025.10.10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34"/>
        <w:gridCol w:w="1220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51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0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34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0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10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0.10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34" w:type="dxa"/>
          </w:tcPr>
          <w:p w14:paraId="76E7ED73">
            <w:pPr>
              <w:pStyle w:val="27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10</w:t>
            </w: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34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34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20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B10BE0E">
      <w:pPr>
        <w:spacing w:before="213" w:line="217" w:lineRule="auto"/>
        <w:ind w:left="3711"/>
        <w:outlineLvl w:val="0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b/>
          <w:bCs/>
          <w:spacing w:val="-5"/>
          <w:sz w:val="30"/>
          <w:szCs w:val="30"/>
        </w:rPr>
        <w:t>运维服务内审计划</w:t>
      </w:r>
    </w:p>
    <w:p w14:paraId="62F1E205">
      <w:pPr>
        <w:spacing w:before="208"/>
      </w:pPr>
    </w:p>
    <w:tbl>
      <w:tblPr>
        <w:tblStyle w:val="26"/>
        <w:tblW w:w="980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01"/>
        <w:gridCol w:w="4902"/>
      </w:tblGrid>
      <w:tr w14:paraId="604E5A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9803" w:type="dxa"/>
            <w:gridSpan w:val="2"/>
          </w:tcPr>
          <w:p w14:paraId="7899CD10">
            <w:pPr>
              <w:spacing w:before="177" w:line="219" w:lineRule="auto"/>
              <w:ind w:left="14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"/>
                <w:sz w:val="28"/>
                <w:szCs w:val="28"/>
              </w:rPr>
              <w:t>审核目的：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确保体系的符合性和有效性，并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得到持续改进.</w:t>
            </w:r>
          </w:p>
        </w:tc>
      </w:tr>
      <w:tr w14:paraId="7FBA49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7" w:hRule="atLeast"/>
        </w:trPr>
        <w:tc>
          <w:tcPr>
            <w:tcW w:w="9803" w:type="dxa"/>
            <w:gridSpan w:val="2"/>
          </w:tcPr>
          <w:p w14:paraId="2E403380">
            <w:pPr>
              <w:spacing w:before="172" w:line="219" w:lineRule="auto"/>
              <w:ind w:left="130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6"/>
                <w:sz w:val="28"/>
                <w:szCs w:val="28"/>
              </w:rPr>
              <w:t>一、</w:t>
            </w:r>
            <w:r>
              <w:rPr>
                <w:rFonts w:ascii="仿宋" w:hAnsi="仿宋" w:eastAsia="仿宋" w:cs="仿宋"/>
                <w:spacing w:val="20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6"/>
                <w:sz w:val="28"/>
                <w:szCs w:val="28"/>
              </w:rPr>
              <w:t>审核范围：</w:t>
            </w:r>
          </w:p>
          <w:p w14:paraId="4E901DFA">
            <w:pPr>
              <w:spacing w:before="234" w:line="217" w:lineRule="auto"/>
              <w:ind w:left="54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ITSS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体系标准覆盖的相关部门及活动</w:t>
            </w:r>
          </w:p>
        </w:tc>
      </w:tr>
      <w:tr w14:paraId="58EE41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2" w:hRule="atLeast"/>
        </w:trPr>
        <w:tc>
          <w:tcPr>
            <w:tcW w:w="9803" w:type="dxa"/>
            <w:gridSpan w:val="2"/>
          </w:tcPr>
          <w:p w14:paraId="36771FA8">
            <w:pPr>
              <w:spacing w:before="172" w:line="219" w:lineRule="auto"/>
              <w:ind w:left="135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二、</w:t>
            </w:r>
            <w:r>
              <w:rPr>
                <w:rFonts w:ascii="仿宋" w:hAnsi="仿宋" w:eastAsia="仿宋" w:cs="仿宋"/>
                <w:spacing w:val="21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审核依据：</w:t>
            </w:r>
          </w:p>
          <w:p w14:paraId="6EAF18A9">
            <w:pPr>
              <w:spacing w:before="233" w:line="360" w:lineRule="auto"/>
              <w:ind w:left="538" w:right="37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《信息技术服务</w:t>
            </w:r>
            <w:r>
              <w:rPr>
                <w:rFonts w:ascii="仿宋" w:hAnsi="仿宋" w:eastAsia="仿宋" w:cs="仿宋"/>
                <w:spacing w:val="-2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运行维护服务能力成熟度模型》三级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《202</w:t>
            </w:r>
            <w:r>
              <w:rPr>
                <w:rFonts w:hint="eastAsia" w:ascii="仿宋" w:hAnsi="仿宋" w:eastAsia="仿宋" w:cs="仿宋"/>
                <w:spacing w:val="-5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年运维服务管理目标》；</w:t>
            </w:r>
          </w:p>
          <w:p w14:paraId="730C3EFB">
            <w:pPr>
              <w:spacing w:line="217" w:lineRule="auto"/>
              <w:ind w:left="66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ITSS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管理制度及相关制度；</w:t>
            </w:r>
          </w:p>
          <w:p w14:paraId="6DABA5B9">
            <w:pPr>
              <w:spacing w:before="185" w:line="218" w:lineRule="auto"/>
              <w:ind w:left="66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适用的法律法规等</w:t>
            </w:r>
          </w:p>
        </w:tc>
      </w:tr>
      <w:tr w14:paraId="3AF460C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8" w:hRule="atLeast"/>
        </w:trPr>
        <w:tc>
          <w:tcPr>
            <w:tcW w:w="9803" w:type="dxa"/>
            <w:gridSpan w:val="2"/>
          </w:tcPr>
          <w:p w14:paraId="7388BB4E">
            <w:pPr>
              <w:spacing w:before="173" w:line="219" w:lineRule="auto"/>
              <w:ind w:left="134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三、</w:t>
            </w:r>
            <w:r>
              <w:rPr>
                <w:rFonts w:ascii="仿宋" w:hAnsi="仿宋" w:eastAsia="仿宋" w:cs="仿宋"/>
                <w:spacing w:val="22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审核时间：</w:t>
            </w:r>
          </w:p>
          <w:p w14:paraId="4C211F25">
            <w:pPr>
              <w:spacing w:before="234" w:line="218" w:lineRule="auto"/>
              <w:ind w:left="56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时间安排：202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3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33"/>
                <w:sz w:val="24"/>
                <w:szCs w:val="24"/>
                <w:lang w:val="en-US" w:eastAsia="zh-CN"/>
              </w:rPr>
              <w:t>15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日</w:t>
            </w:r>
            <w:r>
              <w:rPr>
                <w:rFonts w:ascii="仿宋" w:hAnsi="仿宋" w:eastAsia="仿宋" w:cs="仿宋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至 202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5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4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16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日</w:t>
            </w:r>
          </w:p>
          <w:p w14:paraId="0842126A">
            <w:pPr>
              <w:spacing w:before="184" w:line="218" w:lineRule="auto"/>
              <w:ind w:left="5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会议安排：首次会议时间：</w:t>
            </w:r>
            <w:r>
              <w:rPr>
                <w:rFonts w:ascii="仿宋" w:hAnsi="仿宋" w:eastAsia="仿宋" w:cs="仿宋"/>
                <w:spacing w:val="39"/>
                <w:sz w:val="24"/>
                <w:szCs w:val="24"/>
              </w:rPr>
              <w:t xml:space="preserve"> </w:t>
            </w:r>
            <w:r>
              <w:rPr>
                <w:rFonts w:hint="eastAsia" w:ascii="仿宋" w:hAnsi="仿宋" w:eastAsia="仿宋" w:cs="仿宋"/>
                <w:spacing w:val="39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15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日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9：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00时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eastAsia="zh-CN"/>
              </w:rPr>
              <w:t>，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末次会议时间：1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0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月1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 xml:space="preserve"> 日17:00</w:t>
            </w:r>
            <w:r>
              <w:rPr>
                <w:rFonts w:ascii="仿宋" w:hAnsi="仿宋" w:eastAsia="仿宋" w:cs="仿宋"/>
                <w:spacing w:val="3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时</w:t>
            </w:r>
          </w:p>
        </w:tc>
      </w:tr>
      <w:tr w14:paraId="5FE7EE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3" w:hRule="atLeast"/>
        </w:trPr>
        <w:tc>
          <w:tcPr>
            <w:tcW w:w="9803" w:type="dxa"/>
            <w:gridSpan w:val="2"/>
          </w:tcPr>
          <w:p w14:paraId="492D72D2">
            <w:pPr>
              <w:spacing w:before="172" w:line="231" w:lineRule="auto"/>
              <w:ind w:left="15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8"/>
                <w:szCs w:val="28"/>
              </w:rPr>
              <w:t>四、</w:t>
            </w:r>
            <w:r>
              <w:rPr>
                <w:rFonts w:ascii="仿宋" w:hAnsi="仿宋" w:eastAsia="仿宋" w:cs="仿宋"/>
                <w:spacing w:val="22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7"/>
                <w:sz w:val="28"/>
                <w:szCs w:val="28"/>
              </w:rPr>
              <w:t>审核组成员</w:t>
            </w:r>
            <w:r>
              <w:rPr>
                <w:rFonts w:ascii="Arial" w:hAnsi="Arial" w:eastAsia="Arial" w:cs="Arial"/>
                <w:b/>
                <w:bCs/>
                <w:spacing w:val="-7"/>
                <w:sz w:val="28"/>
                <w:szCs w:val="28"/>
              </w:rPr>
              <w:t xml:space="preserve">:     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内审组长：</w:t>
            </w: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赵建中</w:t>
            </w:r>
          </w:p>
          <w:p w14:paraId="4EC2AF4D">
            <w:pPr>
              <w:spacing w:before="214" w:line="360" w:lineRule="auto"/>
              <w:ind w:left="1322" w:right="182" w:hanging="773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部门：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运维部、质量部、研发部、人力部</w:t>
            </w:r>
          </w:p>
          <w:p w14:paraId="0BA70A85">
            <w:pPr>
              <w:spacing w:line="217" w:lineRule="auto"/>
              <w:ind w:left="567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审核组员：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谢广胜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A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）、马忠（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B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）、阮郑（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C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）、吴杰（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D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</w:t>
            </w:r>
          </w:p>
        </w:tc>
      </w:tr>
      <w:tr w14:paraId="2A5650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 w:hRule="atLeast"/>
        </w:trPr>
        <w:tc>
          <w:tcPr>
            <w:tcW w:w="9803" w:type="dxa"/>
            <w:gridSpan w:val="2"/>
          </w:tcPr>
          <w:p w14:paraId="1A3A379A">
            <w:pPr>
              <w:pStyle w:val="27"/>
              <w:spacing w:before="170" w:line="219" w:lineRule="auto"/>
              <w:ind w:left="119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b/>
                <w:bCs/>
                <w:spacing w:val="-14"/>
                <w:sz w:val="21"/>
                <w:szCs w:val="21"/>
              </w:rPr>
              <w:t>五、</w:t>
            </w:r>
            <w:r>
              <w:rPr>
                <w:spacing w:val="10"/>
                <w:sz w:val="21"/>
                <w:szCs w:val="21"/>
              </w:rPr>
              <w:t xml:space="preserve">    </w:t>
            </w:r>
            <w:r>
              <w:rPr>
                <w:rFonts w:ascii="仿宋" w:hAnsi="仿宋" w:eastAsia="仿宋" w:cs="仿宋"/>
                <w:b/>
                <w:bCs/>
                <w:spacing w:val="-14"/>
                <w:sz w:val="28"/>
                <w:szCs w:val="28"/>
              </w:rPr>
              <w:t>审核中活动：</w:t>
            </w:r>
          </w:p>
          <w:p w14:paraId="040ADAA7">
            <w:pPr>
              <w:spacing w:before="156" w:line="225" w:lineRule="auto"/>
              <w:ind w:left="382" w:right="2521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首、末次会议：最高管理者或其代表与审核有关的管理人员参加。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审核活动：按审核日程安排，被审核方有关人员在本岗位。</w:t>
            </w:r>
          </w:p>
        </w:tc>
      </w:tr>
      <w:tr w14:paraId="091B36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 w:hRule="atLeast"/>
        </w:trPr>
        <w:tc>
          <w:tcPr>
            <w:tcW w:w="9803" w:type="dxa"/>
            <w:gridSpan w:val="2"/>
            <w:shd w:val="clear" w:color="auto" w:fill="auto"/>
            <w:vAlign w:val="top"/>
          </w:tcPr>
          <w:p w14:paraId="0D07BA1E">
            <w:pPr>
              <w:spacing w:before="169" w:line="234" w:lineRule="auto"/>
              <w:ind w:left="128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8"/>
                <w:szCs w:val="28"/>
              </w:rPr>
              <w:t>六、</w:t>
            </w:r>
            <w:r>
              <w:rPr>
                <w:rFonts w:ascii="仿宋" w:hAnsi="仿宋" w:eastAsia="仿宋" w:cs="仿宋"/>
                <w:spacing w:val="11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0"/>
                <w:sz w:val="28"/>
                <w:szCs w:val="28"/>
              </w:rPr>
              <w:t>备注</w:t>
            </w:r>
            <w:r>
              <w:rPr>
                <w:rFonts w:ascii="Arial" w:hAnsi="Arial" w:eastAsia="Arial" w:cs="Arial"/>
                <w:b/>
                <w:bCs/>
                <w:spacing w:val="-10"/>
                <w:sz w:val="28"/>
                <w:szCs w:val="28"/>
              </w:rPr>
              <w:t>:</w:t>
            </w:r>
          </w:p>
          <w:p w14:paraId="3820234F">
            <w:pPr>
              <w:spacing w:before="132" w:line="215" w:lineRule="auto"/>
              <w:ind w:left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在内审实施中各部门要配合内审人员进行内审工作;</w:t>
            </w:r>
          </w:p>
          <w:p w14:paraId="6491DFF0">
            <w:pPr>
              <w:spacing w:before="32" w:line="215" w:lineRule="auto"/>
              <w:ind w:left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在内审实施中要避免言语冲突的发生;</w:t>
            </w:r>
          </w:p>
          <w:p w14:paraId="2AA789CD">
            <w:pPr>
              <w:spacing w:before="110" w:line="217" w:lineRule="auto"/>
              <w:ind w:left="393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内审员对审核结果要及时记录(无论是否符合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)。</w:t>
            </w:r>
          </w:p>
        </w:tc>
      </w:tr>
      <w:tr w14:paraId="7FCCD7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 w:hRule="atLeast"/>
        </w:trPr>
        <w:tc>
          <w:tcPr>
            <w:tcW w:w="4901" w:type="dxa"/>
            <w:shd w:val="clear" w:color="auto" w:fill="auto"/>
            <w:vAlign w:val="top"/>
          </w:tcPr>
          <w:p w14:paraId="4774394A">
            <w:pPr>
              <w:spacing w:before="236" w:line="217" w:lineRule="auto"/>
              <w:ind w:left="142" w:leftChars="0"/>
              <w:rPr>
                <w:rFonts w:hint="default" w:ascii="仿宋" w:hAnsi="仿宋" w:eastAsia="仿宋" w:cs="仿宋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编制人：</w:t>
            </w:r>
            <w:r>
              <w:rPr>
                <w:rFonts w:hint="eastAsia" w:ascii="仿宋" w:hAnsi="仿宋" w:eastAsia="仿宋" w:cs="仿宋"/>
                <w:b/>
                <w:bCs/>
                <w:spacing w:val="-4"/>
                <w:sz w:val="24"/>
                <w:szCs w:val="24"/>
                <w:lang w:val="en-US" w:eastAsia="zh-CN"/>
              </w:rPr>
              <w:t>吴杰</w:t>
            </w:r>
          </w:p>
        </w:tc>
        <w:tc>
          <w:tcPr>
            <w:tcW w:w="4902" w:type="dxa"/>
            <w:shd w:val="clear" w:color="auto" w:fill="auto"/>
            <w:vAlign w:val="top"/>
          </w:tcPr>
          <w:p w14:paraId="4E2E6EFB">
            <w:pPr>
              <w:spacing w:before="236" w:line="218" w:lineRule="auto"/>
              <w:ind w:left="140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审批人：</w:t>
            </w:r>
            <w:r>
              <w:rPr>
                <w:rFonts w:ascii="仿宋" w:hAnsi="仿宋" w:eastAsia="仿宋" w:cs="仿宋"/>
                <w:spacing w:val="-6"/>
                <w:sz w:val="24"/>
                <w:szCs w:val="24"/>
              </w:rPr>
              <w:t>陆涛</w:t>
            </w:r>
          </w:p>
        </w:tc>
      </w:tr>
    </w:tbl>
    <w:p w14:paraId="3D963B05">
      <w:pPr>
        <w:pStyle w:val="29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7A149C"/>
    <w:rsid w:val="028440C8"/>
    <w:rsid w:val="03431E67"/>
    <w:rsid w:val="03814846"/>
    <w:rsid w:val="05B95683"/>
    <w:rsid w:val="0A2F0DBE"/>
    <w:rsid w:val="0E4B1F3E"/>
    <w:rsid w:val="10DB1C9F"/>
    <w:rsid w:val="128E7347"/>
    <w:rsid w:val="136C3AC7"/>
    <w:rsid w:val="137D703E"/>
    <w:rsid w:val="15393438"/>
    <w:rsid w:val="157A28AF"/>
    <w:rsid w:val="15E056A4"/>
    <w:rsid w:val="1A9A6727"/>
    <w:rsid w:val="1AC11F06"/>
    <w:rsid w:val="1B2B3823"/>
    <w:rsid w:val="1C4C39E7"/>
    <w:rsid w:val="1CFA34AD"/>
    <w:rsid w:val="26976211"/>
    <w:rsid w:val="295F4405"/>
    <w:rsid w:val="2B7D22D9"/>
    <w:rsid w:val="2FC260AC"/>
    <w:rsid w:val="355C541A"/>
    <w:rsid w:val="3808793D"/>
    <w:rsid w:val="3ABB02C8"/>
    <w:rsid w:val="3C0D4B53"/>
    <w:rsid w:val="3E3A0EB7"/>
    <w:rsid w:val="3F262663"/>
    <w:rsid w:val="3F493A54"/>
    <w:rsid w:val="45576E3F"/>
    <w:rsid w:val="480956EA"/>
    <w:rsid w:val="48FD7CFE"/>
    <w:rsid w:val="496970CF"/>
    <w:rsid w:val="4C0E172E"/>
    <w:rsid w:val="4D495A2D"/>
    <w:rsid w:val="4F3501F1"/>
    <w:rsid w:val="4FFE15A5"/>
    <w:rsid w:val="50AF18DD"/>
    <w:rsid w:val="53B316E5"/>
    <w:rsid w:val="55052414"/>
    <w:rsid w:val="57144B90"/>
    <w:rsid w:val="58733B38"/>
    <w:rsid w:val="5ADC3C17"/>
    <w:rsid w:val="5E8B1BDC"/>
    <w:rsid w:val="60001B6F"/>
    <w:rsid w:val="67780823"/>
    <w:rsid w:val="68ED228A"/>
    <w:rsid w:val="6A2D7FEB"/>
    <w:rsid w:val="6BE26BB3"/>
    <w:rsid w:val="6EB63269"/>
    <w:rsid w:val="6F7C0E99"/>
    <w:rsid w:val="73272669"/>
    <w:rsid w:val="74542618"/>
    <w:rsid w:val="769431A0"/>
    <w:rsid w:val="76BB072D"/>
    <w:rsid w:val="778E6DEC"/>
    <w:rsid w:val="79314CD6"/>
    <w:rsid w:val="7C1F350C"/>
    <w:rsid w:val="7CB67090"/>
    <w:rsid w:val="7D741635"/>
    <w:rsid w:val="7E543940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492</Words>
  <Characters>593</Characters>
  <Lines>0</Lines>
  <Paragraphs>0</Paragraphs>
  <TotalTime>0</TotalTime>
  <ScaleCrop>false</ScaleCrop>
  <LinksUpToDate>false</LinksUpToDate>
  <CharactersWithSpaces>623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2025-12-23T19:34:56Z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