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09704D">
      <w:pPr>
        <w:pStyle w:val="24"/>
        <w:bidi w:val="0"/>
        <w:ind w:left="0" w:leftChars="0" w:right="0" w:rightChars="0" w:firstLine="0" w:firstLineChars="0"/>
        <w:jc w:val="center"/>
        <w:rPr>
          <w:rFonts w:hint="default"/>
          <w:lang w:val="en-US" w:eastAsia="zh-CN"/>
        </w:rPr>
      </w:pPr>
      <w:bookmarkStart w:id="18" w:name="_GoBack"/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-1186815</wp:posOffset>
            </wp:positionH>
            <wp:positionV relativeFrom="paragraph">
              <wp:posOffset>15875</wp:posOffset>
            </wp:positionV>
            <wp:extent cx="7609840" cy="9761855"/>
            <wp:effectExtent l="0" t="0" r="10160" b="6985"/>
            <wp:wrapNone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609840" cy="9761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bookmarkEnd w:id="18"/>
      <w:r>
        <w:rPr>
          <w:rFonts w:hint="eastAsia"/>
          <w:lang w:val="en-US" w:eastAsia="zh-CN"/>
        </w:rPr>
        <w:t>云南腾电科技有限公司</w:t>
      </w:r>
    </w:p>
    <w:p w14:paraId="49BB6A81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2025年运维服务质量管理计划</w:t>
      </w:r>
    </w:p>
    <w:p w14:paraId="44992887">
      <w:pPr>
        <w:pStyle w:val="25"/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0" w:afterLines="0"/>
        <w:ind w:left="0" w:leftChars="0" w:right="0" w:rightChars="0" w:firstLine="0" w:firstLineChars="0"/>
        <w:jc w:val="center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（YNTD-ITSS-0417）</w:t>
      </w:r>
    </w:p>
    <w:p w14:paraId="07DEF31E">
      <w:pPr>
        <w:ind w:left="0" w:leftChars="0" w:right="0" w:rightChars="0" w:firstLine="0" w:firstLineChars="0"/>
        <w:jc w:val="center"/>
        <w:rPr>
          <w:rFonts w:hint="eastAsia"/>
          <w:lang w:val="en-US" w:eastAsia="zh-CN"/>
        </w:rPr>
      </w:pP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8"/>
        <w:gridCol w:w="4261"/>
      </w:tblGrid>
      <w:tr w14:paraId="06B036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810" w:hRule="atLeast"/>
          <w:jc w:val="center"/>
        </w:trPr>
        <w:tc>
          <w:tcPr>
            <w:tcW w:w="1818" w:type="dxa"/>
          </w:tcPr>
          <w:p w14:paraId="08B5CF21">
            <w:pPr>
              <w:widowControl w:val="0"/>
              <w:ind w:left="0" w:leftChars="0" w:right="0" w:rightChars="0" w:firstLine="0" w:firstLineChars="0"/>
              <w:jc w:val="lef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吴杰</w:t>
            </w:r>
          </w:p>
        </w:tc>
        <w:tc>
          <w:tcPr>
            <w:tcW w:w="4261" w:type="dxa"/>
          </w:tcPr>
          <w:p w14:paraId="39FA7DB4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2025.1.7</w:t>
            </w:r>
          </w:p>
        </w:tc>
      </w:tr>
      <w:tr w14:paraId="4A62458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1818" w:type="dxa"/>
            <w:shd w:val="clear" w:color="auto" w:fill="auto"/>
          </w:tcPr>
          <w:p w14:paraId="044B37A8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审核人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赵建中</w:t>
            </w:r>
          </w:p>
        </w:tc>
        <w:tc>
          <w:tcPr>
            <w:tcW w:w="4261" w:type="dxa"/>
            <w:shd w:val="clear" w:color="auto" w:fill="auto"/>
          </w:tcPr>
          <w:p w14:paraId="7C0A16A6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2025.1.7</w:t>
            </w:r>
          </w:p>
        </w:tc>
      </w:tr>
      <w:tr w14:paraId="6FC9586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1818" w:type="dxa"/>
          </w:tcPr>
          <w:p w14:paraId="629D833A">
            <w:pPr>
              <w:widowControl w:val="0"/>
              <w:ind w:left="0" w:leftChars="0" w:right="0" w:rightChars="0" w:firstLine="0" w:firstLineChars="0"/>
              <w:jc w:val="left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批准人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陆涛</w:t>
            </w:r>
          </w:p>
        </w:tc>
        <w:tc>
          <w:tcPr>
            <w:tcW w:w="4261" w:type="dxa"/>
          </w:tcPr>
          <w:p w14:paraId="656B221E">
            <w:pPr>
              <w:widowControl w:val="0"/>
              <w:ind w:left="0" w:leftChars="0" w:right="0" w:rightChars="0" w:firstLine="0" w:firstLineChars="0"/>
              <w:jc w:val="right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2025.1.7</w:t>
            </w:r>
          </w:p>
        </w:tc>
      </w:tr>
    </w:tbl>
    <w:p w14:paraId="46327F79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7342B97F">
      <w:pPr>
        <w:spacing w:before="98" w:line="220" w:lineRule="auto"/>
        <w:ind w:left="3195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4"/>
          <w:sz w:val="30"/>
          <w:szCs w:val="30"/>
        </w:rPr>
        <w:t>文件编制和变更履历</w:t>
      </w:r>
    </w:p>
    <w:tbl>
      <w:tblPr>
        <w:tblStyle w:val="26"/>
        <w:tblW w:w="9005" w:type="dxa"/>
        <w:tblInd w:w="34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845"/>
        <w:gridCol w:w="881"/>
        <w:gridCol w:w="1274"/>
        <w:gridCol w:w="957"/>
        <w:gridCol w:w="1377"/>
        <w:gridCol w:w="1017"/>
        <w:gridCol w:w="1482"/>
        <w:gridCol w:w="1172"/>
      </w:tblGrid>
      <w:tr w14:paraId="3FD110D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9" w:hRule="atLeast"/>
        </w:trPr>
        <w:tc>
          <w:tcPr>
            <w:tcW w:w="845" w:type="dxa"/>
            <w:vMerge w:val="restart"/>
            <w:tcBorders>
              <w:top w:val="single" w:color="000000" w:sz="10" w:space="0"/>
              <w:left w:val="single" w:color="000000" w:sz="10" w:space="0"/>
              <w:bottom w:val="nil"/>
            </w:tcBorders>
            <w:shd w:val="clear" w:color="auto" w:fill="D9D9D9"/>
          </w:tcPr>
          <w:p w14:paraId="171B868C">
            <w:pPr>
              <w:spacing w:line="350" w:lineRule="auto"/>
              <w:rPr>
                <w:rFonts w:ascii="Arial"/>
                <w:sz w:val="21"/>
              </w:rPr>
            </w:pPr>
          </w:p>
          <w:p w14:paraId="7C1D57C9">
            <w:pPr>
              <w:spacing w:before="78" w:line="219" w:lineRule="auto"/>
              <w:ind w:left="172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版本</w:t>
            </w:r>
          </w:p>
        </w:tc>
        <w:tc>
          <w:tcPr>
            <w:tcW w:w="2155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C31873F">
            <w:pPr>
              <w:spacing w:before="181" w:line="220" w:lineRule="auto"/>
              <w:ind w:left="52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4"/>
                <w:sz w:val="24"/>
                <w:szCs w:val="24"/>
              </w:rPr>
              <w:t>编制/更改</w:t>
            </w:r>
          </w:p>
        </w:tc>
        <w:tc>
          <w:tcPr>
            <w:tcW w:w="2334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0CDCE20E">
            <w:pPr>
              <w:spacing w:before="181" w:line="219" w:lineRule="auto"/>
              <w:ind w:left="92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发布</w:t>
            </w:r>
          </w:p>
        </w:tc>
        <w:tc>
          <w:tcPr>
            <w:tcW w:w="2499" w:type="dxa"/>
            <w:gridSpan w:val="2"/>
            <w:tcBorders>
              <w:top w:val="single" w:color="000000" w:sz="10" w:space="0"/>
            </w:tcBorders>
            <w:shd w:val="clear" w:color="auto" w:fill="D9D9D9"/>
          </w:tcPr>
          <w:p w14:paraId="5D044F35">
            <w:pPr>
              <w:spacing w:before="181" w:line="220" w:lineRule="auto"/>
              <w:ind w:left="91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6"/>
                <w:sz w:val="24"/>
                <w:szCs w:val="24"/>
              </w:rPr>
              <w:t>实施</w:t>
            </w:r>
          </w:p>
        </w:tc>
        <w:tc>
          <w:tcPr>
            <w:tcW w:w="1172" w:type="dxa"/>
            <w:vMerge w:val="restart"/>
            <w:tcBorders>
              <w:top w:val="single" w:color="000000" w:sz="10" w:space="0"/>
              <w:bottom w:val="nil"/>
              <w:right w:val="single" w:color="000000" w:sz="10" w:space="0"/>
            </w:tcBorders>
            <w:shd w:val="clear" w:color="auto" w:fill="D9D9D9"/>
          </w:tcPr>
          <w:p w14:paraId="59686762">
            <w:pPr>
              <w:spacing w:line="350" w:lineRule="auto"/>
              <w:rPr>
                <w:rFonts w:ascii="Arial"/>
                <w:sz w:val="21"/>
              </w:rPr>
            </w:pPr>
          </w:p>
          <w:p w14:paraId="1036D608">
            <w:pPr>
              <w:spacing w:before="78" w:line="220" w:lineRule="auto"/>
              <w:ind w:left="21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更改记录</w:t>
            </w:r>
          </w:p>
        </w:tc>
      </w:tr>
      <w:tr w14:paraId="6AD17178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79" w:hRule="atLeast"/>
        </w:trPr>
        <w:tc>
          <w:tcPr>
            <w:tcW w:w="845" w:type="dxa"/>
            <w:vMerge w:val="continue"/>
            <w:tcBorders>
              <w:top w:val="nil"/>
              <w:left w:val="single" w:color="000000" w:sz="10" w:space="0"/>
            </w:tcBorders>
          </w:tcPr>
          <w:p w14:paraId="7739B0BC">
            <w:pPr>
              <w:rPr>
                <w:rFonts w:ascii="Arial"/>
                <w:sz w:val="21"/>
              </w:rPr>
            </w:pPr>
          </w:p>
        </w:tc>
        <w:tc>
          <w:tcPr>
            <w:tcW w:w="881" w:type="dxa"/>
            <w:shd w:val="clear" w:color="auto" w:fill="D9D9D9"/>
          </w:tcPr>
          <w:p w14:paraId="0640307D">
            <w:pPr>
              <w:spacing w:before="177" w:line="220" w:lineRule="auto"/>
              <w:ind w:left="19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作者</w:t>
            </w:r>
          </w:p>
        </w:tc>
        <w:tc>
          <w:tcPr>
            <w:tcW w:w="1274" w:type="dxa"/>
            <w:shd w:val="clear" w:color="auto" w:fill="D9D9D9"/>
          </w:tcPr>
          <w:p w14:paraId="0644A745">
            <w:pPr>
              <w:spacing w:before="177" w:line="220" w:lineRule="auto"/>
              <w:ind w:left="430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957" w:type="dxa"/>
            <w:shd w:val="clear" w:color="auto" w:fill="D9D9D9"/>
          </w:tcPr>
          <w:p w14:paraId="799EE85A">
            <w:pPr>
              <w:spacing w:before="177" w:line="220" w:lineRule="auto"/>
              <w:ind w:left="244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8"/>
                <w:sz w:val="24"/>
                <w:szCs w:val="24"/>
              </w:rPr>
              <w:t>审核</w:t>
            </w:r>
          </w:p>
        </w:tc>
        <w:tc>
          <w:tcPr>
            <w:tcW w:w="1377" w:type="dxa"/>
            <w:shd w:val="clear" w:color="auto" w:fill="D9D9D9"/>
          </w:tcPr>
          <w:p w14:paraId="0A0944D8">
            <w:pPr>
              <w:spacing w:before="177" w:line="220" w:lineRule="auto"/>
              <w:ind w:left="487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017" w:type="dxa"/>
            <w:shd w:val="clear" w:color="auto" w:fill="D9D9D9"/>
          </w:tcPr>
          <w:p w14:paraId="338ED4DB">
            <w:pPr>
              <w:spacing w:before="176" w:line="221" w:lineRule="auto"/>
              <w:ind w:left="268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5"/>
                <w:sz w:val="24"/>
                <w:szCs w:val="24"/>
              </w:rPr>
              <w:t>批准</w:t>
            </w:r>
          </w:p>
        </w:tc>
        <w:tc>
          <w:tcPr>
            <w:tcW w:w="1482" w:type="dxa"/>
            <w:shd w:val="clear" w:color="auto" w:fill="D9D9D9"/>
          </w:tcPr>
          <w:p w14:paraId="2D6F740B">
            <w:pPr>
              <w:spacing w:before="177" w:line="220" w:lineRule="auto"/>
              <w:ind w:left="441"/>
              <w:rPr>
                <w:rFonts w:ascii="宋体" w:hAnsi="宋体" w:eastAsia="宋体" w:cs="宋体"/>
                <w:sz w:val="24"/>
                <w:szCs w:val="24"/>
              </w:rPr>
            </w:pPr>
            <w:r>
              <w:rPr>
                <w:rFonts w:ascii="宋体" w:hAnsi="宋体" w:eastAsia="宋体" w:cs="宋体"/>
                <w:b/>
                <w:bCs/>
                <w:spacing w:val="-15"/>
                <w:sz w:val="24"/>
                <w:szCs w:val="24"/>
              </w:rPr>
              <w:t>日期</w:t>
            </w:r>
          </w:p>
        </w:tc>
        <w:tc>
          <w:tcPr>
            <w:tcW w:w="1172" w:type="dxa"/>
            <w:vMerge w:val="continue"/>
            <w:tcBorders>
              <w:top w:val="nil"/>
              <w:right w:val="single" w:color="000000" w:sz="10" w:space="0"/>
            </w:tcBorders>
          </w:tcPr>
          <w:p w14:paraId="0D1CE5FB">
            <w:pPr>
              <w:rPr>
                <w:rFonts w:ascii="Arial"/>
                <w:sz w:val="21"/>
              </w:rPr>
            </w:pPr>
          </w:p>
        </w:tc>
      </w:tr>
      <w:tr w14:paraId="710E34CB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51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C883D7D">
            <w:pPr>
              <w:pStyle w:val="27"/>
              <w:spacing w:before="230" w:line="237" w:lineRule="auto"/>
              <w:ind w:left="195"/>
            </w:pPr>
            <w:r>
              <w:rPr>
                <w:spacing w:val="-1"/>
              </w:rPr>
              <w:t>V1.0</w:t>
            </w:r>
          </w:p>
        </w:tc>
        <w:tc>
          <w:tcPr>
            <w:tcW w:w="881" w:type="dxa"/>
          </w:tcPr>
          <w:p w14:paraId="7FB962C6">
            <w:pPr>
              <w:pStyle w:val="27"/>
              <w:spacing w:before="230" w:line="219" w:lineRule="auto"/>
              <w:ind w:left="125"/>
            </w:pPr>
            <w:r>
              <w:rPr>
                <w:rFonts w:hint="eastAsia"/>
                <w:spacing w:val="-4"/>
              </w:rPr>
              <w:t>吴杰</w:t>
            </w:r>
          </w:p>
        </w:tc>
        <w:tc>
          <w:tcPr>
            <w:tcW w:w="1274" w:type="dxa"/>
          </w:tcPr>
          <w:p w14:paraId="0B391C79">
            <w:pPr>
              <w:pStyle w:val="27"/>
              <w:spacing w:before="230" w:line="237" w:lineRule="auto"/>
              <w:ind w:left="104"/>
              <w:rPr>
                <w:rFonts w:hint="default" w:eastAsia="宋体"/>
                <w:lang w:val="en-US" w:eastAsia="zh-CN"/>
              </w:rPr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01.07</w:t>
            </w:r>
          </w:p>
        </w:tc>
        <w:tc>
          <w:tcPr>
            <w:tcW w:w="957" w:type="dxa"/>
          </w:tcPr>
          <w:p w14:paraId="0806E2DD">
            <w:pPr>
              <w:pStyle w:val="27"/>
              <w:spacing w:before="230" w:line="219" w:lineRule="auto"/>
              <w:ind w:left="168"/>
            </w:pPr>
            <w:r>
              <w:rPr>
                <w:spacing w:val="-4"/>
              </w:rPr>
              <w:t>赵建中</w:t>
            </w:r>
          </w:p>
        </w:tc>
        <w:tc>
          <w:tcPr>
            <w:tcW w:w="1377" w:type="dxa"/>
          </w:tcPr>
          <w:p w14:paraId="0320F66E">
            <w:pPr>
              <w:pStyle w:val="27"/>
              <w:spacing w:before="230" w:line="237" w:lineRule="auto"/>
              <w:ind w:left="161"/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01.07</w:t>
            </w:r>
          </w:p>
        </w:tc>
        <w:tc>
          <w:tcPr>
            <w:tcW w:w="1017" w:type="dxa"/>
          </w:tcPr>
          <w:p w14:paraId="7B95F9C2">
            <w:pPr>
              <w:pStyle w:val="27"/>
              <w:spacing w:before="230" w:line="220" w:lineRule="auto"/>
              <w:ind w:left="202"/>
            </w:pPr>
            <w:r>
              <w:rPr>
                <w:spacing w:val="-3"/>
              </w:rPr>
              <w:t>陆涛</w:t>
            </w:r>
          </w:p>
        </w:tc>
        <w:tc>
          <w:tcPr>
            <w:tcW w:w="1482" w:type="dxa"/>
          </w:tcPr>
          <w:p w14:paraId="76E7ED73">
            <w:pPr>
              <w:pStyle w:val="27"/>
              <w:spacing w:before="230" w:line="237" w:lineRule="auto"/>
              <w:ind w:left="220"/>
            </w:pPr>
            <w:r>
              <w:rPr>
                <w:spacing w:val="-1"/>
              </w:rPr>
              <w:t>2025.</w:t>
            </w:r>
            <w:r>
              <w:rPr>
                <w:rFonts w:hint="eastAsia"/>
                <w:spacing w:val="-1"/>
                <w:lang w:val="en-US" w:eastAsia="zh-CN"/>
              </w:rPr>
              <w:t>01.07</w:t>
            </w: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1A5ABD82">
            <w:pPr>
              <w:pStyle w:val="27"/>
              <w:spacing w:before="230" w:line="217" w:lineRule="auto"/>
              <w:ind w:left="341"/>
            </w:pPr>
            <w:r>
              <w:rPr>
                <w:spacing w:val="-5"/>
              </w:rPr>
              <w:t>首次发布</w:t>
            </w:r>
          </w:p>
        </w:tc>
      </w:tr>
      <w:tr w14:paraId="74A769EC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5" w:hRule="atLeast"/>
        </w:trPr>
        <w:tc>
          <w:tcPr>
            <w:tcW w:w="845" w:type="dxa"/>
            <w:tcBorders>
              <w:left w:val="single" w:color="000000" w:sz="10" w:space="0"/>
            </w:tcBorders>
          </w:tcPr>
          <w:p w14:paraId="3DAB5E6A">
            <w:pPr>
              <w:pStyle w:val="27"/>
              <w:spacing w:before="152" w:line="237" w:lineRule="auto"/>
              <w:ind w:left="195"/>
            </w:pPr>
          </w:p>
        </w:tc>
        <w:tc>
          <w:tcPr>
            <w:tcW w:w="881" w:type="dxa"/>
          </w:tcPr>
          <w:p w14:paraId="304E0B0C">
            <w:pPr>
              <w:pStyle w:val="27"/>
              <w:spacing w:before="152" w:line="219" w:lineRule="auto"/>
              <w:ind w:left="125"/>
            </w:pPr>
          </w:p>
        </w:tc>
        <w:tc>
          <w:tcPr>
            <w:tcW w:w="1274" w:type="dxa"/>
          </w:tcPr>
          <w:p w14:paraId="66497D48">
            <w:pPr>
              <w:pStyle w:val="27"/>
              <w:spacing w:before="152" w:line="237" w:lineRule="auto"/>
              <w:ind w:left="210"/>
            </w:pPr>
          </w:p>
        </w:tc>
        <w:tc>
          <w:tcPr>
            <w:tcW w:w="957" w:type="dxa"/>
          </w:tcPr>
          <w:p w14:paraId="1FE3C12A">
            <w:pPr>
              <w:pStyle w:val="27"/>
              <w:spacing w:before="152" w:line="219" w:lineRule="auto"/>
              <w:ind w:left="168"/>
            </w:pPr>
          </w:p>
        </w:tc>
        <w:tc>
          <w:tcPr>
            <w:tcW w:w="1377" w:type="dxa"/>
          </w:tcPr>
          <w:p w14:paraId="012EE647">
            <w:pPr>
              <w:pStyle w:val="27"/>
              <w:spacing w:before="152" w:line="237" w:lineRule="auto"/>
              <w:ind w:left="267"/>
            </w:pPr>
          </w:p>
        </w:tc>
        <w:tc>
          <w:tcPr>
            <w:tcW w:w="1017" w:type="dxa"/>
          </w:tcPr>
          <w:p w14:paraId="75BDB48B">
            <w:pPr>
              <w:pStyle w:val="27"/>
              <w:spacing w:before="152" w:line="220" w:lineRule="auto"/>
              <w:ind w:left="202"/>
            </w:pPr>
          </w:p>
        </w:tc>
        <w:tc>
          <w:tcPr>
            <w:tcW w:w="1482" w:type="dxa"/>
          </w:tcPr>
          <w:p w14:paraId="7A74C2F1">
            <w:pPr>
              <w:pStyle w:val="27"/>
              <w:spacing w:before="152" w:line="237" w:lineRule="auto"/>
              <w:ind w:left="220"/>
            </w:pPr>
          </w:p>
        </w:tc>
        <w:tc>
          <w:tcPr>
            <w:tcW w:w="1172" w:type="dxa"/>
            <w:tcBorders>
              <w:right w:val="single" w:color="000000" w:sz="10" w:space="0"/>
            </w:tcBorders>
          </w:tcPr>
          <w:p w14:paraId="120E8B79">
            <w:pPr>
              <w:pStyle w:val="27"/>
              <w:spacing w:before="152" w:line="219" w:lineRule="auto"/>
              <w:ind w:left="436"/>
            </w:pPr>
          </w:p>
        </w:tc>
      </w:tr>
      <w:tr w14:paraId="7CAEAEF9">
        <w:tblPrEx>
          <w:tblBorders>
            <w:top w:val="single" w:color="000000" w:sz="6" w:space="0"/>
            <w:left w:val="single" w:color="000000" w:sz="6" w:space="0"/>
            <w:bottom w:val="single" w:color="000000" w:sz="6" w:space="0"/>
            <w:right w:val="single" w:color="000000" w:sz="6" w:space="0"/>
            <w:insideH w:val="single" w:color="000000" w:sz="6" w:space="0"/>
            <w:insideV w:val="single" w:color="000000" w:sz="6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03" w:hRule="atLeast"/>
        </w:trPr>
        <w:tc>
          <w:tcPr>
            <w:tcW w:w="845" w:type="dxa"/>
            <w:tcBorders>
              <w:left w:val="single" w:color="000000" w:sz="10" w:space="0"/>
              <w:bottom w:val="single" w:color="000000" w:sz="10" w:space="0"/>
            </w:tcBorders>
          </w:tcPr>
          <w:p w14:paraId="5787F63E">
            <w:pPr>
              <w:pStyle w:val="27"/>
              <w:spacing w:before="157" w:line="237" w:lineRule="auto"/>
              <w:ind w:left="195"/>
            </w:pPr>
          </w:p>
        </w:tc>
        <w:tc>
          <w:tcPr>
            <w:tcW w:w="881" w:type="dxa"/>
            <w:tcBorders>
              <w:bottom w:val="single" w:color="000000" w:sz="10" w:space="0"/>
            </w:tcBorders>
          </w:tcPr>
          <w:p w14:paraId="2BD69362">
            <w:pPr>
              <w:pStyle w:val="27"/>
              <w:spacing w:before="157" w:line="219" w:lineRule="auto"/>
              <w:ind w:left="125"/>
            </w:pPr>
          </w:p>
        </w:tc>
        <w:tc>
          <w:tcPr>
            <w:tcW w:w="1274" w:type="dxa"/>
            <w:tcBorders>
              <w:bottom w:val="single" w:color="000000" w:sz="10" w:space="0"/>
            </w:tcBorders>
          </w:tcPr>
          <w:p w14:paraId="519DD42E">
            <w:pPr>
              <w:pStyle w:val="27"/>
              <w:spacing w:before="157" w:line="237" w:lineRule="auto"/>
              <w:ind w:left="210"/>
            </w:pPr>
          </w:p>
        </w:tc>
        <w:tc>
          <w:tcPr>
            <w:tcW w:w="957" w:type="dxa"/>
            <w:tcBorders>
              <w:bottom w:val="single" w:color="000000" w:sz="10" w:space="0"/>
            </w:tcBorders>
          </w:tcPr>
          <w:p w14:paraId="264D4828">
            <w:pPr>
              <w:pStyle w:val="27"/>
              <w:spacing w:before="157" w:line="218" w:lineRule="auto"/>
              <w:ind w:left="164"/>
            </w:pPr>
          </w:p>
        </w:tc>
        <w:tc>
          <w:tcPr>
            <w:tcW w:w="1377" w:type="dxa"/>
            <w:tcBorders>
              <w:bottom w:val="single" w:color="000000" w:sz="10" w:space="0"/>
            </w:tcBorders>
          </w:tcPr>
          <w:p w14:paraId="324414F2">
            <w:pPr>
              <w:pStyle w:val="27"/>
              <w:spacing w:before="157" w:line="237" w:lineRule="auto"/>
              <w:ind w:left="267"/>
            </w:pPr>
          </w:p>
        </w:tc>
        <w:tc>
          <w:tcPr>
            <w:tcW w:w="1017" w:type="dxa"/>
            <w:tcBorders>
              <w:bottom w:val="single" w:color="000000" w:sz="10" w:space="0"/>
            </w:tcBorders>
          </w:tcPr>
          <w:p w14:paraId="0FD934D7">
            <w:pPr>
              <w:pStyle w:val="27"/>
              <w:spacing w:before="157" w:line="220" w:lineRule="auto"/>
              <w:ind w:left="202"/>
            </w:pPr>
          </w:p>
        </w:tc>
        <w:tc>
          <w:tcPr>
            <w:tcW w:w="1482" w:type="dxa"/>
            <w:tcBorders>
              <w:bottom w:val="single" w:color="000000" w:sz="10" w:space="0"/>
            </w:tcBorders>
          </w:tcPr>
          <w:p w14:paraId="225C6788">
            <w:pPr>
              <w:pStyle w:val="27"/>
              <w:spacing w:before="157" w:line="237" w:lineRule="auto"/>
              <w:ind w:left="220"/>
            </w:pPr>
          </w:p>
        </w:tc>
        <w:tc>
          <w:tcPr>
            <w:tcW w:w="1172" w:type="dxa"/>
            <w:tcBorders>
              <w:bottom w:val="single" w:color="000000" w:sz="10" w:space="0"/>
              <w:right w:val="single" w:color="000000" w:sz="10" w:space="0"/>
            </w:tcBorders>
          </w:tcPr>
          <w:p w14:paraId="3E77818D">
            <w:pPr>
              <w:pStyle w:val="27"/>
              <w:spacing w:before="157" w:line="219" w:lineRule="auto"/>
              <w:ind w:left="436"/>
            </w:pPr>
          </w:p>
        </w:tc>
      </w:tr>
    </w:tbl>
    <w:p w14:paraId="6C9B8326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50A5CAED">
      <w:pPr>
        <w:pStyle w:val="30"/>
        <w:bidi w:val="0"/>
      </w:pPr>
      <w:bookmarkStart w:id="0" w:name="_Toc23710"/>
      <w:r>
        <w:t>目的</w:t>
      </w:r>
      <w:bookmarkEnd w:id="0"/>
    </w:p>
    <w:p w14:paraId="519EF714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76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依据我公司运维服务业务定位和能力，策划运行维护服务对象的服务</w:t>
      </w:r>
      <w:r>
        <w:rPr>
          <w:rFonts w:ascii="宋体" w:hAnsi="宋体" w:eastAsia="宋体" w:cs="宋体"/>
          <w:spacing w:val="-4"/>
          <w:sz w:val="24"/>
          <w:szCs w:val="24"/>
        </w:rPr>
        <w:t>内容和要求，提高服务质量特制定此服务目录。</w:t>
      </w:r>
    </w:p>
    <w:p w14:paraId="11B12683">
      <w:pPr>
        <w:pStyle w:val="30"/>
        <w:bidi w:val="0"/>
      </w:pPr>
      <w:bookmarkStart w:id="1" w:name="_Toc25913"/>
      <w:r>
        <w:t>适用范围</w:t>
      </w:r>
      <w:bookmarkEnd w:id="1"/>
    </w:p>
    <w:p w14:paraId="16C53E31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64" w:firstLineChars="200"/>
        <w:textAlignment w:val="baseline"/>
        <w:rPr>
          <w:rFonts w:ascii="宋体" w:hAnsi="宋体" w:eastAsia="宋体" w:cs="宋体"/>
          <w:spacing w:val="-4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本手册适用于本公司参与运维服务业务的部门和人员</w:t>
      </w:r>
    </w:p>
    <w:p w14:paraId="5EDAEEE1">
      <w:pPr>
        <w:pStyle w:val="30"/>
        <w:bidi w:val="0"/>
      </w:pPr>
      <w:bookmarkStart w:id="2" w:name="_Toc13875"/>
      <w:r>
        <w:t>引用文件</w:t>
      </w:r>
      <w:bookmarkEnd w:id="2"/>
    </w:p>
    <w:p w14:paraId="0BFFE169">
      <w:pPr>
        <w:pStyle w:val="12"/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/>
          <w:position w:val="1"/>
          <w:sz w:val="24"/>
          <w:szCs w:val="24"/>
        </w:rPr>
        <w:t>T/CESA 1299—2023</w:t>
      </w:r>
      <w:r>
        <w:rPr>
          <w:rFonts w:ascii="宋体" w:hAnsi="宋体" w:eastAsia="宋体" w:cs="宋体"/>
          <w:position w:val="1"/>
          <w:sz w:val="24"/>
          <w:szCs w:val="24"/>
        </w:rPr>
        <w:t>《信息技术服务 运行维护服务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能力成熟度模型》</w:t>
      </w:r>
    </w:p>
    <w:p w14:paraId="40BF9DF5">
      <w:pPr>
        <w:pStyle w:val="12"/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position w:val="1"/>
          <w:sz w:val="24"/>
          <w:szCs w:val="24"/>
        </w:rPr>
        <w:t>GB/T 28827.1-2</w:t>
      </w:r>
      <w:r>
        <w:rPr>
          <w:spacing w:val="-1"/>
          <w:position w:val="1"/>
          <w:sz w:val="24"/>
          <w:szCs w:val="24"/>
        </w:rPr>
        <w:t>0</w:t>
      </w:r>
      <w:r>
        <w:rPr>
          <w:rFonts w:hint="eastAsia" w:eastAsia="宋体"/>
          <w:spacing w:val="-1"/>
          <w:position w:val="1"/>
          <w:sz w:val="24"/>
          <w:szCs w:val="24"/>
          <w:lang w:val="en-US" w:eastAsia="zh-CN"/>
        </w:rPr>
        <w:t>2</w:t>
      </w:r>
      <w:r>
        <w:rPr>
          <w:spacing w:val="-1"/>
          <w:position w:val="1"/>
          <w:sz w:val="24"/>
          <w:szCs w:val="24"/>
        </w:rPr>
        <w:t xml:space="preserve">2 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《信息技术服务 运行维护 第</w:t>
      </w:r>
      <w:r>
        <w:rPr>
          <w:rFonts w:ascii="宋体" w:hAnsi="宋体" w:eastAsia="宋体" w:cs="宋体"/>
          <w:spacing w:val="-34"/>
          <w:position w:val="1"/>
          <w:sz w:val="24"/>
          <w:szCs w:val="24"/>
        </w:rPr>
        <w:t xml:space="preserve"> </w:t>
      </w:r>
      <w:r>
        <w:rPr>
          <w:spacing w:val="-1"/>
          <w:position w:val="1"/>
          <w:sz w:val="24"/>
          <w:szCs w:val="24"/>
        </w:rPr>
        <w:t>1</w:t>
      </w:r>
      <w:r>
        <w:rPr>
          <w:spacing w:val="6"/>
          <w:position w:val="1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部分：通用要求》</w:t>
      </w:r>
    </w:p>
    <w:p w14:paraId="09068637">
      <w:pPr>
        <w:pStyle w:val="12"/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position w:val="1"/>
          <w:sz w:val="24"/>
          <w:szCs w:val="24"/>
        </w:rPr>
        <w:t xml:space="preserve">GB/T 29264-2012 </w:t>
      </w:r>
      <w:r>
        <w:rPr>
          <w:rFonts w:ascii="宋体" w:hAnsi="宋体" w:eastAsia="宋体" w:cs="宋体"/>
          <w:position w:val="1"/>
          <w:sz w:val="24"/>
          <w:szCs w:val="24"/>
        </w:rPr>
        <w:t>《信息技术服务</w:t>
      </w:r>
      <w:r>
        <w:rPr>
          <w:rFonts w:ascii="宋体" w:hAnsi="宋体" w:eastAsia="宋体" w:cs="宋体"/>
          <w:spacing w:val="12"/>
          <w:position w:val="1"/>
          <w:sz w:val="24"/>
          <w:szCs w:val="24"/>
        </w:rPr>
        <w:t xml:space="preserve"> </w:t>
      </w:r>
      <w:r>
        <w:rPr>
          <w:rFonts w:ascii="宋体" w:hAnsi="宋体" w:eastAsia="宋体" w:cs="宋体"/>
          <w:position w:val="1"/>
          <w:sz w:val="24"/>
          <w:szCs w:val="24"/>
        </w:rPr>
        <w:t>分类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与代码》</w:t>
      </w:r>
    </w:p>
    <w:p w14:paraId="3F1B0B51">
      <w:pPr>
        <w:pStyle w:val="12"/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position w:val="1"/>
          <w:sz w:val="24"/>
          <w:szCs w:val="24"/>
        </w:rPr>
        <w:t xml:space="preserve">GB/T 28827.2-2012 </w:t>
      </w:r>
      <w:r>
        <w:rPr>
          <w:rFonts w:ascii="宋体" w:hAnsi="宋体" w:eastAsia="宋体" w:cs="宋体"/>
          <w:position w:val="1"/>
          <w:sz w:val="24"/>
          <w:szCs w:val="24"/>
        </w:rPr>
        <w:t>《信息技术服务 运行维护 第</w:t>
      </w:r>
      <w:r>
        <w:rPr>
          <w:rFonts w:ascii="宋体" w:hAnsi="宋体" w:eastAsia="宋体" w:cs="宋体"/>
          <w:spacing w:val="-53"/>
          <w:position w:val="1"/>
          <w:sz w:val="24"/>
          <w:szCs w:val="24"/>
        </w:rPr>
        <w:t xml:space="preserve"> </w:t>
      </w:r>
      <w:r>
        <w:rPr>
          <w:position w:val="1"/>
          <w:sz w:val="24"/>
          <w:szCs w:val="24"/>
        </w:rPr>
        <w:t>2</w:t>
      </w:r>
      <w:r>
        <w:rPr>
          <w:spacing w:val="5"/>
          <w:position w:val="1"/>
          <w:sz w:val="24"/>
          <w:szCs w:val="24"/>
        </w:rPr>
        <w:t xml:space="preserve"> </w:t>
      </w:r>
      <w:r>
        <w:rPr>
          <w:rFonts w:ascii="宋体" w:hAnsi="宋体" w:eastAsia="宋体" w:cs="宋体"/>
          <w:position w:val="1"/>
          <w:sz w:val="24"/>
          <w:szCs w:val="24"/>
        </w:rPr>
        <w:t>部分</w:t>
      </w:r>
      <w:r>
        <w:rPr>
          <w:position w:val="1"/>
          <w:sz w:val="24"/>
          <w:szCs w:val="24"/>
        </w:rPr>
        <w:t>:</w:t>
      </w:r>
      <w:r>
        <w:rPr>
          <w:rFonts w:ascii="宋体" w:hAnsi="宋体" w:eastAsia="宋体" w:cs="宋体"/>
          <w:position w:val="1"/>
          <w:sz w:val="24"/>
          <w:szCs w:val="24"/>
        </w:rPr>
        <w:t>交</w:t>
      </w:r>
      <w:r>
        <w:rPr>
          <w:rFonts w:ascii="宋体" w:hAnsi="宋体" w:eastAsia="宋体" w:cs="宋体"/>
          <w:spacing w:val="-1"/>
          <w:position w:val="1"/>
          <w:sz w:val="24"/>
          <w:szCs w:val="24"/>
        </w:rPr>
        <w:t>付规范》</w:t>
      </w:r>
    </w:p>
    <w:p w14:paraId="117A2E24">
      <w:pPr>
        <w:pStyle w:val="12"/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spacing w:val="-1"/>
          <w:sz w:val="24"/>
          <w:szCs w:val="24"/>
        </w:rPr>
        <w:t>GB/T</w:t>
      </w:r>
      <w:r>
        <w:rPr>
          <w:spacing w:val="43"/>
          <w:sz w:val="24"/>
          <w:szCs w:val="24"/>
        </w:rPr>
        <w:t xml:space="preserve"> </w:t>
      </w:r>
      <w:r>
        <w:rPr>
          <w:spacing w:val="-1"/>
          <w:sz w:val="24"/>
          <w:szCs w:val="24"/>
        </w:rPr>
        <w:t>28827.3-2012</w:t>
      </w:r>
      <w:r>
        <w:rPr>
          <w:spacing w:val="2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《信息技术服务</w:t>
      </w:r>
      <w:r>
        <w:rPr>
          <w:rFonts w:ascii="宋体" w:hAnsi="宋体" w:eastAsia="宋体" w:cs="宋体"/>
          <w:spacing w:val="3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运行维护</w:t>
      </w:r>
      <w:r>
        <w:rPr>
          <w:rFonts w:ascii="宋体" w:hAnsi="宋体" w:eastAsia="宋体" w:cs="宋体"/>
          <w:spacing w:val="3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第</w:t>
      </w:r>
      <w:r>
        <w:rPr>
          <w:rFonts w:ascii="宋体" w:hAnsi="宋体" w:eastAsia="宋体" w:cs="宋体"/>
          <w:spacing w:val="-50"/>
          <w:sz w:val="24"/>
          <w:szCs w:val="24"/>
        </w:rPr>
        <w:t xml:space="preserve"> </w:t>
      </w:r>
      <w:r>
        <w:rPr>
          <w:spacing w:val="-1"/>
          <w:sz w:val="24"/>
          <w:szCs w:val="24"/>
        </w:rPr>
        <w:t xml:space="preserve">3 </w:t>
      </w:r>
      <w:r>
        <w:rPr>
          <w:rFonts w:ascii="宋体" w:hAnsi="宋体" w:eastAsia="宋体" w:cs="宋体"/>
          <w:spacing w:val="-1"/>
          <w:sz w:val="24"/>
          <w:szCs w:val="24"/>
        </w:rPr>
        <w:t>部分</w:t>
      </w:r>
      <w:r>
        <w:rPr>
          <w:spacing w:val="-1"/>
          <w:sz w:val="24"/>
          <w:szCs w:val="24"/>
        </w:rPr>
        <w:t>:</w:t>
      </w:r>
      <w:r>
        <w:rPr>
          <w:rFonts w:ascii="宋体" w:hAnsi="宋体" w:eastAsia="宋体" w:cs="宋体"/>
          <w:spacing w:val="-1"/>
          <w:sz w:val="24"/>
          <w:szCs w:val="24"/>
        </w:rPr>
        <w:t>应急响应规</w:t>
      </w:r>
      <w:r>
        <w:rPr>
          <w:rFonts w:ascii="宋体" w:hAnsi="宋体" w:eastAsia="宋体" w:cs="宋体"/>
          <w:spacing w:val="-8"/>
          <w:sz w:val="24"/>
          <w:szCs w:val="24"/>
        </w:rPr>
        <w:t>范》</w:t>
      </w:r>
    </w:p>
    <w:p w14:paraId="1390E259">
      <w:pPr>
        <w:pStyle w:val="12"/>
        <w:keepNext w:val="0"/>
        <w:keepLines w:val="0"/>
        <w:pageBreakBefore w:val="0"/>
        <w:widowControl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25" w:leftChars="0" w:right="0" w:hanging="425" w:firstLineChars="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position w:val="1"/>
          <w:sz w:val="24"/>
          <w:szCs w:val="24"/>
        </w:rPr>
        <w:t>国家有关法律、法规及行业标准</w:t>
      </w:r>
    </w:p>
    <w:p w14:paraId="1C3BAEED">
      <w:pPr>
        <w:pStyle w:val="30"/>
        <w:bidi w:val="0"/>
      </w:pPr>
      <w:bookmarkStart w:id="3" w:name="_Toc19670"/>
      <w:r>
        <w:t>术语与定义</w:t>
      </w:r>
      <w:bookmarkEnd w:id="3"/>
    </w:p>
    <w:p w14:paraId="03D7DAC6">
      <w:pPr>
        <w:spacing w:before="115" w:line="220" w:lineRule="auto"/>
        <w:ind w:left="45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无</w:t>
      </w:r>
    </w:p>
    <w:p w14:paraId="0B4C03A1">
      <w:pPr>
        <w:pStyle w:val="30"/>
        <w:bidi w:val="0"/>
      </w:pPr>
      <w:bookmarkStart w:id="4" w:name="_Toc20070"/>
      <w:r>
        <w:t>角色与职责</w:t>
      </w:r>
      <w:bookmarkEnd w:id="4"/>
    </w:p>
    <w:p w14:paraId="11E43EB9">
      <w:pPr>
        <w:spacing w:before="157"/>
      </w:pPr>
    </w:p>
    <w:tbl>
      <w:tblPr>
        <w:tblStyle w:val="28"/>
        <w:tblW w:w="8364" w:type="dxa"/>
        <w:tblInd w:w="44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15"/>
        <w:gridCol w:w="6849"/>
      </w:tblGrid>
      <w:tr w14:paraId="6B2B075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1" w:hRule="atLeast"/>
        </w:trPr>
        <w:tc>
          <w:tcPr>
            <w:tcW w:w="1515" w:type="dxa"/>
            <w:shd w:val="clear" w:color="auto" w:fill="F2F2F2"/>
            <w:vAlign w:val="top"/>
          </w:tcPr>
          <w:p w14:paraId="0470BD93">
            <w:pPr>
              <w:pStyle w:val="27"/>
              <w:spacing w:before="125" w:line="219" w:lineRule="auto"/>
              <w:ind w:left="524"/>
            </w:pPr>
            <w:r>
              <w:rPr>
                <w:b/>
                <w:bCs/>
                <w:spacing w:val="-6"/>
              </w:rPr>
              <w:t>角色</w:t>
            </w:r>
          </w:p>
        </w:tc>
        <w:tc>
          <w:tcPr>
            <w:tcW w:w="6849" w:type="dxa"/>
            <w:shd w:val="clear" w:color="auto" w:fill="F2F2F2"/>
            <w:vAlign w:val="top"/>
          </w:tcPr>
          <w:p w14:paraId="119FF948">
            <w:pPr>
              <w:pStyle w:val="27"/>
              <w:spacing w:before="126" w:line="221" w:lineRule="auto"/>
              <w:ind w:left="3188"/>
            </w:pPr>
            <w:r>
              <w:rPr>
                <w:b/>
                <w:bCs/>
                <w:spacing w:val="-6"/>
              </w:rPr>
              <w:t>职责</w:t>
            </w:r>
          </w:p>
        </w:tc>
      </w:tr>
      <w:tr w14:paraId="451F239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9" w:hRule="atLeast"/>
        </w:trPr>
        <w:tc>
          <w:tcPr>
            <w:tcW w:w="1515" w:type="dxa"/>
            <w:vAlign w:val="top"/>
          </w:tcPr>
          <w:p w14:paraId="773FDB6B">
            <w:pPr>
              <w:spacing w:line="265" w:lineRule="auto"/>
              <w:rPr>
                <w:rFonts w:ascii="Arial"/>
                <w:sz w:val="21"/>
              </w:rPr>
            </w:pPr>
          </w:p>
          <w:p w14:paraId="5E9FF7E3">
            <w:pPr>
              <w:spacing w:line="266" w:lineRule="auto"/>
              <w:rPr>
                <w:rFonts w:ascii="Arial"/>
                <w:sz w:val="21"/>
              </w:rPr>
            </w:pPr>
          </w:p>
          <w:p w14:paraId="7D8A09B6">
            <w:pPr>
              <w:pStyle w:val="27"/>
              <w:spacing w:before="78" w:line="220" w:lineRule="auto"/>
              <w:ind w:left="118"/>
            </w:pPr>
            <w:r>
              <w:rPr>
                <w:spacing w:val="-4"/>
              </w:rPr>
              <w:t>管理层</w:t>
            </w:r>
          </w:p>
        </w:tc>
        <w:tc>
          <w:tcPr>
            <w:tcW w:w="6849" w:type="dxa"/>
            <w:vAlign w:val="top"/>
          </w:tcPr>
          <w:p w14:paraId="45BAAA51">
            <w:pPr>
              <w:pStyle w:val="27"/>
              <w:spacing w:before="202" w:line="220" w:lineRule="auto"/>
              <w:ind w:left="155"/>
              <w:rPr>
                <w:spacing w:val="-2"/>
              </w:rPr>
            </w:pPr>
            <w:r>
              <w:rPr>
                <w:spacing w:val="-2"/>
              </w:rPr>
              <w:drawing>
                <wp:inline distT="0" distB="0" distL="0" distR="0">
                  <wp:extent cx="107950" cy="168910"/>
                  <wp:effectExtent l="0" t="0" r="13970" b="13970"/>
                  <wp:docPr id="4" name="IM 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IM 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2"/>
              </w:rPr>
              <w:t xml:space="preserve">  负责审批年度服务能力管理计划。</w:t>
            </w:r>
          </w:p>
          <w:p w14:paraId="6B89F460">
            <w:pPr>
              <w:pStyle w:val="27"/>
              <w:spacing w:before="202" w:line="220" w:lineRule="auto"/>
              <w:ind w:left="155"/>
              <w:rPr>
                <w:spacing w:val="-2"/>
              </w:rPr>
            </w:pPr>
            <w:r>
              <w:rPr>
                <w:spacing w:val="-2"/>
              </w:rPr>
              <w:drawing>
                <wp:inline distT="0" distB="0" distL="0" distR="0">
                  <wp:extent cx="107950" cy="168910"/>
                  <wp:effectExtent l="0" t="0" r="13970" b="13970"/>
                  <wp:docPr id="6" name="IM 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 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2"/>
              </w:rPr>
              <w:t xml:space="preserve">  定期对服务实施过程和服务实施过程的改进进行监控管理。</w:t>
            </w:r>
          </w:p>
          <w:p w14:paraId="21DE0928">
            <w:pPr>
              <w:pStyle w:val="27"/>
              <w:spacing w:before="202" w:line="220" w:lineRule="auto"/>
              <w:ind w:left="155"/>
              <w:rPr>
                <w:spacing w:val="-2"/>
              </w:rPr>
            </w:pPr>
            <w:r>
              <w:rPr>
                <w:spacing w:val="-2"/>
              </w:rPr>
              <w:drawing>
                <wp:inline distT="0" distB="0" distL="0" distR="0">
                  <wp:extent cx="107950" cy="168910"/>
                  <wp:effectExtent l="0" t="0" r="13970" b="13970"/>
                  <wp:docPr id="1" name="IM 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 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-2"/>
              </w:rPr>
              <w:t xml:space="preserve">  负责公司运维服务体系的管理评审，以确保运维服务能力适</w:t>
            </w:r>
          </w:p>
          <w:p w14:paraId="19ED47C7">
            <w:pPr>
              <w:pStyle w:val="27"/>
              <w:spacing w:before="202" w:line="220" w:lineRule="auto"/>
              <w:ind w:left="155"/>
              <w:rPr>
                <w:spacing w:val="-2"/>
              </w:rPr>
            </w:pPr>
            <w:r>
              <w:rPr>
                <w:spacing w:val="-2"/>
              </w:rPr>
              <w:t>应性和有效性。</w:t>
            </w:r>
          </w:p>
        </w:tc>
      </w:tr>
      <w:tr w14:paraId="49D1AE1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9" w:hRule="atLeast"/>
        </w:trPr>
        <w:tc>
          <w:tcPr>
            <w:tcW w:w="1515" w:type="dxa"/>
            <w:shd w:val="clear" w:color="auto" w:fill="auto"/>
            <w:vAlign w:val="top"/>
          </w:tcPr>
          <w:p w14:paraId="4DD5F36C">
            <w:pPr>
              <w:spacing w:line="247" w:lineRule="auto"/>
              <w:rPr>
                <w:rFonts w:ascii="Arial"/>
                <w:sz w:val="21"/>
              </w:rPr>
            </w:pPr>
          </w:p>
          <w:p w14:paraId="457BC7BC">
            <w:pPr>
              <w:spacing w:line="247" w:lineRule="auto"/>
              <w:rPr>
                <w:rFonts w:ascii="Arial"/>
                <w:sz w:val="21"/>
              </w:rPr>
            </w:pPr>
          </w:p>
          <w:p w14:paraId="177FF409">
            <w:pPr>
              <w:spacing w:line="247" w:lineRule="auto"/>
              <w:rPr>
                <w:rFonts w:ascii="Arial"/>
                <w:sz w:val="21"/>
              </w:rPr>
            </w:pPr>
          </w:p>
          <w:p w14:paraId="60258F48">
            <w:pPr>
              <w:spacing w:line="247" w:lineRule="auto"/>
              <w:rPr>
                <w:rFonts w:ascii="Arial"/>
                <w:sz w:val="21"/>
              </w:rPr>
            </w:pPr>
          </w:p>
          <w:p w14:paraId="08AF7C30">
            <w:pPr>
              <w:spacing w:line="247" w:lineRule="auto"/>
              <w:rPr>
                <w:rFonts w:ascii="Arial"/>
                <w:sz w:val="21"/>
              </w:rPr>
            </w:pPr>
          </w:p>
          <w:p w14:paraId="63223390">
            <w:pPr>
              <w:spacing w:line="247" w:lineRule="auto"/>
              <w:rPr>
                <w:rFonts w:ascii="Arial"/>
                <w:sz w:val="21"/>
              </w:rPr>
            </w:pPr>
          </w:p>
          <w:p w14:paraId="26F807A2">
            <w:pPr>
              <w:spacing w:line="248" w:lineRule="auto"/>
              <w:rPr>
                <w:rFonts w:ascii="Arial"/>
                <w:sz w:val="21"/>
              </w:rPr>
            </w:pPr>
          </w:p>
          <w:p w14:paraId="2C38C047">
            <w:pPr>
              <w:spacing w:line="248" w:lineRule="auto"/>
              <w:rPr>
                <w:rFonts w:ascii="Arial"/>
                <w:sz w:val="21"/>
              </w:rPr>
            </w:pPr>
          </w:p>
          <w:p w14:paraId="7592E7C9">
            <w:pPr>
              <w:spacing w:line="248" w:lineRule="auto"/>
              <w:rPr>
                <w:rFonts w:ascii="Arial"/>
                <w:sz w:val="21"/>
              </w:rPr>
            </w:pPr>
          </w:p>
          <w:p w14:paraId="323438D9">
            <w:pPr>
              <w:spacing w:line="248" w:lineRule="auto"/>
              <w:rPr>
                <w:rFonts w:ascii="Arial"/>
                <w:sz w:val="21"/>
              </w:rPr>
            </w:pPr>
          </w:p>
          <w:p w14:paraId="2EF53674">
            <w:pPr>
              <w:pStyle w:val="27"/>
              <w:spacing w:before="78" w:line="220" w:lineRule="auto"/>
              <w:ind w:left="113" w:leftChars="0"/>
              <w:rPr>
                <w:rFonts w:hint="eastAsia"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zh-CN" w:bidi="ar-SA"/>
              </w:rPr>
            </w:pPr>
            <w:r>
              <w:rPr>
                <w:spacing w:val="-2"/>
              </w:rPr>
              <w:t>质量</w:t>
            </w:r>
            <w:r>
              <w:rPr>
                <w:rFonts w:hint="eastAsia"/>
                <w:spacing w:val="-2"/>
                <w:lang w:val="en-US" w:eastAsia="zh-CN"/>
              </w:rPr>
              <w:t>部</w:t>
            </w:r>
          </w:p>
        </w:tc>
        <w:tc>
          <w:tcPr>
            <w:tcW w:w="6849" w:type="dxa"/>
            <w:shd w:val="clear" w:color="auto" w:fill="auto"/>
            <w:vAlign w:val="top"/>
          </w:tcPr>
          <w:p w14:paraId="2C0B2509">
            <w:pPr>
              <w:pStyle w:val="27"/>
              <w:spacing w:before="113" w:line="302" w:lineRule="auto"/>
              <w:ind w:left="572" w:right="279" w:hanging="417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41" name="IM 1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1" name="IM 1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负责运维服务的公司级质量保证，制定总体的服务质量管</w:t>
            </w:r>
            <w:r>
              <w:rPr>
                <w:spacing w:val="-9"/>
              </w:rPr>
              <w:t>理计划。</w:t>
            </w:r>
          </w:p>
          <w:p w14:paraId="671F4F58">
            <w:pPr>
              <w:pStyle w:val="27"/>
              <w:spacing w:before="191" w:line="301" w:lineRule="auto"/>
              <w:ind w:left="570" w:right="103" w:hanging="415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43" name="IM 1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3" name="IM 12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2"/>
              </w:rPr>
              <w:t xml:space="preserve">  </w:t>
            </w:r>
            <w:r>
              <w:rPr>
                <w:spacing w:val="-1"/>
              </w:rPr>
              <w:t>监控运维服务质量,</w:t>
            </w:r>
            <w:r>
              <w:rPr>
                <w:spacing w:val="36"/>
              </w:rPr>
              <w:t xml:space="preserve">  </w:t>
            </w:r>
            <w:r>
              <w:rPr>
                <w:spacing w:val="-1"/>
              </w:rPr>
              <w:t>定期组织质量分析会议，对运维</w:t>
            </w:r>
            <w:r>
              <w:rPr>
                <w:spacing w:val="-2"/>
              </w:rPr>
              <w:t>业务</w:t>
            </w:r>
            <w:r>
              <w:rPr>
                <w:spacing w:val="-5"/>
              </w:rPr>
              <w:t>开展情况进行评估。</w:t>
            </w:r>
          </w:p>
          <w:p w14:paraId="24A53D2C">
            <w:pPr>
              <w:pStyle w:val="27"/>
              <w:spacing w:before="196" w:line="220" w:lineRule="auto"/>
              <w:ind w:left="155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45" name="IM 1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5" name="IM 14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6"/>
              </w:rPr>
              <w:t xml:space="preserve">  </w:t>
            </w:r>
            <w:r>
              <w:rPr>
                <w:spacing w:val="-3"/>
              </w:rPr>
              <w:t>对公司运维服务业务的质量进行监控。</w:t>
            </w:r>
          </w:p>
          <w:p w14:paraId="1B954E4D">
            <w:pPr>
              <w:pStyle w:val="27"/>
              <w:spacing w:before="202" w:line="302" w:lineRule="auto"/>
              <w:ind w:left="573" w:right="279" w:hanging="418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47" name="IM 1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" name="IM 1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负责公司运维服务体系的定期内部评审，对内审中不符合</w:t>
            </w:r>
            <w:r>
              <w:rPr>
                <w:spacing w:val="-4"/>
              </w:rPr>
              <w:t>项的处理进行跟踪记录。</w:t>
            </w:r>
          </w:p>
          <w:p w14:paraId="60CD64E8">
            <w:pPr>
              <w:pStyle w:val="27"/>
              <w:spacing w:before="193" w:line="220" w:lineRule="auto"/>
              <w:ind w:left="155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49" name="IM 1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9" name="IM 1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7"/>
              </w:rPr>
              <w:t xml:space="preserve">  </w:t>
            </w:r>
            <w:r>
              <w:rPr>
                <w:spacing w:val="-4"/>
              </w:rPr>
              <w:t>负责改进措施的监督及检查。</w:t>
            </w:r>
          </w:p>
          <w:p w14:paraId="17B89A10">
            <w:pPr>
              <w:pStyle w:val="27"/>
              <w:spacing w:before="202" w:line="220" w:lineRule="auto"/>
              <w:ind w:left="155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0" name="IM 2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0" name="IM 2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7"/>
              </w:rPr>
              <w:t xml:space="preserve">  </w:t>
            </w:r>
            <w:r>
              <w:rPr>
                <w:spacing w:val="-3"/>
              </w:rPr>
              <w:t>对重大投诉进行原因分析、处理和回访。</w:t>
            </w:r>
          </w:p>
          <w:p w14:paraId="16B21C09">
            <w:pPr>
              <w:pStyle w:val="27"/>
              <w:spacing w:before="203" w:line="220" w:lineRule="auto"/>
              <w:ind w:left="155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1" name="IM 2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" name="IM 22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"/>
              </w:rPr>
              <w:t xml:space="preserve">  </w:t>
            </w:r>
            <w:r>
              <w:rPr>
                <w:spacing w:val="-3"/>
              </w:rPr>
              <w:t>对每年运维服务报告进行审查。</w:t>
            </w:r>
          </w:p>
          <w:p w14:paraId="102F9D4E">
            <w:pPr>
              <w:pStyle w:val="27"/>
              <w:spacing w:before="203" w:line="220" w:lineRule="auto"/>
              <w:ind w:left="155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2" name="IM 2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" name="IM 2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6"/>
              </w:rPr>
              <w:t xml:space="preserve">  </w:t>
            </w:r>
            <w:r>
              <w:rPr>
                <w:spacing w:val="-5"/>
              </w:rPr>
              <w:t>负责客户满意度调查。</w:t>
            </w:r>
          </w:p>
        </w:tc>
      </w:tr>
      <w:tr w14:paraId="2E74D8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9" w:hRule="atLeast"/>
        </w:trPr>
        <w:tc>
          <w:tcPr>
            <w:tcW w:w="0" w:type="auto"/>
            <w:shd w:val="clear" w:color="auto" w:fill="auto"/>
            <w:vAlign w:val="top"/>
          </w:tcPr>
          <w:p w14:paraId="6E01CF39">
            <w:pPr>
              <w:spacing w:line="247" w:lineRule="auto"/>
              <w:rPr>
                <w:rFonts w:ascii="Arial"/>
                <w:sz w:val="21"/>
              </w:rPr>
            </w:pPr>
          </w:p>
          <w:p w14:paraId="4212B990">
            <w:pPr>
              <w:spacing w:line="247" w:lineRule="auto"/>
              <w:rPr>
                <w:rFonts w:ascii="Arial"/>
                <w:sz w:val="21"/>
              </w:rPr>
            </w:pPr>
          </w:p>
          <w:p w14:paraId="1778E802">
            <w:pPr>
              <w:spacing w:line="247" w:lineRule="auto"/>
              <w:rPr>
                <w:rFonts w:ascii="Arial"/>
                <w:sz w:val="21"/>
              </w:rPr>
            </w:pPr>
          </w:p>
          <w:p w14:paraId="5C5667D1">
            <w:pPr>
              <w:spacing w:line="247" w:lineRule="auto"/>
              <w:rPr>
                <w:rFonts w:ascii="Arial"/>
                <w:sz w:val="21"/>
              </w:rPr>
            </w:pPr>
          </w:p>
          <w:p w14:paraId="69021A58">
            <w:pPr>
              <w:spacing w:line="247" w:lineRule="auto"/>
              <w:rPr>
                <w:rFonts w:ascii="Arial"/>
                <w:sz w:val="21"/>
              </w:rPr>
            </w:pPr>
          </w:p>
          <w:p w14:paraId="5C51D51F">
            <w:pPr>
              <w:spacing w:line="247" w:lineRule="auto"/>
              <w:rPr>
                <w:rFonts w:ascii="Arial"/>
                <w:sz w:val="21"/>
              </w:rPr>
            </w:pPr>
          </w:p>
          <w:p w14:paraId="59D4BA52">
            <w:pPr>
              <w:spacing w:line="247" w:lineRule="auto"/>
              <w:rPr>
                <w:rFonts w:ascii="Arial"/>
                <w:sz w:val="21"/>
              </w:rPr>
            </w:pPr>
          </w:p>
          <w:p w14:paraId="08958E50">
            <w:pPr>
              <w:spacing w:line="247" w:lineRule="auto"/>
              <w:rPr>
                <w:rFonts w:ascii="Arial"/>
                <w:sz w:val="21"/>
              </w:rPr>
            </w:pPr>
          </w:p>
          <w:p w14:paraId="48591D2B">
            <w:pPr>
              <w:spacing w:line="248" w:lineRule="auto"/>
              <w:rPr>
                <w:rFonts w:ascii="Arial"/>
                <w:sz w:val="21"/>
              </w:rPr>
            </w:pPr>
          </w:p>
          <w:p w14:paraId="3A134E2A">
            <w:pPr>
              <w:spacing w:line="248" w:lineRule="auto"/>
              <w:rPr>
                <w:rFonts w:ascii="Arial"/>
                <w:sz w:val="21"/>
              </w:rPr>
            </w:pPr>
          </w:p>
          <w:p w14:paraId="75C83131">
            <w:pPr>
              <w:spacing w:line="248" w:lineRule="auto"/>
              <w:rPr>
                <w:rFonts w:ascii="Arial"/>
                <w:sz w:val="21"/>
              </w:rPr>
            </w:pPr>
          </w:p>
          <w:p w14:paraId="4C8BD45E">
            <w:pPr>
              <w:pStyle w:val="27"/>
              <w:spacing w:before="78" w:line="220" w:lineRule="auto"/>
              <w:ind w:left="112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spacing w:val="-2"/>
              </w:rPr>
              <w:t>运维部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CE683D1">
            <w:pPr>
              <w:pStyle w:val="27"/>
              <w:spacing w:before="117" w:line="301" w:lineRule="auto"/>
              <w:ind w:left="571" w:right="159" w:hanging="416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3" name="IM 2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3" name="IM 26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负责对所运维业务进行质量控制,对质量部和服务台提供的</w:t>
            </w:r>
            <w:r>
              <w:rPr>
                <w:spacing w:val="-3"/>
              </w:rPr>
              <w:t>客户服务质量调查结果进行分析和处理。</w:t>
            </w:r>
          </w:p>
          <w:p w14:paraId="551FBE27">
            <w:pPr>
              <w:pStyle w:val="27"/>
              <w:spacing w:before="194" w:line="220" w:lineRule="auto"/>
              <w:ind w:left="155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4" name="IM 2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" name="IM 2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5"/>
              </w:rPr>
              <w:t xml:space="preserve">  </w:t>
            </w:r>
            <w:r>
              <w:rPr>
                <w:spacing w:val="-4"/>
              </w:rPr>
              <w:t>定期组织召开质量分析会。</w:t>
            </w:r>
          </w:p>
          <w:p w14:paraId="4D6D3F51">
            <w:pPr>
              <w:pStyle w:val="27"/>
              <w:spacing w:before="203" w:line="220" w:lineRule="auto"/>
              <w:ind w:left="155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5" name="IM 3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5" name="IM 3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5"/>
              </w:rPr>
              <w:t xml:space="preserve">  </w:t>
            </w:r>
            <w:r>
              <w:rPr>
                <w:spacing w:val="-4"/>
              </w:rPr>
              <w:t>跟踪客户投诉的处理过程。</w:t>
            </w:r>
          </w:p>
          <w:p w14:paraId="18BD34B8">
            <w:pPr>
              <w:pStyle w:val="27"/>
              <w:spacing w:before="202" w:line="220" w:lineRule="auto"/>
              <w:ind w:left="155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6" name="IM 3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" name="IM 32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5"/>
              </w:rPr>
              <w:t xml:space="preserve">  </w:t>
            </w:r>
            <w:r>
              <w:rPr>
                <w:spacing w:val="-2"/>
              </w:rPr>
              <w:t>定期编写总结报告，持续改进完善维护服务能力和质量。</w:t>
            </w:r>
          </w:p>
          <w:p w14:paraId="6CEF17A9">
            <w:pPr>
              <w:pStyle w:val="27"/>
              <w:spacing w:before="203" w:line="220" w:lineRule="auto"/>
              <w:ind w:left="155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7" name="IM 3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7" name="IM 34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1"/>
              </w:rPr>
              <w:t xml:space="preserve">  </w:t>
            </w:r>
            <w:r>
              <w:rPr>
                <w:spacing w:val="-5"/>
              </w:rPr>
              <w:t>负责监控服务的处理过程。</w:t>
            </w:r>
          </w:p>
          <w:p w14:paraId="3DA3E8D4">
            <w:pPr>
              <w:pStyle w:val="27"/>
              <w:spacing w:before="203" w:line="220" w:lineRule="auto"/>
              <w:ind w:left="155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8" name="IM 3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" name="IM 36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1"/>
              </w:rPr>
              <w:t xml:space="preserve">  </w:t>
            </w:r>
            <w:r>
              <w:rPr>
                <w:spacing w:val="-3"/>
              </w:rPr>
              <w:t>对每个处理事件进行客户回访。</w:t>
            </w:r>
          </w:p>
          <w:p w14:paraId="156D4AA8">
            <w:pPr>
              <w:pStyle w:val="27"/>
              <w:spacing w:before="204" w:line="301" w:lineRule="auto"/>
              <w:ind w:left="573" w:right="279" w:hanging="418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59" name="IM 3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9" name="IM 38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接收和处理客户投诉，重要的客户投诉信息及时反馈给相</w:t>
            </w:r>
            <w:r>
              <w:rPr>
                <w:spacing w:val="-7"/>
              </w:rPr>
              <w:t>关部门处理。</w:t>
            </w:r>
          </w:p>
          <w:p w14:paraId="3243D77F">
            <w:pPr>
              <w:pStyle w:val="27"/>
              <w:spacing w:before="195" w:line="326" w:lineRule="auto"/>
              <w:ind w:left="571" w:leftChars="0" w:right="279" w:rightChars="0" w:hanging="416" w:firstLine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60" name="IM 4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0" name="IM 40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9"/>
              </w:rPr>
              <w:t xml:space="preserve">  </w:t>
            </w:r>
            <w:r>
              <w:rPr>
                <w:spacing w:val="-1"/>
              </w:rPr>
              <w:t>包括运维项目经理、技术支持工程师、网络工程师等相关人员，按照运维岗位职责的要求、工作流程及质量要求，</w:t>
            </w:r>
            <w:r>
              <w:rPr>
                <w:spacing w:val="-3"/>
              </w:rPr>
              <w:t>实施具体运维服务任务，并将过程形成记录。</w:t>
            </w:r>
          </w:p>
        </w:tc>
      </w:tr>
      <w:tr w14:paraId="1F8278F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119" w:hRule="atLeast"/>
        </w:trPr>
        <w:tc>
          <w:tcPr>
            <w:tcW w:w="0" w:type="auto"/>
            <w:shd w:val="clear" w:color="auto" w:fill="auto"/>
            <w:vAlign w:val="top"/>
          </w:tcPr>
          <w:p w14:paraId="213B8D1A">
            <w:pPr>
              <w:spacing w:line="269" w:lineRule="auto"/>
              <w:rPr>
                <w:rFonts w:ascii="Arial"/>
                <w:sz w:val="21"/>
              </w:rPr>
            </w:pPr>
          </w:p>
          <w:p w14:paraId="25BE9155">
            <w:pPr>
              <w:spacing w:line="269" w:lineRule="auto"/>
              <w:rPr>
                <w:rFonts w:ascii="Arial"/>
                <w:sz w:val="21"/>
              </w:rPr>
            </w:pPr>
          </w:p>
          <w:p w14:paraId="49ABA594">
            <w:pPr>
              <w:pStyle w:val="27"/>
              <w:spacing w:before="78" w:line="220" w:lineRule="auto"/>
              <w:ind w:left="113" w:leftChars="0"/>
              <w:rPr>
                <w:rFonts w:ascii="宋体" w:hAnsi="宋体" w:eastAsia="宋体" w:cs="宋体"/>
                <w:snapToGrid w:val="0"/>
                <w:color w:val="000000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spacing w:val="-2"/>
              </w:rPr>
              <w:t>其他部门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1C31906">
            <w:pPr>
              <w:pStyle w:val="27"/>
              <w:spacing w:before="121" w:line="220" w:lineRule="auto"/>
              <w:ind w:left="155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61" name="IM 42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1" name="IM 42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7"/>
              </w:rPr>
              <w:t xml:space="preserve">  </w:t>
            </w:r>
            <w:r>
              <w:rPr>
                <w:spacing w:val="-6"/>
              </w:rPr>
              <w:t>参与能力管理计划的制定；</w:t>
            </w:r>
          </w:p>
          <w:p w14:paraId="6253B28A">
            <w:pPr>
              <w:pStyle w:val="27"/>
              <w:spacing w:before="202" w:line="220" w:lineRule="auto"/>
              <w:ind w:left="155"/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62" name="IM 44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2" name="IM 44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4"/>
              </w:rPr>
              <w:t xml:space="preserve">  </w:t>
            </w:r>
            <w:r>
              <w:rPr>
                <w:spacing w:val="-6"/>
              </w:rPr>
              <w:t>按照能力管理计划实施；</w:t>
            </w:r>
          </w:p>
          <w:p w14:paraId="4E86E509">
            <w:pPr>
              <w:pStyle w:val="27"/>
              <w:spacing w:before="202" w:line="220" w:lineRule="auto"/>
              <w:ind w:left="155"/>
              <w:rPr>
                <w:spacing w:val="-3"/>
              </w:rPr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63" name="IM 46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3" name="IM 46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8"/>
              </w:rPr>
              <w:t xml:space="preserve">  </w:t>
            </w:r>
            <w:r>
              <w:rPr>
                <w:spacing w:val="-3"/>
              </w:rPr>
              <w:t>接受</w:t>
            </w:r>
            <w:r>
              <w:rPr>
                <w:rFonts w:hint="eastAsia"/>
                <w:spacing w:val="-3"/>
                <w:lang w:eastAsia="zh-CN"/>
              </w:rPr>
              <w:t>质量部</w:t>
            </w:r>
            <w:r>
              <w:rPr>
                <w:spacing w:val="-3"/>
              </w:rPr>
              <w:t>的监督和检查，并定期汇报计划的实施情况；</w:t>
            </w:r>
          </w:p>
          <w:p w14:paraId="796D693E">
            <w:pPr>
              <w:pStyle w:val="27"/>
              <w:spacing w:before="202" w:line="220" w:lineRule="auto"/>
              <w:ind w:left="155" w:leftChars="0"/>
              <w:rPr>
                <w:rFonts w:ascii="宋体" w:hAnsi="宋体" w:eastAsia="宋体" w:cs="宋体"/>
                <w:snapToGrid w:val="0"/>
                <w:color w:val="000000"/>
                <w:spacing w:val="-3"/>
                <w:kern w:val="0"/>
                <w:sz w:val="21"/>
                <w:szCs w:val="21"/>
                <w:lang w:val="en-US" w:eastAsia="en-US" w:bidi="ar-SA"/>
              </w:rPr>
            </w:pPr>
            <w:r>
              <w:rPr>
                <w:position w:val="-5"/>
              </w:rPr>
              <w:drawing>
                <wp:inline distT="0" distB="0" distL="0" distR="0">
                  <wp:extent cx="107950" cy="168910"/>
                  <wp:effectExtent l="0" t="0" r="13970" b="13970"/>
                  <wp:docPr id="64" name="IM 48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4" name="IM 48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" cy="169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spacing w:val="2"/>
              </w:rPr>
              <w:t xml:space="preserve">  </w:t>
            </w:r>
            <w:r>
              <w:rPr>
                <w:spacing w:val="-2"/>
              </w:rPr>
              <w:t>针对实施过程中发现的问题采取有效的改进措施。</w:t>
            </w:r>
          </w:p>
        </w:tc>
      </w:tr>
    </w:tbl>
    <w:p w14:paraId="0D9A4FC8">
      <w:pPr>
        <w:spacing w:line="91" w:lineRule="auto"/>
        <w:rPr>
          <w:rFonts w:ascii="Arial"/>
          <w:sz w:val="2"/>
        </w:rPr>
      </w:pPr>
    </w:p>
    <w:p w14:paraId="561F0B1F">
      <w:pPr>
        <w:spacing w:line="91" w:lineRule="auto"/>
        <w:rPr>
          <w:rFonts w:ascii="Arial"/>
          <w:sz w:val="2"/>
        </w:rPr>
      </w:pPr>
    </w:p>
    <w:p w14:paraId="3C267201">
      <w:pPr>
        <w:pStyle w:val="30"/>
        <w:bidi w:val="0"/>
      </w:pPr>
      <w:bookmarkStart w:id="5" w:name="bookmark1"/>
      <w:bookmarkEnd w:id="5"/>
      <w:bookmarkStart w:id="6" w:name="_Toc4798"/>
      <w:r>
        <w:t>服务质量管理活动</w:t>
      </w:r>
      <w:bookmarkEnd w:id="6"/>
    </w:p>
    <w:p w14:paraId="14FF7D92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firstLine="464" w:firstLineChars="200"/>
        <w:textAlignment w:val="baseline"/>
        <w:rPr>
          <w:rFonts w:ascii="宋体" w:hAnsi="宋体" w:eastAsia="宋体" w:cs="宋体"/>
          <w:spacing w:val="-4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为达成服务质量目标，检查运维体系的实施情况，2025年度计划执行的服务质量管理活动，具体目标如下：</w:t>
      </w:r>
    </w:p>
    <w:p w14:paraId="483E26B7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2" w:hanging="476" w:hanging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提高客户满意度：客户满意度平均分≥9</w:t>
      </w: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5</w:t>
      </w:r>
      <w:r>
        <w:rPr>
          <w:rFonts w:ascii="宋体" w:hAnsi="宋体" w:eastAsia="宋体" w:cs="宋体"/>
          <w:spacing w:val="-4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分</w:t>
      </w:r>
    </w:p>
    <w:p w14:paraId="12CB49C2">
      <w:pPr>
        <w:pStyle w:val="31"/>
        <w:bidi w:val="0"/>
      </w:pPr>
      <w:bookmarkStart w:id="7" w:name="bookmark1"/>
      <w:bookmarkEnd w:id="7"/>
      <w:bookmarkStart w:id="8" w:name="_Toc24139"/>
      <w:r>
        <w:t>运维服务能力内审</w:t>
      </w:r>
      <w:bookmarkEnd w:id="8"/>
    </w:p>
    <w:p w14:paraId="7FADC04F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6" w:right="0" w:hanging="476" w:hanging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1.</w:t>
      </w:r>
      <w:r>
        <w:rPr>
          <w:rFonts w:ascii="宋体" w:hAnsi="宋体" w:eastAsia="宋体" w:cs="宋体"/>
          <w:spacing w:val="-1"/>
          <w:sz w:val="24"/>
          <w:szCs w:val="24"/>
        </w:rPr>
        <w:t>审核运维服务活动及其结果是否符合策划的安排，确保运维服务体系的</w:t>
      </w:r>
      <w:r>
        <w:rPr>
          <w:rFonts w:ascii="宋体" w:hAnsi="宋体" w:eastAsia="宋体" w:cs="宋体"/>
          <w:spacing w:val="-9"/>
          <w:sz w:val="24"/>
          <w:szCs w:val="24"/>
        </w:rPr>
        <w:t>有效性。</w:t>
      </w:r>
    </w:p>
    <w:p w14:paraId="4246F8EC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476" w:right="0" w:hanging="476" w:hanging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2.</w:t>
      </w:r>
      <w:r>
        <w:rPr>
          <w:rFonts w:ascii="宋体" w:hAnsi="宋体" w:eastAsia="宋体" w:cs="宋体"/>
          <w:spacing w:val="-1"/>
          <w:sz w:val="24"/>
          <w:szCs w:val="24"/>
        </w:rPr>
        <w:t>运维服务能力内审由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质量部</w:t>
      </w:r>
      <w:r>
        <w:rPr>
          <w:rFonts w:ascii="宋体" w:hAnsi="宋体" w:eastAsia="宋体" w:cs="宋体"/>
          <w:spacing w:val="-1"/>
          <w:sz w:val="24"/>
          <w:szCs w:val="24"/>
        </w:rPr>
        <w:t>负责组织实施。</w:t>
      </w:r>
    </w:p>
    <w:p w14:paraId="04768370">
      <w:pPr>
        <w:pStyle w:val="31"/>
        <w:bidi w:val="0"/>
      </w:pPr>
      <w:bookmarkStart w:id="9" w:name="bookmark1"/>
      <w:bookmarkEnd w:id="9"/>
      <w:bookmarkStart w:id="10" w:name="_Toc5846"/>
      <w:r>
        <w:t>运维服务能力管理评审</w:t>
      </w:r>
      <w:bookmarkEnd w:id="10"/>
    </w:p>
    <w:p w14:paraId="1BAB5456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管理评审目的是对公司运维服务管理体系进行系统评审，识别并确定各种改进的机会和需要，确保运维服务管理体系持续的适宜性、充分性和有效性。</w:t>
      </w:r>
    </w:p>
    <w:p w14:paraId="76BC7560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运维服务能力管理评审由管理者代表负责组织实施，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质量部</w:t>
      </w:r>
      <w:r>
        <w:rPr>
          <w:rFonts w:ascii="宋体" w:hAnsi="宋体" w:eastAsia="宋体" w:cs="宋体"/>
          <w:spacing w:val="-1"/>
          <w:sz w:val="24"/>
          <w:szCs w:val="24"/>
        </w:rPr>
        <w:t>协助。</w:t>
      </w:r>
    </w:p>
    <w:p w14:paraId="4A92FA1B">
      <w:pPr>
        <w:pStyle w:val="31"/>
        <w:bidi w:val="0"/>
      </w:pPr>
      <w:bookmarkStart w:id="11" w:name="_Toc11470"/>
      <w:r>
        <w:t>客户满意度调查</w:t>
      </w:r>
      <w:bookmarkEnd w:id="11"/>
    </w:p>
    <w:p w14:paraId="1824DE54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客户满意度调查工作由服务台和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质量部</w:t>
      </w:r>
      <w:r>
        <w:rPr>
          <w:rFonts w:ascii="宋体" w:hAnsi="宋体" w:eastAsia="宋体" w:cs="宋体"/>
          <w:spacing w:val="-1"/>
          <w:sz w:val="24"/>
          <w:szCs w:val="24"/>
        </w:rPr>
        <w:t>组织完成，其中，服务台负责项目级客户满意度调查，</w:t>
      </w:r>
      <w:r>
        <w:rPr>
          <w:rFonts w:hint="eastAsia" w:ascii="宋体" w:hAnsi="宋体" w:eastAsia="宋体" w:cs="宋体"/>
          <w:spacing w:val="-1"/>
          <w:sz w:val="24"/>
          <w:szCs w:val="24"/>
          <w:lang w:eastAsia="zh-CN"/>
        </w:rPr>
        <w:t>质量部</w:t>
      </w:r>
      <w:r>
        <w:rPr>
          <w:rFonts w:ascii="宋体" w:hAnsi="宋体" w:eastAsia="宋体" w:cs="宋体"/>
          <w:spacing w:val="-1"/>
          <w:sz w:val="24"/>
          <w:szCs w:val="24"/>
        </w:rPr>
        <w:t>负责公司级客户满意度调查。客户满意度调查可采取邮件、问卷、电话、面谈等多种方式。2025年至少进行一次公司级客户满意度调查，并进行汇总分析。</w:t>
      </w:r>
    </w:p>
    <w:p w14:paraId="721F621B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项目级的客户满意度调查是对每个已解决的事件或问题在 24 小时内进行电话回访，确认工程师是否成功解决问题，了解客户对处理结果的满意度。</w:t>
      </w:r>
    </w:p>
    <w:p w14:paraId="4AB7E1D6">
      <w:pPr>
        <w:pStyle w:val="31"/>
        <w:bidi w:val="0"/>
      </w:pPr>
      <w:bookmarkStart w:id="12" w:name="bookmark1"/>
      <w:bookmarkEnd w:id="12"/>
      <w:bookmarkStart w:id="13" w:name="_Toc14478"/>
      <w:r>
        <w:t>运维服务体系过程改进</w:t>
      </w:r>
      <w:bookmarkEnd w:id="13"/>
    </w:p>
    <w:p w14:paraId="486039F6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日常工作中，通过对运维服务项目过程的监督检查，收集服务提供过程中存在的问题，确定运维服务改进的需求。</w:t>
      </w:r>
    </w:p>
    <w:p w14:paraId="4CC441B9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定期收集和分析运维服务指标完成情况，发现并确定运维服务改进需求。</w:t>
      </w:r>
    </w:p>
    <w:p w14:paraId="7C28664E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ascii="宋体" w:hAnsi="宋体" w:eastAsia="宋体" w:cs="宋体"/>
          <w:spacing w:val="-1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对客户反馈意见进行收集和分析（包括满意度调查结果和客户投诉意见），了解客户意见和需求，为改进提供依据。</w:t>
      </w:r>
    </w:p>
    <w:p w14:paraId="1DFDE804">
      <w:pPr>
        <w:pStyle w:val="31"/>
        <w:bidi w:val="0"/>
      </w:pPr>
      <w:bookmarkStart w:id="14" w:name="bookmark1"/>
      <w:bookmarkEnd w:id="14"/>
      <w:bookmarkStart w:id="15" w:name="_Toc18184"/>
      <w:r>
        <w:rPr>
          <w:rFonts w:hint="eastAsia"/>
          <w:lang w:val="en-US" w:eastAsia="zh-CN"/>
        </w:rPr>
        <w:t>质量培训</w:t>
      </w:r>
      <w:bookmarkEnd w:id="15"/>
    </w:p>
    <w:p w14:paraId="1C3FD8B3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left="0" w:right="0" w:firstLine="476" w:firstLineChars="20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pacing w:val="-1"/>
          <w:sz w:val="24"/>
          <w:szCs w:val="24"/>
          <w:lang w:val="en-US" w:eastAsia="zh-CN"/>
        </w:rPr>
        <w:t>通过对运维服务人员进行专业知识培训,提高运维服务人员的职业技能，从而提高服务质量和客户满意度、避免客户投诉</w:t>
      </w:r>
    </w:p>
    <w:p w14:paraId="2B6AEEB2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line="360" w:lineRule="auto"/>
        <w:ind w:right="0"/>
        <w:textAlignment w:val="baseline"/>
        <w:rPr>
          <w:rFonts w:hint="default" w:ascii="宋体" w:hAnsi="宋体" w:eastAsia="宋体" w:cs="宋体"/>
          <w:spacing w:val="-1"/>
          <w:sz w:val="24"/>
          <w:szCs w:val="24"/>
          <w:lang w:val="en-US" w:eastAsia="zh-CN"/>
        </w:rPr>
      </w:pPr>
      <w:bookmarkStart w:id="16" w:name="bookmark1"/>
      <w:bookmarkEnd w:id="16"/>
    </w:p>
    <w:p w14:paraId="4F5D88EB">
      <w:pPr>
        <w:pStyle w:val="30"/>
        <w:bidi w:val="0"/>
      </w:pPr>
      <w:bookmarkStart w:id="17" w:name="_Toc30296"/>
      <w:r>
        <w:t>运维服务质量管理计划</w:t>
      </w:r>
      <w:bookmarkEnd w:id="17"/>
    </w:p>
    <w:tbl>
      <w:tblPr>
        <w:tblStyle w:val="2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3"/>
        <w:gridCol w:w="1127"/>
        <w:gridCol w:w="3743"/>
        <w:gridCol w:w="836"/>
        <w:gridCol w:w="598"/>
        <w:gridCol w:w="598"/>
        <w:gridCol w:w="1197"/>
      </w:tblGrid>
      <w:tr w14:paraId="1D122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9" w:hRule="atLeast"/>
        </w:trPr>
        <w:tc>
          <w:tcPr>
            <w:tcW w:w="473" w:type="dxa"/>
            <w:vAlign w:val="center"/>
          </w:tcPr>
          <w:p w14:paraId="6B27444B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编号</w:t>
            </w:r>
          </w:p>
        </w:tc>
        <w:tc>
          <w:tcPr>
            <w:tcW w:w="1117" w:type="dxa"/>
            <w:shd w:val="clear" w:color="auto" w:fill="auto"/>
            <w:vAlign w:val="center"/>
          </w:tcPr>
          <w:p w14:paraId="0BEEEFB7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工作项目</w:t>
            </w:r>
          </w:p>
        </w:tc>
        <w:tc>
          <w:tcPr>
            <w:tcW w:w="3699" w:type="dxa"/>
            <w:shd w:val="clear" w:color="auto" w:fill="auto"/>
            <w:vAlign w:val="center"/>
          </w:tcPr>
          <w:p w14:paraId="7A140157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措施及要求</w:t>
            </w:r>
          </w:p>
        </w:tc>
        <w:tc>
          <w:tcPr>
            <w:tcW w:w="833" w:type="dxa"/>
            <w:shd w:val="clear" w:color="auto" w:fill="auto"/>
            <w:vAlign w:val="center"/>
          </w:tcPr>
          <w:p w14:paraId="0964B101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责任部门</w:t>
            </w:r>
          </w:p>
        </w:tc>
        <w:tc>
          <w:tcPr>
            <w:tcW w:w="595" w:type="dxa"/>
            <w:shd w:val="clear" w:color="auto" w:fill="auto"/>
            <w:vAlign w:val="center"/>
          </w:tcPr>
          <w:p w14:paraId="3E96968A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配合部门</w:t>
            </w:r>
          </w:p>
        </w:tc>
        <w:tc>
          <w:tcPr>
            <w:tcW w:w="617" w:type="dxa"/>
            <w:shd w:val="clear" w:color="auto" w:fill="auto"/>
            <w:vAlign w:val="center"/>
          </w:tcPr>
          <w:p w14:paraId="3D403C71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负责人</w:t>
            </w:r>
          </w:p>
        </w:tc>
        <w:tc>
          <w:tcPr>
            <w:tcW w:w="1188" w:type="dxa"/>
            <w:shd w:val="clear" w:color="auto" w:fill="auto"/>
            <w:vAlign w:val="center"/>
          </w:tcPr>
          <w:p w14:paraId="01A08FB7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计划实施日期</w:t>
            </w:r>
          </w:p>
        </w:tc>
      </w:tr>
      <w:tr w14:paraId="48C5A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3" w:type="dxa"/>
            <w:shd w:val="clear" w:color="auto" w:fill="auto"/>
            <w:vAlign w:val="top"/>
          </w:tcPr>
          <w:p w14:paraId="6EC34E4E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1</w:t>
            </w:r>
          </w:p>
        </w:tc>
        <w:tc>
          <w:tcPr>
            <w:tcW w:w="1117" w:type="dxa"/>
            <w:shd w:val="clear" w:color="auto" w:fill="auto"/>
            <w:vAlign w:val="top"/>
          </w:tcPr>
          <w:p w14:paraId="41C765B3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  <w:t>运维服务质量目标策划分解</w:t>
            </w:r>
          </w:p>
        </w:tc>
        <w:tc>
          <w:tcPr>
            <w:tcW w:w="3699" w:type="dxa"/>
            <w:shd w:val="clear" w:color="auto" w:fill="auto"/>
            <w:vAlign w:val="top"/>
          </w:tcPr>
          <w:p w14:paraId="1BC79164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  <w:t>1. 组织制定部门运维服务质量目标；</w:t>
            </w:r>
          </w:p>
          <w:p w14:paraId="563FBF40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  <w:t>2. 对部门运维服务质量目标进行分解，制定质量目标展开对策表。</w:t>
            </w:r>
          </w:p>
        </w:tc>
        <w:tc>
          <w:tcPr>
            <w:tcW w:w="833" w:type="dxa"/>
            <w:shd w:val="clear" w:color="auto" w:fill="auto"/>
            <w:vAlign w:val="top"/>
          </w:tcPr>
          <w:p w14:paraId="1259B531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运维部</w:t>
            </w:r>
          </w:p>
        </w:tc>
        <w:tc>
          <w:tcPr>
            <w:tcW w:w="595" w:type="dxa"/>
            <w:shd w:val="clear" w:color="auto" w:fill="auto"/>
            <w:vAlign w:val="top"/>
          </w:tcPr>
          <w:p w14:paraId="15452339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质量部</w:t>
            </w:r>
          </w:p>
        </w:tc>
        <w:tc>
          <w:tcPr>
            <w:tcW w:w="617" w:type="dxa"/>
            <w:shd w:val="clear" w:color="auto" w:fill="auto"/>
            <w:vAlign w:val="top"/>
          </w:tcPr>
          <w:p w14:paraId="28D9ACD8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运维部</w:t>
            </w:r>
            <w:r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  <w:t>经理</w:t>
            </w:r>
          </w:p>
        </w:tc>
        <w:tc>
          <w:tcPr>
            <w:tcW w:w="1188" w:type="dxa"/>
            <w:shd w:val="clear" w:color="auto" w:fill="auto"/>
            <w:vAlign w:val="top"/>
          </w:tcPr>
          <w:p w14:paraId="15FD230D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  <w:t>2025年 1 月</w:t>
            </w:r>
          </w:p>
        </w:tc>
      </w:tr>
      <w:tr w14:paraId="0FA52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73" w:type="dxa"/>
            <w:shd w:val="clear" w:color="auto" w:fill="auto"/>
            <w:vAlign w:val="top"/>
          </w:tcPr>
          <w:p w14:paraId="2C42D8C7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2</w:t>
            </w:r>
          </w:p>
        </w:tc>
        <w:tc>
          <w:tcPr>
            <w:tcW w:w="1117" w:type="dxa"/>
            <w:shd w:val="clear" w:color="auto" w:fill="auto"/>
            <w:vAlign w:val="top"/>
          </w:tcPr>
          <w:p w14:paraId="43C0C3A9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  <w:t>质量信息反馈</w:t>
            </w:r>
          </w:p>
        </w:tc>
        <w:tc>
          <w:tcPr>
            <w:tcW w:w="3699" w:type="dxa"/>
            <w:shd w:val="clear" w:color="auto" w:fill="auto"/>
            <w:vAlign w:val="top"/>
          </w:tcPr>
          <w:p w14:paraId="3B09DA2B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  <w:t>1. 加强与用户的联系，主动征求意见；</w:t>
            </w:r>
          </w:p>
          <w:p w14:paraId="14F33056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  <w:t>2. 按规定及时交流和采用反馈信息；</w:t>
            </w:r>
          </w:p>
          <w:p w14:paraId="5F8BF684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  <w:t>3. 通过公司、事件不同角度的用户满意度调查和统计分析，及时掌握用户要求和用户意见；</w:t>
            </w:r>
          </w:p>
          <w:p w14:paraId="76F71D37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  <w:t>4. 跟踪问题处置；</w:t>
            </w:r>
          </w:p>
          <w:p w14:paraId="414C645F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  <w:t>5. 处理用户投诉；</w:t>
            </w:r>
          </w:p>
        </w:tc>
        <w:tc>
          <w:tcPr>
            <w:tcW w:w="833" w:type="dxa"/>
            <w:shd w:val="clear" w:color="auto" w:fill="auto"/>
            <w:vAlign w:val="top"/>
          </w:tcPr>
          <w:p w14:paraId="1FC9083A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运维部</w:t>
            </w:r>
          </w:p>
        </w:tc>
        <w:tc>
          <w:tcPr>
            <w:tcW w:w="595" w:type="dxa"/>
            <w:shd w:val="clear" w:color="auto" w:fill="auto"/>
            <w:vAlign w:val="top"/>
          </w:tcPr>
          <w:p w14:paraId="68915B3D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质量部</w:t>
            </w:r>
          </w:p>
        </w:tc>
        <w:tc>
          <w:tcPr>
            <w:tcW w:w="617" w:type="dxa"/>
            <w:shd w:val="clear" w:color="auto" w:fill="auto"/>
            <w:vAlign w:val="top"/>
          </w:tcPr>
          <w:p w14:paraId="4C0C05D7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运维部</w:t>
            </w:r>
            <w:r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  <w:t>经理</w:t>
            </w:r>
          </w:p>
        </w:tc>
        <w:tc>
          <w:tcPr>
            <w:tcW w:w="1188" w:type="dxa"/>
            <w:shd w:val="clear" w:color="auto" w:fill="auto"/>
            <w:vAlign w:val="top"/>
          </w:tcPr>
          <w:p w14:paraId="2F1BF1D7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  <w:t>全年</w:t>
            </w:r>
          </w:p>
        </w:tc>
      </w:tr>
      <w:tr w14:paraId="259D58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5C6E3097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3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F22B1DB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  <w:t>运维服务能力管理体系过程控制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912CA3D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  <w:t>1. 各部门强化工作范围内的执行规范，严格按照管理规定，做好服务工作的过程控制，保障过程文档记录的有效性和完整性，做到有章可循、有据可查；</w:t>
            </w:r>
          </w:p>
          <w:p w14:paraId="4CA76324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  <w:t xml:space="preserve">2. </w:t>
            </w: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运维部</w:t>
            </w:r>
            <w:r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  <w:t>认真做好定期的服务回顾与报告分析，继续强化周例会、服务巡检、检查审核，针对总结出的问题认真处置，保持一种较好的服务状态；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EA135E8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2BA48CD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质量部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38C7FD1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运维部</w:t>
            </w:r>
            <w:r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  <w:t>经理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F1E42FD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  <w:t>全年</w:t>
            </w:r>
          </w:p>
        </w:tc>
      </w:tr>
      <w:tr w14:paraId="17605B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669B567B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4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3F02D2F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客户满意度调查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23A50DC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eastAsia="zh-CN"/>
              </w:rPr>
              <w:t>质量部</w:t>
            </w:r>
            <w:r>
              <w:rPr>
                <w:rFonts w:hint="eastAsia" w:ascii="宋体" w:hAnsi="宋体" w:eastAsia="宋体" w:cs="宋体"/>
                <w:sz w:val="19"/>
                <w:szCs w:val="19"/>
              </w:rPr>
              <w:t>每年对运维服务客户进行公司级客户满意度调查。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8563E37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eastAsia="zh-CN"/>
              </w:rPr>
              <w:t>运维部</w:t>
            </w:r>
            <w:r>
              <w:rPr>
                <w:rFonts w:hint="eastAsia" w:ascii="宋体" w:hAnsi="宋体" w:eastAsia="宋体" w:cs="宋体"/>
                <w:sz w:val="19"/>
                <w:szCs w:val="19"/>
              </w:rPr>
              <w:t>、</w:t>
            </w:r>
            <w:r>
              <w:rPr>
                <w:rFonts w:hint="eastAsia" w:ascii="宋体" w:hAnsi="宋体" w:eastAsia="宋体" w:cs="宋体"/>
                <w:sz w:val="19"/>
                <w:szCs w:val="19"/>
                <w:lang w:eastAsia="zh-CN"/>
              </w:rPr>
              <w:t>质量部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9B1285E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各有关部门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764BF93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eastAsia="zh-CN"/>
              </w:rPr>
              <w:t>质量部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CE0AC28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2025年</w:t>
            </w: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10</w:t>
            </w:r>
            <w:r>
              <w:rPr>
                <w:rFonts w:hint="eastAsia" w:ascii="宋体" w:hAnsi="宋体" w:eastAsia="宋体" w:cs="宋体"/>
                <w:sz w:val="19"/>
                <w:szCs w:val="19"/>
              </w:rPr>
              <w:t>月</w:t>
            </w:r>
          </w:p>
        </w:tc>
      </w:tr>
      <w:tr w14:paraId="742579B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705CF34B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5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CE74355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内审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240B952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 xml:space="preserve"> 按规定要求制订审核计划，选好内审员，做好内审前培训；做好各项准备工作，开预备会议；</w:t>
            </w:r>
          </w:p>
          <w:p w14:paraId="395D298B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现场审核，做好审核记录；</w:t>
            </w:r>
          </w:p>
          <w:p w14:paraId="23AE66A2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编写审核报告并及时下发；</w:t>
            </w:r>
          </w:p>
          <w:p w14:paraId="26577B99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对不符合项按规定认真进行整改和验证。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B349016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eastAsia="zh-CN"/>
              </w:rPr>
              <w:t>质量部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4FB40C01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各有关部门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BD235DB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管理者代表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6A77DBD6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 xml:space="preserve">2025年 </w:t>
            </w: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10</w:t>
            </w:r>
            <w:r>
              <w:rPr>
                <w:rFonts w:hint="eastAsia" w:ascii="宋体" w:hAnsi="宋体" w:eastAsia="宋体" w:cs="宋体"/>
                <w:sz w:val="19"/>
                <w:szCs w:val="19"/>
              </w:rPr>
              <w:t>月（外审前进行一次）</w:t>
            </w:r>
          </w:p>
        </w:tc>
      </w:tr>
      <w:tr w14:paraId="3160B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22DDC3AC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6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C78CE80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管理评审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3BA0D178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1. 根据总经理意见，</w:t>
            </w:r>
            <w:r>
              <w:rPr>
                <w:rFonts w:hint="eastAsia" w:ascii="宋体" w:hAnsi="宋体" w:eastAsia="宋体" w:cs="宋体"/>
                <w:sz w:val="19"/>
                <w:szCs w:val="19"/>
                <w:lang w:eastAsia="zh-CN"/>
              </w:rPr>
              <w:t>质量部</w:t>
            </w:r>
            <w:r>
              <w:rPr>
                <w:rFonts w:hint="eastAsia" w:ascii="宋体" w:hAnsi="宋体" w:eastAsia="宋体" w:cs="宋体"/>
                <w:sz w:val="19"/>
                <w:szCs w:val="19"/>
              </w:rPr>
              <w:t>编制运维服务管理评审计划，组织编制管理评审专题报告</w:t>
            </w:r>
          </w:p>
          <w:p w14:paraId="0F012FA3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2. 副总经理组织汇报及评审材料，提交会议评审；</w:t>
            </w:r>
          </w:p>
          <w:p w14:paraId="575FCD1C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3. 总经理主持，有关部门和人 员参加，实施运维服务管理评审，并做好记录；编制评审报告并发放；</w:t>
            </w:r>
          </w:p>
          <w:p w14:paraId="74AF8C8D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4. 实施运维服务管理评审报告有关工作。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58D6C57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eastAsia="zh-CN"/>
              </w:rPr>
              <w:t>质量部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B8495BB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各有关部门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610C8A3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管理者代表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17AA13BA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2025年</w:t>
            </w: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10</w:t>
            </w:r>
            <w:r>
              <w:rPr>
                <w:rFonts w:hint="eastAsia" w:ascii="宋体" w:hAnsi="宋体" w:eastAsia="宋体" w:cs="宋体"/>
                <w:sz w:val="19"/>
                <w:szCs w:val="19"/>
              </w:rPr>
              <w:t>月</w:t>
            </w:r>
          </w:p>
          <w:p w14:paraId="4709F535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（外审前进行一次）</w:t>
            </w:r>
          </w:p>
        </w:tc>
      </w:tr>
      <w:tr w14:paraId="2DB394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0A91565D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8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8E80B1D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运维服务质量目标实施效果分析评价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2575E41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 xml:space="preserve">1. </w:t>
            </w:r>
            <w:r>
              <w:rPr>
                <w:rFonts w:hint="eastAsia" w:ascii="宋体" w:hAnsi="宋体" w:eastAsia="宋体" w:cs="宋体"/>
                <w:sz w:val="19"/>
                <w:szCs w:val="19"/>
                <w:lang w:eastAsia="zh-CN"/>
              </w:rPr>
              <w:t>运维部</w:t>
            </w:r>
            <w:r>
              <w:rPr>
                <w:rFonts w:hint="eastAsia" w:ascii="宋体" w:hAnsi="宋体" w:eastAsia="宋体" w:cs="宋体"/>
                <w:sz w:val="19"/>
                <w:szCs w:val="19"/>
              </w:rPr>
              <w:t>经理结合部门年 初制定的运维服务质量目标对策表，针对质量目标进行逐条评价，形成运维服务质量目标实施效果分析评价报告。</w:t>
            </w:r>
          </w:p>
          <w:p w14:paraId="3BBAA070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 xml:space="preserve">2. </w:t>
            </w:r>
            <w:r>
              <w:rPr>
                <w:rFonts w:hint="eastAsia" w:ascii="宋体" w:hAnsi="宋体" w:eastAsia="宋体" w:cs="宋体"/>
                <w:sz w:val="19"/>
                <w:szCs w:val="19"/>
                <w:lang w:eastAsia="zh-CN"/>
              </w:rPr>
              <w:t>质量部</w:t>
            </w:r>
            <w:r>
              <w:rPr>
                <w:rFonts w:hint="eastAsia" w:ascii="宋体" w:hAnsi="宋体" w:eastAsia="宋体" w:cs="宋体"/>
                <w:sz w:val="19"/>
                <w:szCs w:val="19"/>
              </w:rPr>
              <w:t>根据质量目标分析 评价报告，形成公司级运维服务质量目标实施效果分析评价报告。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2870603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eastAsia="zh-CN"/>
              </w:rPr>
              <w:t>运维部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BD3AC9E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各有关部门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25C8810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eastAsia="zh-CN"/>
              </w:rPr>
              <w:t>运维部</w:t>
            </w:r>
            <w:r>
              <w:rPr>
                <w:rFonts w:hint="eastAsia" w:ascii="宋体" w:hAnsi="宋体" w:eastAsia="宋体" w:cs="宋体"/>
                <w:sz w:val="19"/>
                <w:szCs w:val="19"/>
              </w:rPr>
              <w:t>经理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50182CD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2025年</w:t>
            </w:r>
            <w:r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  <w:t>10</w:t>
            </w:r>
            <w:r>
              <w:rPr>
                <w:rFonts w:hint="eastAsia" w:ascii="宋体" w:hAnsi="宋体" w:eastAsia="宋体" w:cs="宋体"/>
                <w:sz w:val="19"/>
                <w:szCs w:val="19"/>
              </w:rPr>
              <w:t>月底</w:t>
            </w:r>
          </w:p>
        </w:tc>
      </w:tr>
      <w:tr w14:paraId="52C677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shd w:val="clear" w:color="auto" w:fill="auto"/>
            <w:vAlign w:val="top"/>
          </w:tcPr>
          <w:p w14:paraId="54A2C8BE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9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94A87B3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体系文件的持续修订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2161B7F8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1. 公司各部门日常管理工作流程如发现与体系文件不匹配的情况，根据自身情况对体系文件进行修订、评审、改进。</w:t>
            </w:r>
          </w:p>
          <w:p w14:paraId="7722E748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2. 在内审、管理评审中，发现公司体系文件与 ITSS 标准不符合的情况，应及时对体系文件提出修改建议，持续修订、改进。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511B38F8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  <w:lang w:eastAsia="zh-CN"/>
              </w:rPr>
              <w:t>质量部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637DE10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各有关部门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7214AB78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管理者代表</w:t>
            </w:r>
          </w:p>
        </w:tc>
        <w:tc>
          <w:tcPr>
            <w:tcW w:w="0" w:type="auto"/>
            <w:shd w:val="clear" w:color="auto" w:fill="auto"/>
            <w:vAlign w:val="top"/>
          </w:tcPr>
          <w:p w14:paraId="0331F34D">
            <w:pPr>
              <w:widowControl w:val="0"/>
              <w:bidi w:val="0"/>
              <w:rPr>
                <w:rFonts w:hint="eastAsia" w:ascii="宋体" w:hAnsi="宋体" w:eastAsia="宋体" w:cs="宋体"/>
                <w:sz w:val="19"/>
                <w:szCs w:val="19"/>
                <w:lang w:val="en-US" w:eastAsia="en-US"/>
              </w:rPr>
            </w:pPr>
            <w:r>
              <w:rPr>
                <w:rFonts w:hint="eastAsia" w:ascii="宋体" w:hAnsi="宋体" w:eastAsia="宋体" w:cs="宋体"/>
                <w:sz w:val="19"/>
                <w:szCs w:val="19"/>
              </w:rPr>
              <w:t>全年</w:t>
            </w:r>
          </w:p>
        </w:tc>
      </w:tr>
    </w:tbl>
    <w:p w14:paraId="59DA842F">
      <w:pPr>
        <w:bidi w:val="0"/>
      </w:pPr>
    </w:p>
    <w:p w14:paraId="4237F41D">
      <w:pPr>
        <w:pStyle w:val="29"/>
        <w:bidi w:val="0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FDFBCE76"/>
    <w:multiLevelType w:val="singleLevel"/>
    <w:tmpl w:val="FDFBCE76"/>
    <w:lvl w:ilvl="0" w:tentative="0">
      <w:start w:val="1"/>
      <w:numFmt w:val="decimal"/>
      <w:lvlText w:val="(%1)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8F2672B"/>
    <w:rsid w:val="0103164E"/>
    <w:rsid w:val="01161381"/>
    <w:rsid w:val="01FB2325"/>
    <w:rsid w:val="02A14C7A"/>
    <w:rsid w:val="03DB240E"/>
    <w:rsid w:val="05B95683"/>
    <w:rsid w:val="06CE625A"/>
    <w:rsid w:val="07762B7A"/>
    <w:rsid w:val="08D25907"/>
    <w:rsid w:val="0A4C6966"/>
    <w:rsid w:val="0D2C1B0F"/>
    <w:rsid w:val="0D49488C"/>
    <w:rsid w:val="0E883192"/>
    <w:rsid w:val="104263AF"/>
    <w:rsid w:val="16AB09DB"/>
    <w:rsid w:val="1723614E"/>
    <w:rsid w:val="1864257A"/>
    <w:rsid w:val="202E4A5B"/>
    <w:rsid w:val="28D472A8"/>
    <w:rsid w:val="2FD44032"/>
    <w:rsid w:val="2FF47408"/>
    <w:rsid w:val="36AC7A6D"/>
    <w:rsid w:val="3B196D9D"/>
    <w:rsid w:val="3CEF5448"/>
    <w:rsid w:val="424E557E"/>
    <w:rsid w:val="440C5C5F"/>
    <w:rsid w:val="45120AE5"/>
    <w:rsid w:val="46E01544"/>
    <w:rsid w:val="48BD345D"/>
    <w:rsid w:val="4A9753C7"/>
    <w:rsid w:val="4CC748AA"/>
    <w:rsid w:val="4E692885"/>
    <w:rsid w:val="514259DF"/>
    <w:rsid w:val="51CA7877"/>
    <w:rsid w:val="59DA6CF5"/>
    <w:rsid w:val="5B7C4AB2"/>
    <w:rsid w:val="5C762B5C"/>
    <w:rsid w:val="60067040"/>
    <w:rsid w:val="6328434C"/>
    <w:rsid w:val="6372336A"/>
    <w:rsid w:val="654E3963"/>
    <w:rsid w:val="6BF6134F"/>
    <w:rsid w:val="6C860D49"/>
    <w:rsid w:val="71A36DE5"/>
    <w:rsid w:val="73520AC2"/>
    <w:rsid w:val="74AE1D28"/>
    <w:rsid w:val="75DE3F14"/>
    <w:rsid w:val="783C790D"/>
    <w:rsid w:val="78F2672B"/>
    <w:rsid w:val="79507852"/>
    <w:rsid w:val="7ABB6F28"/>
    <w:rsid w:val="7E237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table" w:customStyle="1" w:styleId="28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1"/>
    <w:basedOn w:val="2"/>
    <w:next w:val="1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1">
    <w:name w:val="柴_标题2"/>
    <w:basedOn w:val="3"/>
    <w:next w:val="1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30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2465</Words>
  <Characters>2651</Characters>
  <Lines>0</Lines>
  <Paragraphs>0</Paragraphs>
  <TotalTime>0</TotalTime>
  <ScaleCrop>false</ScaleCrop>
  <LinksUpToDate>false</LinksUpToDate>
  <CharactersWithSpaces>2751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2025-12-13T03:17:00Z</dcterms:created>
  <dc:creator>郝宇</dc:creator>
  <cp:lastModifiedBy>郝宇</cp:lastModifiedBy>
  <dcterms:modified xsi:type="dcterms:W3CDTF">2025-12-23T03:43:35Z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341D1C7ED3A1444E8EA73691394D44B6_11</vt:lpwstr>
  </property>
  <property fmtid="{D5CDD505-2E9C-101B-9397-08002B2CF9AE}" pid="4" name="KSOTemplateDocerSaveRecord">
    <vt:lpwstr>eyJoZGlkIjoiMDY5NmFjMmM4ZTljMGJiZDAxN2JmYTc0NGI0NmFiNDgiLCJ1c2VySWQiOiIxMDc1MzgyOSJ9</vt:lpwstr>
  </property>
</Properties>
</file>