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3360"/>
      <w:bookmarkStart w:id="15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5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31309"/>
      <w:r>
        <w:rPr>
          <w:rFonts w:hint="eastAsia"/>
          <w:lang w:val="en-US" w:eastAsia="zh-CN"/>
        </w:rPr>
        <w:t>工作交接管理办法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2606"/>
      <w:r>
        <w:rPr>
          <w:rFonts w:hint="eastAsia"/>
          <w:lang w:val="en-US" w:eastAsia="zh-CN"/>
        </w:rPr>
        <w:t>（YNTD-ITSS-0506）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阮郑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470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阮郑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450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46371CE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A74771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_Toc23360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_Toc23360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2C5997A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_Toc31309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工作交接管理办法</w:t>
          </w:r>
          <w:r>
            <w:tab/>
          </w:r>
          <w:r>
            <w:fldChar w:fldCharType="begin"/>
          </w:r>
          <w:r>
            <w:instrText xml:space="preserve"> PAGEREF _Toc31309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71B4E6A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_Toc22606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（YNTD-ITSS-0506）</w:t>
          </w:r>
          <w:r>
            <w:tab/>
          </w:r>
          <w:r>
            <w:fldChar w:fldCharType="begin"/>
          </w:r>
          <w:r>
            <w:instrText xml:space="preserve"> PAGEREF _Toc22606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1FEFB2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_Toc1470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_Toc1470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43F4E5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_Toc31812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_Toc31812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BD841D6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_Toc23713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1. 目的</w:t>
          </w:r>
          <w:r>
            <w:tab/>
          </w:r>
          <w:r>
            <w:fldChar w:fldCharType="begin"/>
          </w:r>
          <w:r>
            <w:instrText xml:space="preserve"> PAGEREF _Toc23713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5007DE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_Toc28268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_Toc28268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FD57E93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_Toc25690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_Toc25690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D729E9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_Toc29906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工作交接适用情形</w:t>
          </w:r>
          <w:r>
            <w:tab/>
          </w:r>
          <w:r>
            <w:fldChar w:fldCharType="begin"/>
          </w:r>
          <w:r>
            <w:instrText xml:space="preserve"> PAGEREF _Toc29906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65DAFF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_Toc20500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交接流程与职责</w:t>
          </w:r>
          <w:r>
            <w:tab/>
          </w:r>
          <w:r>
            <w:fldChar w:fldCharType="begin"/>
          </w:r>
          <w:r>
            <w:instrText xml:space="preserve"> PAGEREF _Toc20500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8DCEF2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_Toc11777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_Toc11777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545000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_Toc17425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3.2. 交接三方职责</w:t>
          </w:r>
          <w:r>
            <w:tab/>
          </w:r>
          <w:r>
            <w:fldChar w:fldCharType="begin"/>
          </w:r>
          <w:r>
            <w:instrText xml:space="preserve"> PAGEREF _Toc17425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AD5352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_Toc13708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3.3. 交接步骤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C0B8443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_Toc15497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3.4. 交接内容与要求</w:t>
          </w:r>
          <w:r>
            <w:tab/>
          </w:r>
          <w:r>
            <w:fldChar w:fldCharType="begin"/>
          </w:r>
          <w:r>
            <w:instrText xml:space="preserve"> PAGEREF _Toc15497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DDBB4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_Toc29171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监督与责任</w:t>
          </w:r>
          <w:r>
            <w:tab/>
          </w:r>
          <w:r>
            <w:fldChar w:fldCharType="begin"/>
          </w:r>
          <w:r>
            <w:instrText xml:space="preserve"> PAGEREF _Toc29171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4F979E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743732AC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053971FC">
      <w:pPr>
        <w:pStyle w:val="28"/>
        <w:bidi w:val="0"/>
        <w:rPr>
          <w:rFonts w:hint="default"/>
          <w:lang w:val="en-US" w:eastAsia="zh-CN"/>
        </w:rPr>
      </w:pPr>
      <w:bookmarkStart w:id="4" w:name="_Toc31812"/>
      <w:r>
        <w:rPr>
          <w:rFonts w:hint="default"/>
          <w:lang w:val="en-US" w:eastAsia="zh-CN"/>
        </w:rPr>
        <w:t>概述</w:t>
      </w:r>
      <w:bookmarkEnd w:id="4"/>
    </w:p>
    <w:p w14:paraId="107AA682">
      <w:pPr>
        <w:pStyle w:val="30"/>
        <w:bidi w:val="0"/>
        <w:rPr>
          <w:rFonts w:hint="default"/>
          <w:lang w:val="en-US" w:eastAsia="zh-CN"/>
        </w:rPr>
      </w:pPr>
      <w:bookmarkStart w:id="5" w:name="_Toc23713"/>
      <w:r>
        <w:rPr>
          <w:rFonts w:hint="default"/>
          <w:lang w:val="en-US" w:eastAsia="zh-CN"/>
        </w:rPr>
        <w:t>1. 目的</w:t>
      </w:r>
      <w:bookmarkEnd w:id="5"/>
    </w:p>
    <w:p w14:paraId="2B6383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为规范员工岗位变动、离职或长期离岗时的工作交接程序，确保工作的连续性、完整性和稳定性，防止因人员变动造成工作延误、资料遗失或责任不清，特制定本制度。</w:t>
      </w:r>
    </w:p>
    <w:p w14:paraId="2EBCE1C2">
      <w:pPr>
        <w:pStyle w:val="30"/>
        <w:bidi w:val="0"/>
        <w:rPr>
          <w:rFonts w:hint="default"/>
          <w:lang w:val="en-US" w:eastAsia="zh-CN"/>
        </w:rPr>
      </w:pPr>
      <w:bookmarkStart w:id="6" w:name="_Toc28268"/>
      <w:r>
        <w:rPr>
          <w:rFonts w:hint="default"/>
          <w:lang w:val="en-US" w:eastAsia="zh-CN"/>
        </w:rPr>
        <w:t>适用范围</w:t>
      </w:r>
      <w:bookmarkEnd w:id="6"/>
    </w:p>
    <w:p w14:paraId="3B3002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本制度适用于公司全体员工因离职、调岗、轮岗、请假（超过5个工作日）或其他原因离岗时的工作交接管理。</w:t>
      </w:r>
    </w:p>
    <w:p w14:paraId="5D55A538">
      <w:pPr>
        <w:pStyle w:val="30"/>
        <w:bidi w:val="0"/>
        <w:rPr>
          <w:rFonts w:hint="default"/>
          <w:lang w:val="en-US" w:eastAsia="zh-CN"/>
        </w:rPr>
      </w:pPr>
      <w:bookmarkStart w:id="7" w:name="_Toc25690"/>
      <w:r>
        <w:rPr>
          <w:rFonts w:hint="default"/>
          <w:lang w:val="en-US" w:eastAsia="zh-CN"/>
        </w:rPr>
        <w:t>基本原则</w:t>
      </w:r>
      <w:bookmarkEnd w:id="7"/>
    </w:p>
    <w:p w14:paraId="6B1FC2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完整性原则：交接内容应全面、系统，覆盖岗位全部职责与资料。</w:t>
      </w:r>
    </w:p>
    <w:p w14:paraId="4C8485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清晰性原则：交接过程应书面化、清单化，确保双方理解一致。</w:t>
      </w:r>
    </w:p>
    <w:p w14:paraId="13F48B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及时性原则：交接应在岗位变动前启动并完成，不得延误。</w:t>
      </w:r>
    </w:p>
    <w:p w14:paraId="1BD3B3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责任到人原则：交接双方及监交人应签字确认，对交接内容负责。</w:t>
      </w:r>
    </w:p>
    <w:p w14:paraId="6C2097A9">
      <w:pPr>
        <w:pStyle w:val="28"/>
        <w:bidi w:val="0"/>
        <w:rPr>
          <w:rFonts w:hint="default"/>
          <w:lang w:val="en-US" w:eastAsia="zh-CN"/>
        </w:rPr>
      </w:pPr>
      <w:bookmarkStart w:id="8" w:name="_Toc29906"/>
      <w:r>
        <w:rPr>
          <w:rFonts w:hint="default"/>
          <w:lang w:val="en-US" w:eastAsia="zh-CN"/>
        </w:rPr>
        <w:t>工作交接适用情形</w:t>
      </w:r>
      <w:bookmarkEnd w:id="8"/>
    </w:p>
    <w:p w14:paraId="00380C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员工离职（包括辞职、辞退、退休等）</w:t>
      </w:r>
    </w:p>
    <w:p w14:paraId="02C984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内部调岗或轮岗</w:t>
      </w:r>
    </w:p>
    <w:p w14:paraId="30CDB6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长期请假（事假、病假等超过5个工作日）</w:t>
      </w:r>
    </w:p>
    <w:p w14:paraId="1EF4DF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岗位职责重大调整或新增</w:t>
      </w:r>
    </w:p>
    <w:p w14:paraId="54A142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其他经部门负责人认定需要交接的情形</w:t>
      </w:r>
    </w:p>
    <w:p w14:paraId="09110E5A">
      <w:pPr>
        <w:pStyle w:val="28"/>
        <w:bidi w:val="0"/>
        <w:rPr>
          <w:rFonts w:hint="default"/>
          <w:lang w:val="en-US" w:eastAsia="zh-CN"/>
        </w:rPr>
      </w:pPr>
      <w:bookmarkStart w:id="9" w:name="_Toc20500"/>
      <w:r>
        <w:rPr>
          <w:rFonts w:hint="default"/>
          <w:lang w:val="en-US" w:eastAsia="zh-CN"/>
        </w:rPr>
        <w:t>交接流程与职责</w:t>
      </w:r>
      <w:bookmarkEnd w:id="9"/>
    </w:p>
    <w:p w14:paraId="705867B8">
      <w:pPr>
        <w:pStyle w:val="30"/>
        <w:bidi w:val="0"/>
        <w:rPr>
          <w:rFonts w:hint="default"/>
          <w:lang w:val="en-US" w:eastAsia="zh-CN"/>
        </w:rPr>
      </w:pPr>
      <w:bookmarkStart w:id="10" w:name="_Toc11777"/>
      <w:r>
        <w:rPr>
          <w:rFonts w:hint="default"/>
          <w:lang w:val="en-US" w:eastAsia="zh-CN"/>
        </w:rPr>
        <w:t>交接启动</w:t>
      </w:r>
      <w:bookmarkEnd w:id="10"/>
    </w:p>
    <w:p w14:paraId="2616CE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员工提出离职或调岗申请后，部门负责人应在3个工作日内确定交接计划，并指定交接人、接收人及监交人。</w:t>
      </w:r>
    </w:p>
    <w:p w14:paraId="266A0D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交接周期一般不超过5个工作日，特殊情况需报部门负责人批准延长。</w:t>
      </w:r>
    </w:p>
    <w:p w14:paraId="555F3105">
      <w:pPr>
        <w:pStyle w:val="30"/>
        <w:bidi w:val="0"/>
        <w:rPr>
          <w:rFonts w:hint="default"/>
          <w:lang w:val="en-US" w:eastAsia="zh-CN"/>
        </w:rPr>
      </w:pPr>
      <w:bookmarkStart w:id="11" w:name="_Toc17425"/>
      <w:r>
        <w:rPr>
          <w:rFonts w:hint="default"/>
          <w:lang w:val="en-US" w:eastAsia="zh-CN"/>
        </w:rPr>
        <w:t>交接三方职责</w:t>
      </w:r>
      <w:bookmarkEnd w:id="11"/>
    </w:p>
    <w:p w14:paraId="098B60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交接人（离岗员工）：负责整理并移交本制度第四条所列全部内容，确保真实、完整、清晰。</w:t>
      </w:r>
    </w:p>
    <w:p w14:paraId="6C218B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接收人（接岗员工）：负责接收、核验并理解交接内容，确认无误后签字。</w:t>
      </w:r>
    </w:p>
    <w:p w14:paraId="3BA13B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监交人（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）：负责监督交接过程，协调资源，审核交接清单，确保交接质量。</w:t>
      </w:r>
    </w:p>
    <w:p w14:paraId="5D2BD3E6">
      <w:pPr>
        <w:pStyle w:val="30"/>
        <w:bidi w:val="0"/>
        <w:rPr>
          <w:rFonts w:hint="default"/>
          <w:lang w:val="en-US" w:eastAsia="zh-CN"/>
        </w:rPr>
      </w:pPr>
      <w:bookmarkStart w:id="12" w:name="_Toc13708"/>
      <w:r>
        <w:rPr>
          <w:rFonts w:hint="default"/>
          <w:lang w:val="en-US" w:eastAsia="zh-CN"/>
        </w:rPr>
        <w:t>交接步骤</w:t>
      </w:r>
      <w:bookmarkEnd w:id="12"/>
    </w:p>
    <w:p w14:paraId="3CE597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（1）交接人填写《工作交接清单》（见附件1），提交监交人审核。</w:t>
      </w:r>
    </w:p>
    <w:p w14:paraId="5683D2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（2）三方共同进行实物、文件、系统权限等现场交接。</w:t>
      </w:r>
    </w:p>
    <w:p w14:paraId="6E068D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（3）接收人熟悉工作内容，交接人提供必要辅导。</w:t>
      </w:r>
    </w:p>
    <w:p w14:paraId="65CDC7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（4）三方签字确认，《工作交接清单》一式三份，分别留存交接人、接收人、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备案。</w:t>
      </w:r>
    </w:p>
    <w:p w14:paraId="08E3967C">
      <w:pPr>
        <w:pStyle w:val="30"/>
        <w:bidi w:val="0"/>
        <w:rPr>
          <w:rFonts w:hint="default"/>
          <w:lang w:val="en-US" w:eastAsia="zh-CN"/>
        </w:rPr>
      </w:pPr>
      <w:bookmarkStart w:id="13" w:name="_Toc15497"/>
      <w:r>
        <w:rPr>
          <w:rFonts w:hint="default"/>
          <w:lang w:val="en-US" w:eastAsia="zh-CN"/>
        </w:rPr>
        <w:t>交接内容与要求</w:t>
      </w:r>
      <w:bookmarkEnd w:id="13"/>
    </w:p>
    <w:p w14:paraId="15A97C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文件资料交接</w:t>
      </w:r>
    </w:p>
    <w:p w14:paraId="278754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岗位相关制度、规范、操作手册</w:t>
      </w:r>
    </w:p>
    <w:p w14:paraId="43C2AF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未办结文件、合同、项目资料</w:t>
      </w:r>
    </w:p>
    <w:p w14:paraId="2E4D9B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历史档案、报告、数据记录</w:t>
      </w:r>
    </w:p>
    <w:p w14:paraId="215C25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电子文档目录及存储位置说明</w:t>
      </w:r>
    </w:p>
    <w:p w14:paraId="2191DF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工作事项交接</w:t>
      </w:r>
    </w:p>
    <w:p w14:paraId="50F1D9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当前重点工作进展、待办任务清单</w:t>
      </w:r>
    </w:p>
    <w:p w14:paraId="0707B6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项目状态、关键节点及责任人</w:t>
      </w:r>
    </w:p>
    <w:p w14:paraId="02DDD3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日常职责、周期性工作安排</w:t>
      </w:r>
    </w:p>
    <w:p w14:paraId="3A280B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外部联系单位/人员清单及注意事项</w:t>
      </w:r>
    </w:p>
    <w:p w14:paraId="35F8A8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资产与权限交接</w:t>
      </w:r>
    </w:p>
    <w:p w14:paraId="3F044F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办公设备、工具、钥匙等实物资产</w:t>
      </w:r>
    </w:p>
    <w:p w14:paraId="1CD0D6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系统账号、密码、操作权限</w:t>
      </w:r>
    </w:p>
    <w:p w14:paraId="385EF2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财务借款、备用金、未报销单据</w:t>
      </w:r>
    </w:p>
    <w:p w14:paraId="2F8524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公司卡证、印章、授权文件等</w:t>
      </w:r>
    </w:p>
    <w:p w14:paraId="42214C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工作联络交接</w:t>
      </w:r>
    </w:p>
    <w:p w14:paraId="1FB2BF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内部协作部门及接口人</w:t>
      </w:r>
    </w:p>
    <w:p w14:paraId="5030B2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外部客户、供应商、合作伙伴联系表</w:t>
      </w:r>
    </w:p>
    <w:p w14:paraId="1D2D47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正在进行的沟通事项及待回复内容</w:t>
      </w:r>
    </w:p>
    <w:p w14:paraId="14A4A64C">
      <w:pPr>
        <w:pStyle w:val="28"/>
        <w:bidi w:val="0"/>
        <w:rPr>
          <w:rFonts w:hint="default"/>
          <w:lang w:val="en-US" w:eastAsia="zh-CN"/>
        </w:rPr>
      </w:pPr>
      <w:bookmarkStart w:id="14" w:name="_Toc29171"/>
      <w:r>
        <w:rPr>
          <w:rFonts w:hint="default"/>
          <w:lang w:val="en-US" w:eastAsia="zh-CN"/>
        </w:rPr>
        <w:t>监督与责任</w:t>
      </w:r>
      <w:bookmarkEnd w:id="14"/>
    </w:p>
    <w:p w14:paraId="1E98B8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为交接第一责任人，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负责制度执行监督。</w:t>
      </w:r>
    </w:p>
    <w:p w14:paraId="3D7BC1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交接不完整或不符合要求，监交人有权要求重新交接。</w:t>
      </w:r>
    </w:p>
    <w:p w14:paraId="2E0946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因交接不清导致工作延误、资料丢失或损失，追究交接人、接收人及监交人相应责任。</w:t>
      </w:r>
    </w:p>
    <w:p w14:paraId="08E396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未完成交接的离职员工，公司有权暂缓办理离职手续及相关结算。</w:t>
      </w:r>
    </w:p>
    <w:p w14:paraId="46F71D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61F13"/>
    <w:rsid w:val="00E865C2"/>
    <w:rsid w:val="01161381"/>
    <w:rsid w:val="016F283F"/>
    <w:rsid w:val="01873A23"/>
    <w:rsid w:val="027A149C"/>
    <w:rsid w:val="028440C8"/>
    <w:rsid w:val="033856D9"/>
    <w:rsid w:val="03431E67"/>
    <w:rsid w:val="037E2237"/>
    <w:rsid w:val="03B804CE"/>
    <w:rsid w:val="03F4456E"/>
    <w:rsid w:val="04B4212E"/>
    <w:rsid w:val="04C36455"/>
    <w:rsid w:val="04EF3956"/>
    <w:rsid w:val="04FE63B4"/>
    <w:rsid w:val="05957D83"/>
    <w:rsid w:val="05B95683"/>
    <w:rsid w:val="05C017FD"/>
    <w:rsid w:val="060C68AF"/>
    <w:rsid w:val="06CB49BC"/>
    <w:rsid w:val="06EA0C88"/>
    <w:rsid w:val="074B3407"/>
    <w:rsid w:val="07C10266"/>
    <w:rsid w:val="07DB478B"/>
    <w:rsid w:val="07E15B19"/>
    <w:rsid w:val="080B2B96"/>
    <w:rsid w:val="08145EEF"/>
    <w:rsid w:val="08B17BE1"/>
    <w:rsid w:val="08D062B9"/>
    <w:rsid w:val="09DE0562"/>
    <w:rsid w:val="09FA11E0"/>
    <w:rsid w:val="0A2F0DBE"/>
    <w:rsid w:val="0AC41E4E"/>
    <w:rsid w:val="0B0A5387"/>
    <w:rsid w:val="0B13248D"/>
    <w:rsid w:val="0C201B54"/>
    <w:rsid w:val="0C2972BF"/>
    <w:rsid w:val="0C637445"/>
    <w:rsid w:val="0E4B1F3E"/>
    <w:rsid w:val="0F2F360E"/>
    <w:rsid w:val="0FB13929"/>
    <w:rsid w:val="104878C2"/>
    <w:rsid w:val="115F467E"/>
    <w:rsid w:val="11F823DD"/>
    <w:rsid w:val="128E7347"/>
    <w:rsid w:val="140A03A6"/>
    <w:rsid w:val="14F926F4"/>
    <w:rsid w:val="15520F4C"/>
    <w:rsid w:val="157A28AF"/>
    <w:rsid w:val="162A4334"/>
    <w:rsid w:val="16976668"/>
    <w:rsid w:val="169A7F07"/>
    <w:rsid w:val="17AD104E"/>
    <w:rsid w:val="17F96B12"/>
    <w:rsid w:val="1871105F"/>
    <w:rsid w:val="19B117EF"/>
    <w:rsid w:val="19F17E3E"/>
    <w:rsid w:val="1A200723"/>
    <w:rsid w:val="1A3A7A37"/>
    <w:rsid w:val="1A8011C2"/>
    <w:rsid w:val="1A9A6727"/>
    <w:rsid w:val="1AA2382E"/>
    <w:rsid w:val="1AC11F06"/>
    <w:rsid w:val="1ACB4B33"/>
    <w:rsid w:val="1BCD48DA"/>
    <w:rsid w:val="1C1155BA"/>
    <w:rsid w:val="1C470A60"/>
    <w:rsid w:val="1C4C39E7"/>
    <w:rsid w:val="1C4C57FF"/>
    <w:rsid w:val="1C624703"/>
    <w:rsid w:val="1CFA34AD"/>
    <w:rsid w:val="1D43495B"/>
    <w:rsid w:val="1D70551D"/>
    <w:rsid w:val="1DA44932"/>
    <w:rsid w:val="1DD65800"/>
    <w:rsid w:val="1DFB7FBE"/>
    <w:rsid w:val="1E006819"/>
    <w:rsid w:val="1E091355"/>
    <w:rsid w:val="1E7B6870"/>
    <w:rsid w:val="1EF26B32"/>
    <w:rsid w:val="1F152820"/>
    <w:rsid w:val="1F8D1B58"/>
    <w:rsid w:val="1F8D685B"/>
    <w:rsid w:val="201306F3"/>
    <w:rsid w:val="20401B1F"/>
    <w:rsid w:val="20BE10B2"/>
    <w:rsid w:val="20C91B14"/>
    <w:rsid w:val="20CF69FF"/>
    <w:rsid w:val="20F21EF0"/>
    <w:rsid w:val="210A56C3"/>
    <w:rsid w:val="212E1977"/>
    <w:rsid w:val="21CD1190"/>
    <w:rsid w:val="22146DBF"/>
    <w:rsid w:val="22156F08"/>
    <w:rsid w:val="23082878"/>
    <w:rsid w:val="239161EE"/>
    <w:rsid w:val="24401886"/>
    <w:rsid w:val="24480FA2"/>
    <w:rsid w:val="247753E3"/>
    <w:rsid w:val="247E2C16"/>
    <w:rsid w:val="24861ACA"/>
    <w:rsid w:val="24B14D99"/>
    <w:rsid w:val="251C43FD"/>
    <w:rsid w:val="2547125A"/>
    <w:rsid w:val="26485289"/>
    <w:rsid w:val="266D3D2B"/>
    <w:rsid w:val="26976211"/>
    <w:rsid w:val="26C651BD"/>
    <w:rsid w:val="27E2526A"/>
    <w:rsid w:val="27F66E2D"/>
    <w:rsid w:val="28951D06"/>
    <w:rsid w:val="28EA6ACC"/>
    <w:rsid w:val="295C2DFA"/>
    <w:rsid w:val="295D49CD"/>
    <w:rsid w:val="295F4405"/>
    <w:rsid w:val="29890093"/>
    <w:rsid w:val="29B669AE"/>
    <w:rsid w:val="29CE5AA6"/>
    <w:rsid w:val="2A7F3244"/>
    <w:rsid w:val="2AFC2AE6"/>
    <w:rsid w:val="2B2B7C24"/>
    <w:rsid w:val="2B3E6C5B"/>
    <w:rsid w:val="2B404781"/>
    <w:rsid w:val="2B483F8A"/>
    <w:rsid w:val="2B7D22D9"/>
    <w:rsid w:val="2BFB0147"/>
    <w:rsid w:val="2CA23219"/>
    <w:rsid w:val="2CAD4098"/>
    <w:rsid w:val="2CB17B5A"/>
    <w:rsid w:val="2CC9676B"/>
    <w:rsid w:val="2CFC0B7C"/>
    <w:rsid w:val="2D885FB0"/>
    <w:rsid w:val="2EC43F18"/>
    <w:rsid w:val="2ED52C6D"/>
    <w:rsid w:val="2F572D0F"/>
    <w:rsid w:val="2FBB4D1E"/>
    <w:rsid w:val="2FC260AC"/>
    <w:rsid w:val="2FE37DD1"/>
    <w:rsid w:val="30607673"/>
    <w:rsid w:val="30C23098"/>
    <w:rsid w:val="30FF0C3A"/>
    <w:rsid w:val="31327262"/>
    <w:rsid w:val="31350B00"/>
    <w:rsid w:val="314F3970"/>
    <w:rsid w:val="325C4129"/>
    <w:rsid w:val="32BA306B"/>
    <w:rsid w:val="33825A9C"/>
    <w:rsid w:val="34441786"/>
    <w:rsid w:val="34833930"/>
    <w:rsid w:val="34FC2B96"/>
    <w:rsid w:val="352E1AEE"/>
    <w:rsid w:val="354B108F"/>
    <w:rsid w:val="359202CF"/>
    <w:rsid w:val="35A13F7A"/>
    <w:rsid w:val="35BC534C"/>
    <w:rsid w:val="36034D29"/>
    <w:rsid w:val="361209CC"/>
    <w:rsid w:val="36681030"/>
    <w:rsid w:val="37730A2E"/>
    <w:rsid w:val="378105FB"/>
    <w:rsid w:val="37BA58BB"/>
    <w:rsid w:val="37C457BF"/>
    <w:rsid w:val="37ED7275"/>
    <w:rsid w:val="38333BBA"/>
    <w:rsid w:val="387C6395"/>
    <w:rsid w:val="38D17360"/>
    <w:rsid w:val="39EE68D9"/>
    <w:rsid w:val="3A1C460B"/>
    <w:rsid w:val="3A865F28"/>
    <w:rsid w:val="3B7566C9"/>
    <w:rsid w:val="3BF770DE"/>
    <w:rsid w:val="3C0D4B53"/>
    <w:rsid w:val="3C8D3764"/>
    <w:rsid w:val="3F783DDA"/>
    <w:rsid w:val="3FFC108A"/>
    <w:rsid w:val="40152228"/>
    <w:rsid w:val="4032362F"/>
    <w:rsid w:val="40953369"/>
    <w:rsid w:val="40DF3D78"/>
    <w:rsid w:val="41F61C0D"/>
    <w:rsid w:val="42164036"/>
    <w:rsid w:val="42D50C3A"/>
    <w:rsid w:val="433A3D54"/>
    <w:rsid w:val="433D5FC5"/>
    <w:rsid w:val="43413334"/>
    <w:rsid w:val="45237196"/>
    <w:rsid w:val="45D43FEC"/>
    <w:rsid w:val="467A71EB"/>
    <w:rsid w:val="467F2EAB"/>
    <w:rsid w:val="46CB3641"/>
    <w:rsid w:val="46F80C5B"/>
    <w:rsid w:val="47163D12"/>
    <w:rsid w:val="47F60B91"/>
    <w:rsid w:val="480768FB"/>
    <w:rsid w:val="487D3F41"/>
    <w:rsid w:val="48B438BE"/>
    <w:rsid w:val="491867F3"/>
    <w:rsid w:val="49940662"/>
    <w:rsid w:val="4A6A13C3"/>
    <w:rsid w:val="4AD14F9E"/>
    <w:rsid w:val="4AD827D0"/>
    <w:rsid w:val="4B046389"/>
    <w:rsid w:val="4BCD1C09"/>
    <w:rsid w:val="4BF215BE"/>
    <w:rsid w:val="4C854292"/>
    <w:rsid w:val="4CC54B9A"/>
    <w:rsid w:val="4D495A2D"/>
    <w:rsid w:val="4D527006"/>
    <w:rsid w:val="4D896004"/>
    <w:rsid w:val="4E47696B"/>
    <w:rsid w:val="4E7E7051"/>
    <w:rsid w:val="4ED96B17"/>
    <w:rsid w:val="4EE95E85"/>
    <w:rsid w:val="4F226D97"/>
    <w:rsid w:val="4F3501F1"/>
    <w:rsid w:val="4FA90297"/>
    <w:rsid w:val="509E52D5"/>
    <w:rsid w:val="50AF18DD"/>
    <w:rsid w:val="50EB486D"/>
    <w:rsid w:val="50F35B0E"/>
    <w:rsid w:val="50F67349"/>
    <w:rsid w:val="51356102"/>
    <w:rsid w:val="51612558"/>
    <w:rsid w:val="516945EC"/>
    <w:rsid w:val="5176064D"/>
    <w:rsid w:val="51AC406F"/>
    <w:rsid w:val="51D9182F"/>
    <w:rsid w:val="5211299F"/>
    <w:rsid w:val="52131FB2"/>
    <w:rsid w:val="529E60AD"/>
    <w:rsid w:val="53382B3D"/>
    <w:rsid w:val="533F163E"/>
    <w:rsid w:val="53B316E5"/>
    <w:rsid w:val="541045F2"/>
    <w:rsid w:val="54C87412"/>
    <w:rsid w:val="54EF0E42"/>
    <w:rsid w:val="55037F5B"/>
    <w:rsid w:val="55796E0E"/>
    <w:rsid w:val="55915A56"/>
    <w:rsid w:val="564B654C"/>
    <w:rsid w:val="57155951"/>
    <w:rsid w:val="576F2F50"/>
    <w:rsid w:val="58150BC0"/>
    <w:rsid w:val="582B03E3"/>
    <w:rsid w:val="58733B38"/>
    <w:rsid w:val="58A32DDA"/>
    <w:rsid w:val="58FE2F4F"/>
    <w:rsid w:val="59710078"/>
    <w:rsid w:val="59F842F5"/>
    <w:rsid w:val="5A5338E2"/>
    <w:rsid w:val="5A58763C"/>
    <w:rsid w:val="5A93401E"/>
    <w:rsid w:val="5AC90A7E"/>
    <w:rsid w:val="5AD05272"/>
    <w:rsid w:val="5ADC3C17"/>
    <w:rsid w:val="5B2703BF"/>
    <w:rsid w:val="5B716904"/>
    <w:rsid w:val="5B745BFD"/>
    <w:rsid w:val="5BFB631F"/>
    <w:rsid w:val="5CBF559E"/>
    <w:rsid w:val="5CC52489"/>
    <w:rsid w:val="5CD56B70"/>
    <w:rsid w:val="5CD858CA"/>
    <w:rsid w:val="5CDF79EE"/>
    <w:rsid w:val="5D214265"/>
    <w:rsid w:val="5D5C7A80"/>
    <w:rsid w:val="5D5F6439"/>
    <w:rsid w:val="5DB633F9"/>
    <w:rsid w:val="5DC170F4"/>
    <w:rsid w:val="5E4958B0"/>
    <w:rsid w:val="5E8B1BDC"/>
    <w:rsid w:val="5F261904"/>
    <w:rsid w:val="5F4E4990"/>
    <w:rsid w:val="60001B6F"/>
    <w:rsid w:val="60400411"/>
    <w:rsid w:val="60A527D8"/>
    <w:rsid w:val="60F4333C"/>
    <w:rsid w:val="615838CB"/>
    <w:rsid w:val="620F042E"/>
    <w:rsid w:val="62B45479"/>
    <w:rsid w:val="62C51434"/>
    <w:rsid w:val="62DF24F6"/>
    <w:rsid w:val="638E5CCA"/>
    <w:rsid w:val="63962946"/>
    <w:rsid w:val="63C24D92"/>
    <w:rsid w:val="63DA0F0F"/>
    <w:rsid w:val="640D6BEF"/>
    <w:rsid w:val="6499200B"/>
    <w:rsid w:val="649B0B15"/>
    <w:rsid w:val="6571289C"/>
    <w:rsid w:val="660E3E54"/>
    <w:rsid w:val="661F70AE"/>
    <w:rsid w:val="663F32AC"/>
    <w:rsid w:val="66761E42"/>
    <w:rsid w:val="670921B5"/>
    <w:rsid w:val="67780823"/>
    <w:rsid w:val="67786BC4"/>
    <w:rsid w:val="67B33F51"/>
    <w:rsid w:val="688F2E5F"/>
    <w:rsid w:val="68A95A9B"/>
    <w:rsid w:val="68D4417F"/>
    <w:rsid w:val="68ED228A"/>
    <w:rsid w:val="68F62348"/>
    <w:rsid w:val="692F13B6"/>
    <w:rsid w:val="699343FB"/>
    <w:rsid w:val="69AA4EE0"/>
    <w:rsid w:val="6A2D7FEB"/>
    <w:rsid w:val="6A591EC9"/>
    <w:rsid w:val="6A95793E"/>
    <w:rsid w:val="6B60619E"/>
    <w:rsid w:val="6BC4672D"/>
    <w:rsid w:val="6D0A3398"/>
    <w:rsid w:val="6D1C7EA3"/>
    <w:rsid w:val="6E82642B"/>
    <w:rsid w:val="6EB63269"/>
    <w:rsid w:val="6F5E47A3"/>
    <w:rsid w:val="6F7A7850"/>
    <w:rsid w:val="6F7C0E99"/>
    <w:rsid w:val="6F7C2E7B"/>
    <w:rsid w:val="6FE70C3C"/>
    <w:rsid w:val="70052E70"/>
    <w:rsid w:val="70141305"/>
    <w:rsid w:val="701B6B38"/>
    <w:rsid w:val="70F829D5"/>
    <w:rsid w:val="713A123F"/>
    <w:rsid w:val="71E9433F"/>
    <w:rsid w:val="71F238C8"/>
    <w:rsid w:val="72252EC6"/>
    <w:rsid w:val="72B156D0"/>
    <w:rsid w:val="736B3932"/>
    <w:rsid w:val="74387CB8"/>
    <w:rsid w:val="74542618"/>
    <w:rsid w:val="74634609"/>
    <w:rsid w:val="74CA14A1"/>
    <w:rsid w:val="750758DC"/>
    <w:rsid w:val="75530B22"/>
    <w:rsid w:val="75AA1BCC"/>
    <w:rsid w:val="75F14C5D"/>
    <w:rsid w:val="75FB56F0"/>
    <w:rsid w:val="764D5571"/>
    <w:rsid w:val="765608C9"/>
    <w:rsid w:val="76571F4C"/>
    <w:rsid w:val="76BB072D"/>
    <w:rsid w:val="76CF5F86"/>
    <w:rsid w:val="7735580A"/>
    <w:rsid w:val="78C25DA2"/>
    <w:rsid w:val="79116D2A"/>
    <w:rsid w:val="79314CD6"/>
    <w:rsid w:val="793D5102"/>
    <w:rsid w:val="79876E10"/>
    <w:rsid w:val="79CE4C1B"/>
    <w:rsid w:val="7A0569E7"/>
    <w:rsid w:val="7B334D35"/>
    <w:rsid w:val="7B7535A0"/>
    <w:rsid w:val="7C0641F8"/>
    <w:rsid w:val="7C1F350C"/>
    <w:rsid w:val="7CB67090"/>
    <w:rsid w:val="7CEE584C"/>
    <w:rsid w:val="7CF46746"/>
    <w:rsid w:val="7D0A5583"/>
    <w:rsid w:val="7D3C3975"/>
    <w:rsid w:val="7D573F2F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1237</Words>
  <Characters>1348</Characters>
  <Lines>0</Lines>
  <Paragraphs>0</Paragraphs>
  <TotalTime>0</TotalTime>
  <ScaleCrop>false</ScaleCrop>
  <LinksUpToDate>false</LinksUpToDate>
  <CharactersWithSpaces>1410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2025-12-23T19:36:04Z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