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GoBack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0"/>
      <w:r>
        <w:rPr>
          <w:rFonts w:hint="eastAsia"/>
          <w:lang w:val="en-US" w:eastAsia="zh-CN"/>
        </w:rPr>
        <w:t>云南腾电科技有限公司</w:t>
      </w:r>
    </w:p>
    <w:p w14:paraId="49BB6A8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备份管理方法</w:t>
      </w:r>
    </w:p>
    <w:p w14:paraId="4499288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（YNTD-ITSS-0507）</w:t>
      </w:r>
    </w:p>
    <w:p w14:paraId="07DEF31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阮郑</w:t>
            </w:r>
          </w:p>
        </w:tc>
        <w:tc>
          <w:tcPr>
            <w:tcW w:w="4261" w:type="dxa"/>
          </w:tcPr>
          <w:p w14:paraId="39FA7D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</w:tbl>
    <w:p w14:paraId="46327F7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7C1D57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1036D6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 w14:paraId="2D6F74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rFonts w:hint="eastAsia"/>
                <w:u w:val="none"/>
                <w:vertAlign w:val="baseline"/>
                <w:lang w:val="en-US" w:eastAsia="zh-CN"/>
              </w:rPr>
              <w:t>阮郑</w:t>
            </w:r>
          </w:p>
        </w:tc>
        <w:tc>
          <w:tcPr>
            <w:tcW w:w="1274" w:type="dxa"/>
          </w:tcPr>
          <w:p w14:paraId="0B391C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957" w:type="dxa"/>
          </w:tcPr>
          <w:p w14:paraId="0806E2D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1017" w:type="dxa"/>
          </w:tcPr>
          <w:p w14:paraId="7B95F9C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陆涛</w:t>
            </w:r>
          </w:p>
        </w:tc>
        <w:tc>
          <w:tcPr>
            <w:tcW w:w="1271" w:type="dxa"/>
          </w:tcPr>
          <w:p w14:paraId="76E7ED7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304E0B0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66497D4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1FE3C12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012EE64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75BDB48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271" w:type="dxa"/>
          </w:tcPr>
          <w:p w14:paraId="7A74C2F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271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6C9B832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1EAAE9E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概述</w:t>
      </w:r>
    </w:p>
    <w:p w14:paraId="2B1A1F4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目的</w:t>
      </w:r>
    </w:p>
    <w:p w14:paraId="65FD2E8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为保障公司关键岗位工作的连续性与稳定性，降低因人员离职、调岗、长期缺勤等带来的运营风险，建立科学、系统的人员备份机制，确保关键岗位随时有合格人员可接替，特制定本办法。</w:t>
      </w:r>
    </w:p>
    <w:p w14:paraId="2F6DD99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适用范围</w:t>
      </w:r>
    </w:p>
    <w:p w14:paraId="0C559AE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本办法适用于公司所有被认定为关键岗位的人员备份管理，包括管理类、技术类及核心业务类岗位。</w:t>
      </w:r>
    </w:p>
    <w:p w14:paraId="192DCF0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基本原则</w:t>
      </w:r>
    </w:p>
    <w:p w14:paraId="359369C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前瞻性原则：备份工作应提前规划，避免岗位空缺时临时应对。</w:t>
      </w:r>
    </w:p>
    <w:p w14:paraId="560735B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匹配性原则：备份人员的能力、经验应与目标岗位要求相匹配。</w:t>
      </w:r>
    </w:p>
    <w:p w14:paraId="04DA63F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动态性原则：备份关系与培养计划应根据人员与业务变化动态调整。</w:t>
      </w:r>
    </w:p>
    <w:p w14:paraId="4B033CA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保密性原则：备份安排应控制在必要知悉范围内，避免对现有团队造成不必要的波动。</w:t>
      </w:r>
    </w:p>
    <w:p w14:paraId="195DCBD6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备份岗位识别与分类</w:t>
      </w:r>
    </w:p>
    <w:p w14:paraId="5627DBE0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关键岗位定义</w:t>
      </w:r>
    </w:p>
    <w:p w14:paraId="5C9B765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指对公司战略落实、业务连续、技术传承或运营安全具有重要影响，且内部替代难度较高的岗位。</w:t>
      </w:r>
    </w:p>
    <w:p w14:paraId="7EBE82A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识别标准</w:t>
      </w:r>
    </w:p>
    <w:p w14:paraId="0971AFD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（1）管理影响：</w:t>
      </w:r>
      <w:r>
        <w:rPr>
          <w:rFonts w:hint="eastAsia"/>
          <w:lang w:val="en-US" w:eastAsia="zh-CN"/>
        </w:rPr>
        <w:t>部门经理</w:t>
      </w:r>
      <w:r>
        <w:rPr>
          <w:rFonts w:hint="default"/>
          <w:lang w:val="en-US" w:eastAsia="zh-CN"/>
        </w:rPr>
        <w:t>及以上管理岗位。</w:t>
      </w:r>
    </w:p>
    <w:p w14:paraId="3AB2290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（2）技术唯一：掌握核心技术、独有关键技能或特殊资质的岗位。</w:t>
      </w:r>
    </w:p>
    <w:p w14:paraId="5F173FF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（3）业务瓶颈：该岗位人员缺失将直接导致项目停滞、服务中断或客户关系重大风险。</w:t>
      </w:r>
    </w:p>
    <w:p w14:paraId="1368774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（4）培养周期：岗位胜任所需培养周期超过6个月。</w:t>
      </w:r>
    </w:p>
    <w:p w14:paraId="479ADF5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岗位分类与备份级别</w:t>
      </w:r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0"/>
        <w:gridCol w:w="2610"/>
        <w:gridCol w:w="2131"/>
        <w:gridCol w:w="2131"/>
      </w:tblGrid>
      <w:tr w14:paraId="5E4B7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0" w:type="dxa"/>
          </w:tcPr>
          <w:p w14:paraId="2C3490E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类别</w:t>
            </w:r>
          </w:p>
        </w:tc>
        <w:tc>
          <w:tcPr>
            <w:tcW w:w="2610" w:type="dxa"/>
          </w:tcPr>
          <w:p w14:paraId="14E144B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示例</w:t>
            </w:r>
          </w:p>
        </w:tc>
        <w:tc>
          <w:tcPr>
            <w:tcW w:w="2131" w:type="dxa"/>
          </w:tcPr>
          <w:p w14:paraId="7FA0204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建议备份人数</w:t>
            </w:r>
          </w:p>
        </w:tc>
        <w:tc>
          <w:tcPr>
            <w:tcW w:w="2131" w:type="dxa"/>
          </w:tcPr>
          <w:p w14:paraId="5856450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最低准备期</w:t>
            </w:r>
          </w:p>
        </w:tc>
      </w:tr>
      <w:tr w14:paraId="210300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0" w:type="dxa"/>
          </w:tcPr>
          <w:p w14:paraId="758E418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核心</w:t>
            </w:r>
          </w:p>
        </w:tc>
        <w:tc>
          <w:tcPr>
            <w:tcW w:w="2610" w:type="dxa"/>
          </w:tcPr>
          <w:p w14:paraId="295CC49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经理、高级项目经理</w:t>
            </w:r>
          </w:p>
        </w:tc>
        <w:tc>
          <w:tcPr>
            <w:tcW w:w="2131" w:type="dxa"/>
          </w:tcPr>
          <w:p w14:paraId="16758FC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1-2人</w:t>
            </w:r>
          </w:p>
        </w:tc>
        <w:tc>
          <w:tcPr>
            <w:tcW w:w="2131" w:type="dxa"/>
          </w:tcPr>
          <w:p w14:paraId="2CD4CC9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3个月</w:t>
            </w:r>
          </w:p>
        </w:tc>
      </w:tr>
      <w:tr w14:paraId="587275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0" w:type="dxa"/>
          </w:tcPr>
          <w:p w14:paraId="3BE1F82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重要</w:t>
            </w:r>
          </w:p>
        </w:tc>
        <w:tc>
          <w:tcPr>
            <w:tcW w:w="2610" w:type="dxa"/>
          </w:tcPr>
          <w:p w14:paraId="7C3324F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主管、中级工程师</w:t>
            </w:r>
          </w:p>
        </w:tc>
        <w:tc>
          <w:tcPr>
            <w:tcW w:w="2131" w:type="dxa"/>
          </w:tcPr>
          <w:p w14:paraId="07656DD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1人</w:t>
            </w:r>
          </w:p>
        </w:tc>
        <w:tc>
          <w:tcPr>
            <w:tcW w:w="2131" w:type="dxa"/>
          </w:tcPr>
          <w:p w14:paraId="12DBA7C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6个月</w:t>
            </w:r>
          </w:p>
        </w:tc>
      </w:tr>
      <w:tr w14:paraId="43B6F2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0" w:type="dxa"/>
          </w:tcPr>
          <w:p w14:paraId="1CBE60E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基础</w:t>
            </w:r>
          </w:p>
        </w:tc>
        <w:tc>
          <w:tcPr>
            <w:tcW w:w="2610" w:type="dxa"/>
          </w:tcPr>
          <w:p w14:paraId="1E8C555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初级工程师、专员</w:t>
            </w:r>
          </w:p>
        </w:tc>
        <w:tc>
          <w:tcPr>
            <w:tcW w:w="2131" w:type="dxa"/>
          </w:tcPr>
          <w:p w14:paraId="6954C59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依据实际情况</w:t>
            </w:r>
          </w:p>
        </w:tc>
        <w:tc>
          <w:tcPr>
            <w:tcW w:w="2131" w:type="dxa"/>
          </w:tcPr>
          <w:p w14:paraId="17F0034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12个月</w:t>
            </w:r>
          </w:p>
        </w:tc>
      </w:tr>
    </w:tbl>
    <w:p w14:paraId="05875A61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备份人员选拔与确定</w:t>
      </w:r>
    </w:p>
    <w:p w14:paraId="09BDC43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选拔标准</w:t>
      </w:r>
    </w:p>
    <w:p w14:paraId="782FAE3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具备目标岗位所需的基本素质与潜质。</w:t>
      </w:r>
    </w:p>
    <w:p w14:paraId="3E943A4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在当前岗位绩效表现良好（近一年考核良好及以上）。</w:t>
      </w:r>
    </w:p>
    <w:p w14:paraId="5317319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有意愿且有能力向目标岗位发展。</w:t>
      </w:r>
    </w:p>
    <w:p w14:paraId="38C9265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司龄一般不低于1年（特殊人才可放宽）。</w:t>
      </w:r>
    </w:p>
    <w:p w14:paraId="5F6D65E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选拔流程</w:t>
      </w:r>
    </w:p>
    <w:p w14:paraId="043C149F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提名：每年第一季度，由</w:t>
      </w:r>
      <w:r>
        <w:rPr>
          <w:rFonts w:hint="eastAsia"/>
          <w:lang w:val="en-US" w:eastAsia="zh-CN"/>
        </w:rPr>
        <w:t>部门经理</w:t>
      </w:r>
      <w:r>
        <w:rPr>
          <w:rFonts w:hint="default"/>
          <w:lang w:val="en-US" w:eastAsia="zh-CN"/>
        </w:rPr>
        <w:t>根据岗位备份计划，提名备份候选人，填写《关键岗位备份人员提名表》（附件1）。</w:t>
      </w:r>
    </w:p>
    <w:p w14:paraId="341FCEA2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评估：</w:t>
      </w:r>
      <w:r>
        <w:rPr>
          <w:rFonts w:hint="eastAsia"/>
          <w:lang w:val="en-US" w:eastAsia="zh-CN"/>
        </w:rPr>
        <w:t>人力部</w:t>
      </w:r>
      <w:r>
        <w:rPr>
          <w:rFonts w:hint="default"/>
          <w:lang w:val="en-US" w:eastAsia="zh-CN"/>
        </w:rPr>
        <w:t>组织对候选人进行综合评估（可参考《岗位技能评价管理办法》中的评估方式）。</w:t>
      </w:r>
    </w:p>
    <w:p w14:paraId="00A95452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审批：评估结果报公司高级管理层审批，最终确定备份人员名单。</w:t>
      </w:r>
    </w:p>
    <w:p w14:paraId="0BAAD00D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沟通：</w:t>
      </w:r>
      <w:r>
        <w:rPr>
          <w:rFonts w:hint="eastAsia"/>
          <w:lang w:val="en-US" w:eastAsia="zh-CN"/>
        </w:rPr>
        <w:t>部门经理</w:t>
      </w:r>
      <w:r>
        <w:rPr>
          <w:rFonts w:hint="default"/>
          <w:lang w:val="en-US" w:eastAsia="zh-CN"/>
        </w:rPr>
        <w:t>与备份人员进行正式沟通，明确备份关系与发展意向。</w:t>
      </w:r>
    </w:p>
    <w:p w14:paraId="74BE0F01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备份人员培养与发展</w:t>
      </w:r>
    </w:p>
    <w:p w14:paraId="66809984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制定个人发展计划（IDP）</w:t>
      </w:r>
    </w:p>
    <w:p w14:paraId="1831FAD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针对每位备份人员，由</w:t>
      </w:r>
      <w:r>
        <w:rPr>
          <w:rFonts w:hint="eastAsia"/>
          <w:lang w:val="en-US" w:eastAsia="zh-CN"/>
        </w:rPr>
        <w:t>部门经理</w:t>
      </w:r>
      <w:r>
        <w:rPr>
          <w:rFonts w:hint="default"/>
          <w:lang w:val="en-US" w:eastAsia="zh-CN"/>
        </w:rPr>
        <w:t>与</w:t>
      </w:r>
      <w:r>
        <w:rPr>
          <w:rFonts w:hint="eastAsia"/>
          <w:lang w:val="en-US" w:eastAsia="zh-CN"/>
        </w:rPr>
        <w:t>人力部</w:t>
      </w:r>
      <w:r>
        <w:rPr>
          <w:rFonts w:hint="default"/>
          <w:lang w:val="en-US" w:eastAsia="zh-CN"/>
        </w:rPr>
        <w:t>共同制定《备份人员个人发展计划》（附件2），内容包括：</w:t>
      </w:r>
    </w:p>
    <w:p w14:paraId="323B334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需提升的技能与知识清单。</w:t>
      </w:r>
    </w:p>
    <w:p w14:paraId="3B2951A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具体的培养方式（如培训、导师制、轮岗、项目实践等）。</w:t>
      </w:r>
    </w:p>
    <w:p w14:paraId="2FC2C3C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阶段性目标与检视时间点。</w:t>
      </w:r>
    </w:p>
    <w:p w14:paraId="2E06BB78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主要培养方式</w:t>
      </w:r>
    </w:p>
    <w:p w14:paraId="549EDA3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在岗辅导：由现岗人员或上级担任导师，进行工作指导与经验传授。</w:t>
      </w:r>
    </w:p>
    <w:p w14:paraId="7083CE0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跨岗轮训：安排至备份岗位进行短期实践或项目协作。</w:t>
      </w:r>
    </w:p>
    <w:p w14:paraId="5DCF992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专项培训：参加与目标岗位技能相关的内外部培训课程。</w:t>
      </w:r>
    </w:p>
    <w:p w14:paraId="1B48646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授权历练：逐步授予其处理目标岗位部分核心工作的权限。</w:t>
      </w:r>
    </w:p>
    <w:p w14:paraId="3D50FA2E">
      <w:pPr>
        <w:pStyle w:val="2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备份机制运行与管理</w:t>
      </w:r>
    </w:p>
    <w:p w14:paraId="360D65A1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组织职责</w:t>
      </w:r>
    </w:p>
    <w:p w14:paraId="2D1270A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人力部</w:t>
      </w:r>
      <w:r>
        <w:rPr>
          <w:rFonts w:hint="default"/>
          <w:lang w:val="en-US" w:eastAsia="zh-CN"/>
        </w:rPr>
        <w:t>：是备份管理的归口部门，负责制度建立、流程推动、资源协调与效果追踪。</w:t>
      </w:r>
    </w:p>
    <w:p w14:paraId="38140EB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</w:t>
      </w:r>
      <w:r>
        <w:rPr>
          <w:rFonts w:hint="eastAsia"/>
          <w:lang w:val="en-US" w:eastAsia="zh-CN"/>
        </w:rPr>
        <w:t>部门经理</w:t>
      </w:r>
      <w:r>
        <w:rPr>
          <w:rFonts w:hint="default"/>
          <w:lang w:val="en-US" w:eastAsia="zh-CN"/>
        </w:rPr>
        <w:t>：是本部门备份工作的第一责任人，负责提名、培养与日常管理。</w:t>
      </w:r>
    </w:p>
    <w:p w14:paraId="45EA418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公司高级管理层：负责审批关键岗位备份名单与重大资源投入。</w:t>
      </w:r>
    </w:p>
    <w:p w14:paraId="02042251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动态管理</w:t>
      </w:r>
    </w:p>
    <w:p w14:paraId="5A1B5DF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每年第一季度对备份岗位及人员进行全面审视与更新。</w:t>
      </w:r>
    </w:p>
    <w:p w14:paraId="76AC41F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当出现岗位职责重大调整、人员绩效变化或业务需要时，可启动临时调整程序。</w:t>
      </w:r>
    </w:p>
    <w:p w14:paraId="41B85AC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备份人员若出现绩效下滑、离职意向或发展不匹配等情况，应及时调整出备份名单并补充新人选。</w:t>
      </w:r>
    </w:p>
    <w:p w14:paraId="48668D30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激活机制</w:t>
      </w:r>
    </w:p>
    <w:p w14:paraId="3EB87A5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当关键岗位出现空缺时，按以下程序激活备份人员：</w:t>
      </w:r>
    </w:p>
    <w:p w14:paraId="681C43AD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部门经理</w:t>
      </w:r>
      <w:r>
        <w:rPr>
          <w:rFonts w:hint="default"/>
          <w:lang w:val="en-US" w:eastAsia="zh-CN"/>
        </w:rPr>
        <w:t>提出激活申请。</w:t>
      </w:r>
    </w:p>
    <w:p w14:paraId="0816AC75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人力部</w:t>
      </w:r>
      <w:r>
        <w:rPr>
          <w:rFonts w:hint="default"/>
          <w:lang w:val="en-US" w:eastAsia="zh-CN"/>
        </w:rPr>
        <w:t>审核备份人员准备度。</w:t>
      </w:r>
    </w:p>
    <w:p w14:paraId="2A9A1559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公司高级管理层审批。</w:t>
      </w:r>
    </w:p>
    <w:p w14:paraId="33D2D63C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按《工作交接管理制度》完成工作交接后，备份人员正式接任。</w:t>
      </w:r>
    </w:p>
    <w:p w14:paraId="2435BD1F">
      <w:pPr>
        <w:pStyle w:val="2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KPI指标</w:t>
      </w:r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31BB25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BE5301F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指标名称</w:t>
            </w:r>
          </w:p>
        </w:tc>
        <w:tc>
          <w:tcPr>
            <w:tcW w:w="2130" w:type="dxa"/>
          </w:tcPr>
          <w:p w14:paraId="730F73A9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计算方式</w:t>
            </w:r>
          </w:p>
        </w:tc>
        <w:tc>
          <w:tcPr>
            <w:tcW w:w="2131" w:type="dxa"/>
          </w:tcPr>
          <w:p w14:paraId="56DDBE68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目标值</w:t>
            </w:r>
          </w:p>
        </w:tc>
        <w:tc>
          <w:tcPr>
            <w:tcW w:w="2131" w:type="dxa"/>
          </w:tcPr>
          <w:p w14:paraId="44E8245C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考核频次</w:t>
            </w:r>
          </w:p>
        </w:tc>
      </w:tr>
      <w:tr w14:paraId="569C11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shd w:val="clear" w:color="auto" w:fill="auto"/>
            <w:vAlign w:val="top"/>
          </w:tcPr>
          <w:p w14:paraId="14962214">
            <w:pPr>
              <w:pStyle w:val="27"/>
              <w:widowControl w:val="0"/>
              <w:spacing w:before="235" w:line="218" w:lineRule="auto"/>
              <w:ind w:left="133" w:leftChars="0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备份</w:t>
            </w:r>
            <w:r>
              <w:rPr>
                <w:spacing w:val="-3"/>
                <w:sz w:val="24"/>
                <w:szCs w:val="24"/>
              </w:rPr>
              <w:t>计划完成率</w:t>
            </w:r>
          </w:p>
        </w:tc>
        <w:tc>
          <w:tcPr>
            <w:tcW w:w="2130" w:type="dxa"/>
            <w:shd w:val="clear" w:color="auto" w:fill="auto"/>
            <w:vAlign w:val="top"/>
          </w:tcPr>
          <w:p w14:paraId="7F63AC54">
            <w:pPr>
              <w:pStyle w:val="27"/>
              <w:widowControl w:val="0"/>
              <w:spacing w:before="235" w:line="218" w:lineRule="auto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  <w:t>实际备份人数/计划备份人数*100%</w:t>
            </w:r>
          </w:p>
        </w:tc>
        <w:tc>
          <w:tcPr>
            <w:tcW w:w="2131" w:type="dxa"/>
            <w:shd w:val="clear" w:color="auto" w:fill="auto"/>
            <w:vAlign w:val="top"/>
          </w:tcPr>
          <w:p w14:paraId="00604D57">
            <w:pPr>
              <w:pStyle w:val="27"/>
              <w:widowControl w:val="0"/>
              <w:spacing w:before="235" w:line="237" w:lineRule="auto"/>
              <w:ind w:left="168" w:leftChars="0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spacing w:val="-9"/>
                <w:sz w:val="24"/>
                <w:szCs w:val="24"/>
              </w:rPr>
              <w:t>≥9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0%</w:t>
            </w:r>
          </w:p>
        </w:tc>
        <w:tc>
          <w:tcPr>
            <w:tcW w:w="2131" w:type="dxa"/>
            <w:shd w:val="clear" w:color="auto" w:fill="auto"/>
            <w:vAlign w:val="top"/>
          </w:tcPr>
          <w:p w14:paraId="25DF554D">
            <w:pPr>
              <w:pStyle w:val="27"/>
              <w:widowControl w:val="0"/>
              <w:spacing w:before="235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</w:tbl>
    <w:p w14:paraId="6978DC8E">
      <w:pPr>
        <w:pStyle w:val="29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F280C84C"/>
    <w:multiLevelType w:val="singleLevel"/>
    <w:tmpl w:val="F280C84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76D3E8C4"/>
    <w:multiLevelType w:val="singleLevel"/>
    <w:tmpl w:val="76D3E8C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E865C2"/>
    <w:rsid w:val="01161381"/>
    <w:rsid w:val="016F283F"/>
    <w:rsid w:val="01873A23"/>
    <w:rsid w:val="027A149C"/>
    <w:rsid w:val="028440C8"/>
    <w:rsid w:val="030B3B14"/>
    <w:rsid w:val="03431E67"/>
    <w:rsid w:val="037E2237"/>
    <w:rsid w:val="03B804CE"/>
    <w:rsid w:val="03D177E1"/>
    <w:rsid w:val="03F4456E"/>
    <w:rsid w:val="04C36455"/>
    <w:rsid w:val="04EF3956"/>
    <w:rsid w:val="04FE63B4"/>
    <w:rsid w:val="05957D83"/>
    <w:rsid w:val="05B95683"/>
    <w:rsid w:val="05C017FD"/>
    <w:rsid w:val="060C68AF"/>
    <w:rsid w:val="06CB49BC"/>
    <w:rsid w:val="074B3407"/>
    <w:rsid w:val="07C10266"/>
    <w:rsid w:val="07E15B19"/>
    <w:rsid w:val="080B2B96"/>
    <w:rsid w:val="08145EEF"/>
    <w:rsid w:val="08B17BE1"/>
    <w:rsid w:val="08D062B9"/>
    <w:rsid w:val="09A339CE"/>
    <w:rsid w:val="09DE0562"/>
    <w:rsid w:val="09FA11E0"/>
    <w:rsid w:val="0A2F0DBE"/>
    <w:rsid w:val="0AAE43D8"/>
    <w:rsid w:val="0AC41E4E"/>
    <w:rsid w:val="0C201B54"/>
    <w:rsid w:val="0C2972BF"/>
    <w:rsid w:val="0C637445"/>
    <w:rsid w:val="0E4B1F3E"/>
    <w:rsid w:val="0FA4224E"/>
    <w:rsid w:val="0FB13929"/>
    <w:rsid w:val="104878C2"/>
    <w:rsid w:val="115F467E"/>
    <w:rsid w:val="1196387A"/>
    <w:rsid w:val="11F823DD"/>
    <w:rsid w:val="128E7347"/>
    <w:rsid w:val="133B6A25"/>
    <w:rsid w:val="140A03A6"/>
    <w:rsid w:val="147F2243"/>
    <w:rsid w:val="14F926F4"/>
    <w:rsid w:val="157A28AF"/>
    <w:rsid w:val="162A4334"/>
    <w:rsid w:val="16976668"/>
    <w:rsid w:val="169A7F07"/>
    <w:rsid w:val="17AD104E"/>
    <w:rsid w:val="17F96B12"/>
    <w:rsid w:val="1871105F"/>
    <w:rsid w:val="19B117EF"/>
    <w:rsid w:val="1A200723"/>
    <w:rsid w:val="1A3A7A37"/>
    <w:rsid w:val="1A8011C2"/>
    <w:rsid w:val="1A9A6727"/>
    <w:rsid w:val="1AA2382E"/>
    <w:rsid w:val="1AC11F06"/>
    <w:rsid w:val="1ACB4B33"/>
    <w:rsid w:val="1B3E5305"/>
    <w:rsid w:val="1BCD48DA"/>
    <w:rsid w:val="1BF86D86"/>
    <w:rsid w:val="1C1155BA"/>
    <w:rsid w:val="1C470A60"/>
    <w:rsid w:val="1C4C39E7"/>
    <w:rsid w:val="1C4C57FF"/>
    <w:rsid w:val="1C624703"/>
    <w:rsid w:val="1CFA34AD"/>
    <w:rsid w:val="1D43495B"/>
    <w:rsid w:val="1D70551D"/>
    <w:rsid w:val="1DA44932"/>
    <w:rsid w:val="1DD65800"/>
    <w:rsid w:val="1DFB7FBE"/>
    <w:rsid w:val="1E006819"/>
    <w:rsid w:val="1E7B6870"/>
    <w:rsid w:val="1EC766B6"/>
    <w:rsid w:val="1EF26B32"/>
    <w:rsid w:val="1F152820"/>
    <w:rsid w:val="1F8D1B58"/>
    <w:rsid w:val="1F8D685B"/>
    <w:rsid w:val="1FA4216B"/>
    <w:rsid w:val="201306F3"/>
    <w:rsid w:val="20401B1F"/>
    <w:rsid w:val="20C91B14"/>
    <w:rsid w:val="20CF69FF"/>
    <w:rsid w:val="20F21EF0"/>
    <w:rsid w:val="210A56C3"/>
    <w:rsid w:val="212E1977"/>
    <w:rsid w:val="218E68BA"/>
    <w:rsid w:val="21CD1190"/>
    <w:rsid w:val="22146DBF"/>
    <w:rsid w:val="239161EE"/>
    <w:rsid w:val="24401886"/>
    <w:rsid w:val="24480FA2"/>
    <w:rsid w:val="247E2C16"/>
    <w:rsid w:val="24861ACA"/>
    <w:rsid w:val="24B14D99"/>
    <w:rsid w:val="251C43FD"/>
    <w:rsid w:val="2547125A"/>
    <w:rsid w:val="266D3D2B"/>
    <w:rsid w:val="26976211"/>
    <w:rsid w:val="26B02E2F"/>
    <w:rsid w:val="26C651BD"/>
    <w:rsid w:val="27E2526A"/>
    <w:rsid w:val="27F66E2D"/>
    <w:rsid w:val="28951D06"/>
    <w:rsid w:val="28EA6ACC"/>
    <w:rsid w:val="295C2DFA"/>
    <w:rsid w:val="295F4405"/>
    <w:rsid w:val="29890093"/>
    <w:rsid w:val="29B669AE"/>
    <w:rsid w:val="29CE5AA6"/>
    <w:rsid w:val="2A783C63"/>
    <w:rsid w:val="2A7F3244"/>
    <w:rsid w:val="2B404781"/>
    <w:rsid w:val="2B483F8A"/>
    <w:rsid w:val="2B7D22D9"/>
    <w:rsid w:val="2BFB0147"/>
    <w:rsid w:val="2CA23219"/>
    <w:rsid w:val="2CB17B5A"/>
    <w:rsid w:val="2CFC0B7C"/>
    <w:rsid w:val="2D885FB0"/>
    <w:rsid w:val="2ED52C6D"/>
    <w:rsid w:val="2F572D0F"/>
    <w:rsid w:val="2FBB4D1E"/>
    <w:rsid w:val="2FC260AC"/>
    <w:rsid w:val="2FE37DD1"/>
    <w:rsid w:val="30607673"/>
    <w:rsid w:val="30C23098"/>
    <w:rsid w:val="30FF0C3A"/>
    <w:rsid w:val="31327262"/>
    <w:rsid w:val="31350B00"/>
    <w:rsid w:val="314F3970"/>
    <w:rsid w:val="318F1F71"/>
    <w:rsid w:val="325C4129"/>
    <w:rsid w:val="32BA306B"/>
    <w:rsid w:val="33825A9C"/>
    <w:rsid w:val="34441786"/>
    <w:rsid w:val="34833930"/>
    <w:rsid w:val="352E1AEE"/>
    <w:rsid w:val="354B108F"/>
    <w:rsid w:val="359202CF"/>
    <w:rsid w:val="35A13F7A"/>
    <w:rsid w:val="35BC534C"/>
    <w:rsid w:val="361209CC"/>
    <w:rsid w:val="36681030"/>
    <w:rsid w:val="37730A2E"/>
    <w:rsid w:val="378105FB"/>
    <w:rsid w:val="37BA58BB"/>
    <w:rsid w:val="37C457BF"/>
    <w:rsid w:val="37ED7275"/>
    <w:rsid w:val="38333BBA"/>
    <w:rsid w:val="387C6395"/>
    <w:rsid w:val="38D17360"/>
    <w:rsid w:val="396106E4"/>
    <w:rsid w:val="397F6DBC"/>
    <w:rsid w:val="3A1C460B"/>
    <w:rsid w:val="3A865F28"/>
    <w:rsid w:val="3BF770DE"/>
    <w:rsid w:val="3C0D4B53"/>
    <w:rsid w:val="3C8D3764"/>
    <w:rsid w:val="3E2B0588"/>
    <w:rsid w:val="3E891477"/>
    <w:rsid w:val="3F783DDA"/>
    <w:rsid w:val="3FBD3436"/>
    <w:rsid w:val="3FFC108A"/>
    <w:rsid w:val="40152228"/>
    <w:rsid w:val="4032362F"/>
    <w:rsid w:val="40953369"/>
    <w:rsid w:val="41F61C0D"/>
    <w:rsid w:val="42164036"/>
    <w:rsid w:val="42D50C3A"/>
    <w:rsid w:val="433D5FC5"/>
    <w:rsid w:val="43413334"/>
    <w:rsid w:val="4356216B"/>
    <w:rsid w:val="45237196"/>
    <w:rsid w:val="45772A5A"/>
    <w:rsid w:val="45D43FEC"/>
    <w:rsid w:val="467A71EB"/>
    <w:rsid w:val="46CB3641"/>
    <w:rsid w:val="47163D12"/>
    <w:rsid w:val="47573126"/>
    <w:rsid w:val="47680E90"/>
    <w:rsid w:val="47F60B91"/>
    <w:rsid w:val="481D611E"/>
    <w:rsid w:val="487D3F41"/>
    <w:rsid w:val="491867F3"/>
    <w:rsid w:val="4944592C"/>
    <w:rsid w:val="49940662"/>
    <w:rsid w:val="4A6A13C3"/>
    <w:rsid w:val="4AD14F9E"/>
    <w:rsid w:val="4AD827D0"/>
    <w:rsid w:val="4B046389"/>
    <w:rsid w:val="4B377310"/>
    <w:rsid w:val="4BCD1C09"/>
    <w:rsid w:val="4BF215BE"/>
    <w:rsid w:val="4C343A36"/>
    <w:rsid w:val="4C854292"/>
    <w:rsid w:val="4CC54B9A"/>
    <w:rsid w:val="4D495A2D"/>
    <w:rsid w:val="4D527006"/>
    <w:rsid w:val="4D896004"/>
    <w:rsid w:val="4E47696B"/>
    <w:rsid w:val="4E7E7051"/>
    <w:rsid w:val="4ED96B17"/>
    <w:rsid w:val="4F226D97"/>
    <w:rsid w:val="4F3501F1"/>
    <w:rsid w:val="4FA90297"/>
    <w:rsid w:val="509E52D5"/>
    <w:rsid w:val="50AF18DD"/>
    <w:rsid w:val="50EB486D"/>
    <w:rsid w:val="50F35B0E"/>
    <w:rsid w:val="50F67349"/>
    <w:rsid w:val="51356102"/>
    <w:rsid w:val="51612558"/>
    <w:rsid w:val="516945EC"/>
    <w:rsid w:val="51C71BE5"/>
    <w:rsid w:val="51D9182F"/>
    <w:rsid w:val="5211299F"/>
    <w:rsid w:val="52131FB2"/>
    <w:rsid w:val="529E60AD"/>
    <w:rsid w:val="533F163E"/>
    <w:rsid w:val="53B316E5"/>
    <w:rsid w:val="54C87412"/>
    <w:rsid w:val="54EF0E42"/>
    <w:rsid w:val="55037F5B"/>
    <w:rsid w:val="55915A56"/>
    <w:rsid w:val="564B654C"/>
    <w:rsid w:val="566C201F"/>
    <w:rsid w:val="57155951"/>
    <w:rsid w:val="5755438D"/>
    <w:rsid w:val="576F2F50"/>
    <w:rsid w:val="58150BC0"/>
    <w:rsid w:val="582B03E3"/>
    <w:rsid w:val="58733B38"/>
    <w:rsid w:val="58A32DDA"/>
    <w:rsid w:val="58FE2F4F"/>
    <w:rsid w:val="59710078"/>
    <w:rsid w:val="5A5338E2"/>
    <w:rsid w:val="5A58763C"/>
    <w:rsid w:val="5A93401E"/>
    <w:rsid w:val="5AC90A7E"/>
    <w:rsid w:val="5AD05272"/>
    <w:rsid w:val="5ADC3C17"/>
    <w:rsid w:val="5B2703BF"/>
    <w:rsid w:val="5B716904"/>
    <w:rsid w:val="5BFB631F"/>
    <w:rsid w:val="5CBF559E"/>
    <w:rsid w:val="5CD56B70"/>
    <w:rsid w:val="5CD858CA"/>
    <w:rsid w:val="5CDF79EE"/>
    <w:rsid w:val="5D214265"/>
    <w:rsid w:val="5D5C7A80"/>
    <w:rsid w:val="5D5F6439"/>
    <w:rsid w:val="5DF808F1"/>
    <w:rsid w:val="5E4958B0"/>
    <w:rsid w:val="5E8B1BDC"/>
    <w:rsid w:val="5F261904"/>
    <w:rsid w:val="60001B6F"/>
    <w:rsid w:val="60400411"/>
    <w:rsid w:val="60A527D8"/>
    <w:rsid w:val="60F4333C"/>
    <w:rsid w:val="615838CB"/>
    <w:rsid w:val="620F042E"/>
    <w:rsid w:val="62B45479"/>
    <w:rsid w:val="62C51434"/>
    <w:rsid w:val="63962946"/>
    <w:rsid w:val="63C24D92"/>
    <w:rsid w:val="640D6BEF"/>
    <w:rsid w:val="6499200B"/>
    <w:rsid w:val="6571289C"/>
    <w:rsid w:val="660E3E54"/>
    <w:rsid w:val="661632D0"/>
    <w:rsid w:val="661F70AE"/>
    <w:rsid w:val="66390D3C"/>
    <w:rsid w:val="66490E8D"/>
    <w:rsid w:val="66761E42"/>
    <w:rsid w:val="670921B5"/>
    <w:rsid w:val="67780823"/>
    <w:rsid w:val="67786BC4"/>
    <w:rsid w:val="67B33F51"/>
    <w:rsid w:val="68D4417F"/>
    <w:rsid w:val="68ED228A"/>
    <w:rsid w:val="692F13B6"/>
    <w:rsid w:val="699343FB"/>
    <w:rsid w:val="6A2D7FEB"/>
    <w:rsid w:val="6A591EC9"/>
    <w:rsid w:val="6A8B4631"/>
    <w:rsid w:val="6A95793E"/>
    <w:rsid w:val="6B60619E"/>
    <w:rsid w:val="6BC4672D"/>
    <w:rsid w:val="6BEA291B"/>
    <w:rsid w:val="6D0A3398"/>
    <w:rsid w:val="6D1C7EA3"/>
    <w:rsid w:val="6E82642B"/>
    <w:rsid w:val="6EB63269"/>
    <w:rsid w:val="6F5E47A3"/>
    <w:rsid w:val="6F7A7850"/>
    <w:rsid w:val="6F7C0E99"/>
    <w:rsid w:val="6F7C2E7B"/>
    <w:rsid w:val="6FE70C3C"/>
    <w:rsid w:val="70052E70"/>
    <w:rsid w:val="70141305"/>
    <w:rsid w:val="701B6B38"/>
    <w:rsid w:val="70A91DAE"/>
    <w:rsid w:val="713A123F"/>
    <w:rsid w:val="71E9433F"/>
    <w:rsid w:val="71F238C8"/>
    <w:rsid w:val="72252EC6"/>
    <w:rsid w:val="72907369"/>
    <w:rsid w:val="72B156D0"/>
    <w:rsid w:val="736B3932"/>
    <w:rsid w:val="740C6EC3"/>
    <w:rsid w:val="74387CB8"/>
    <w:rsid w:val="74542618"/>
    <w:rsid w:val="74634609"/>
    <w:rsid w:val="74CA14A1"/>
    <w:rsid w:val="750758DC"/>
    <w:rsid w:val="75530B22"/>
    <w:rsid w:val="755A5A0C"/>
    <w:rsid w:val="75AA1BCC"/>
    <w:rsid w:val="75F14C5D"/>
    <w:rsid w:val="764D5571"/>
    <w:rsid w:val="765608C9"/>
    <w:rsid w:val="76571F4C"/>
    <w:rsid w:val="76BB072D"/>
    <w:rsid w:val="7735580A"/>
    <w:rsid w:val="7887462C"/>
    <w:rsid w:val="78C25DA2"/>
    <w:rsid w:val="79116D2A"/>
    <w:rsid w:val="79314CD6"/>
    <w:rsid w:val="793D5102"/>
    <w:rsid w:val="79815192"/>
    <w:rsid w:val="79876E10"/>
    <w:rsid w:val="79CE4C1B"/>
    <w:rsid w:val="7A0569E7"/>
    <w:rsid w:val="7B334D35"/>
    <w:rsid w:val="7C0641F8"/>
    <w:rsid w:val="7C1F350C"/>
    <w:rsid w:val="7CB67090"/>
    <w:rsid w:val="7CEE584C"/>
    <w:rsid w:val="7D0A5583"/>
    <w:rsid w:val="7D3C3975"/>
    <w:rsid w:val="7D741635"/>
    <w:rsid w:val="7EA366EB"/>
    <w:rsid w:val="7F98785D"/>
    <w:rsid w:val="7FE707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1439</Words>
  <Characters>1519</Characters>
  <Lines>0</Lines>
  <Paragraphs>0</Paragraphs>
  <TotalTime>0</TotalTime>
  <ScaleCrop>false</ScaleCrop>
  <LinksUpToDate>false</LinksUpToDate>
  <CharactersWithSpaces>1519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2025-12-23T19:36:05Z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0D32182671224755A6D4CE835A5A6EA6_12</vt:lpwstr>
  </property>
  <property fmtid="{D5CDD505-2E9C-101B-9397-08002B2CF9AE}" pid="4" name="KSOTemplateDocerSaveRecord">
    <vt:lpwstr>eyJoZGlkIjoiMDY5NmFjMmM4ZTljMGJiZDAxN2JmYTc0NGI0NmFiNDgiLCJ1c2VySWQiOiIxMDc1MzgyOSJ9</vt:lpwstr>
  </property>
</Properties>
</file>