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2924"/>
      <w:bookmarkStart w:id="35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35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1015"/>
      <w:r>
        <w:rPr>
          <w:rFonts w:hint="eastAsia"/>
          <w:lang w:val="en-US" w:eastAsia="zh-CN"/>
        </w:rPr>
        <w:t>事件管理制度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418"/>
      <w:r>
        <w:rPr>
          <w:rFonts w:hint="eastAsia"/>
          <w:lang w:val="en-US" w:eastAsia="zh-CN"/>
        </w:rPr>
        <w:t>（YNTD-ITSS-0601）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2718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600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13756FF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07A75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_Toc22924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_Toc22924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BB8F55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_Toc21015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_Toc21015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DAE518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_Toc24418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（YNTD-ITSS-0501）</w:t>
          </w:r>
          <w:r>
            <w:tab/>
          </w:r>
          <w:r>
            <w:fldChar w:fldCharType="begin"/>
          </w:r>
          <w:r>
            <w:instrText xml:space="preserve"> PAGEREF _Toc24418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43A51D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_Toc12718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_Toc12718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FE63996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_Toc28526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_Toc28526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4B35BE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_Toc28342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适应范围</w:t>
          </w:r>
          <w:r>
            <w:tab/>
          </w:r>
          <w:r>
            <w:fldChar w:fldCharType="begin"/>
          </w:r>
          <w:r>
            <w:instrText xml:space="preserve"> PAGEREF _Toc28342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5CCF38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_Toc1015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337B3C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_Toc5334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服务台</w:t>
          </w:r>
          <w:r>
            <w:tab/>
          </w:r>
          <w:r>
            <w:fldChar w:fldCharType="begin"/>
          </w:r>
          <w:r>
            <w:instrText xml:space="preserve"> PAGEREF _Toc5334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27E974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_Toc4737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项目经理</w:t>
          </w:r>
          <w:r>
            <w:tab/>
          </w:r>
          <w:r>
            <w:fldChar w:fldCharType="begin"/>
          </w:r>
          <w:r>
            <w:instrText xml:space="preserve"> PAGEREF _Toc4737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6E4048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_Toc25113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工程师</w:t>
          </w:r>
          <w:r>
            <w:tab/>
          </w:r>
          <w:r>
            <w:fldChar w:fldCharType="begin"/>
          </w:r>
          <w:r>
            <w:instrText xml:space="preserve"> PAGEREF _Toc25113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2222B6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_Toc19766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事件管理流程</w:t>
          </w:r>
          <w:r>
            <w:tab/>
          </w:r>
          <w:r>
            <w:fldChar w:fldCharType="begin"/>
          </w:r>
          <w:r>
            <w:instrText xml:space="preserve"> PAGEREF _Toc19766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3A1B0F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_Toc8994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事件登记</w:t>
          </w:r>
          <w:r>
            <w:tab/>
          </w:r>
          <w:r>
            <w:fldChar w:fldCharType="begin"/>
          </w:r>
          <w:r>
            <w:instrText xml:space="preserve"> PAGEREF _Toc8994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949C622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_Toc11463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提出服务请求：</w:t>
          </w:r>
          <w:r>
            <w:tab/>
          </w:r>
          <w:r>
            <w:fldChar w:fldCharType="begin"/>
          </w:r>
          <w:r>
            <w:instrText xml:space="preserve"> PAGEREF _Toc11463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110748B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_Toc14862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创建并记录事件基本信息：</w:t>
          </w:r>
          <w:r>
            <w:tab/>
          </w:r>
          <w:r>
            <w:fldChar w:fldCharType="begin"/>
          </w:r>
          <w:r>
            <w:instrText xml:space="preserve"> PAGEREF _Toc14862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0C588B1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接受和筛选：</w:t>
          </w:r>
          <w:r>
            <w:tab/>
          </w:r>
          <w:r>
            <w:fldChar w:fldCharType="begin"/>
          </w:r>
          <w:r>
            <w:instrText xml:space="preserve"> PAGEREF _Toc28229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5A797B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_Toc28014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事件派单</w:t>
          </w:r>
          <w:r>
            <w:tab/>
          </w:r>
          <w:r>
            <w:fldChar w:fldCharType="begin"/>
          </w:r>
          <w:r>
            <w:instrText xml:space="preserve"> PAGEREF _Toc28014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30CD091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_Toc19640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4.2.1. 事件分类</w:t>
          </w:r>
          <w:r>
            <w:tab/>
          </w:r>
          <w:r>
            <w:fldChar w:fldCharType="begin"/>
          </w:r>
          <w:r>
            <w:instrText xml:space="preserve"> PAGEREF _Toc19640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0DF69FA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_Toc18425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4.2.2. 事件分级</w:t>
          </w:r>
          <w:r>
            <w:tab/>
          </w:r>
          <w:r>
            <w:fldChar w:fldCharType="begin"/>
          </w:r>
          <w:r>
            <w:instrText xml:space="preserve"> PAGEREF _Toc18425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6759FAF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_Toc15493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4.2.3. 初步支持</w:t>
          </w:r>
          <w:r>
            <w:tab/>
          </w:r>
          <w:r>
            <w:fldChar w:fldCharType="begin"/>
          </w:r>
          <w:r>
            <w:instrText xml:space="preserve"> PAGEREF _Toc15493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7BF9C3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_Toc22249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4.2.4. 管理升级</w:t>
          </w:r>
          <w:r>
            <w:tab/>
          </w:r>
          <w:r>
            <w:fldChar w:fldCharType="begin"/>
          </w:r>
          <w:r>
            <w:instrText xml:space="preserve"> PAGEREF _Toc22249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5CF886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_Toc24282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事件处理</w:t>
          </w:r>
          <w:r>
            <w:tab/>
          </w:r>
          <w:r>
            <w:fldChar w:fldCharType="begin"/>
          </w:r>
          <w:r>
            <w:instrText xml:space="preserve"> PAGEREF _Toc24282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3672CDB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_Toc17436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4.3.1. 解决和恢复：</w:t>
          </w:r>
          <w:r>
            <w:tab/>
          </w:r>
          <w:r>
            <w:fldChar w:fldCharType="begin"/>
          </w:r>
          <w:r>
            <w:instrText xml:space="preserve"> PAGEREF _Toc17436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397F783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_Toc21956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4.3.2. 联络厂商：</w:t>
          </w:r>
          <w:r>
            <w:tab/>
          </w:r>
          <w:r>
            <w:fldChar w:fldCharType="begin"/>
          </w:r>
          <w:r>
            <w:instrText xml:space="preserve"> PAGEREF _Toc21956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A21A501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_Toc29302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事件关闭</w:t>
          </w:r>
          <w:r>
            <w:tab/>
          </w:r>
          <w:r>
            <w:fldChar w:fldCharType="begin"/>
          </w:r>
          <w:r>
            <w:instrText xml:space="preserve"> PAGEREF _Toc29302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AF13C0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_Toc9618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4.4.1. 与客户确认处理结果</w:t>
          </w:r>
          <w:r>
            <w:tab/>
          </w:r>
          <w:r>
            <w:fldChar w:fldCharType="begin"/>
          </w:r>
          <w:r>
            <w:instrText xml:space="preserve"> PAGEREF _Toc9618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8619F3C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_Toc13845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4.4.2. 事件关闭</w:t>
          </w:r>
          <w:r>
            <w:tab/>
          </w:r>
          <w:r>
            <w:fldChar w:fldCharType="begin"/>
          </w:r>
          <w:r>
            <w:instrText xml:space="preserve"> PAGEREF _Toc13845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FE57A5D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_Toc30388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用户确认解决后，在系统中关闭服务单。随后判断是否需</w:t>
          </w:r>
          <w:r>
            <w:tab/>
          </w:r>
          <w:r>
            <w:fldChar w:fldCharType="begin"/>
          </w:r>
          <w:r>
            <w:instrText xml:space="preserve"> PAGEREF _Toc30388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1FDAD6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_Toc20306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4.4.3. 添加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_Toc20306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1BE62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_Toc25402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重大事件处理</w:t>
          </w:r>
          <w:r>
            <w:tab/>
          </w:r>
          <w:r>
            <w:fldChar w:fldCharType="begin"/>
          </w:r>
          <w:r>
            <w:instrText xml:space="preserve"> PAGEREF _Toc25402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F48EA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_Toc18088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定义</w:t>
          </w:r>
          <w:r>
            <w:tab/>
          </w:r>
          <w:r>
            <w:fldChar w:fldCharType="begin"/>
          </w:r>
          <w:r>
            <w:instrText xml:space="preserve"> PAGEREF _Toc18088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C6265B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_Toc5531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分级事件</w:t>
          </w:r>
          <w:r>
            <w:tab/>
          </w:r>
          <w:r>
            <w:fldChar w:fldCharType="begin"/>
          </w:r>
          <w:r>
            <w:instrText xml:space="preserve"> PAGEREF _Toc5531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BCB2E5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_Toc30967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处理问题</w:t>
          </w:r>
          <w:r>
            <w:tab/>
          </w:r>
          <w:r>
            <w:fldChar w:fldCharType="begin"/>
          </w:r>
          <w:r>
            <w:instrText xml:space="preserve"> PAGEREF _Toc30967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D23514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_Toc27251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事件状态</w:t>
          </w:r>
          <w:r>
            <w:tab/>
          </w:r>
          <w:r>
            <w:fldChar w:fldCharType="begin"/>
          </w:r>
          <w:r>
            <w:instrText xml:space="preserve"> PAGEREF _Toc27251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C8972F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_Toc24255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事件管理与其他流程的关系</w:t>
          </w:r>
          <w:r>
            <w:tab/>
          </w:r>
          <w:r>
            <w:fldChar w:fldCharType="begin"/>
          </w:r>
          <w:r>
            <w:instrText xml:space="preserve"> PAGEREF _Toc24255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735B91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_Toc5453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_Toc5453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C9BAE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00AAAE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15413C08">
      <w:pPr>
        <w:pStyle w:val="28"/>
        <w:bidi w:val="0"/>
        <w:rPr>
          <w:rFonts w:hint="default"/>
          <w:lang w:val="en-US" w:eastAsia="zh-CN"/>
        </w:rPr>
      </w:pPr>
      <w:bookmarkStart w:id="4" w:name="_Toc28526"/>
      <w:r>
        <w:rPr>
          <w:rFonts w:hint="default"/>
          <w:lang w:val="en-US" w:eastAsia="zh-CN"/>
        </w:rPr>
        <w:t>目的</w:t>
      </w:r>
      <w:bookmarkEnd w:id="4"/>
    </w:p>
    <w:p w14:paraId="79B25C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为了减少或消除系统干扰因素，确保用户尽快恢复至SLA定义的正常服务级别。</w:t>
      </w:r>
    </w:p>
    <w:p w14:paraId="68379A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规范公司IT服务事件管理活动，提高事件响应和解决速度，保证IT服务可靠性。</w:t>
      </w:r>
    </w:p>
    <w:p w14:paraId="5FA23A91">
      <w:pPr>
        <w:pStyle w:val="28"/>
        <w:bidi w:val="0"/>
        <w:rPr>
          <w:rFonts w:hint="default"/>
          <w:lang w:val="en-US" w:eastAsia="zh-CN"/>
        </w:rPr>
      </w:pPr>
      <w:bookmarkStart w:id="5" w:name="_Toc28342"/>
      <w:r>
        <w:rPr>
          <w:rFonts w:hint="default"/>
          <w:lang w:val="en-US" w:eastAsia="zh-CN"/>
        </w:rPr>
        <w:t>适应范围</w:t>
      </w:r>
      <w:bookmarkEnd w:id="5"/>
    </w:p>
    <w:p w14:paraId="61E35B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范围涵盖运维服务中的操作咨询和故障处理。</w:t>
      </w:r>
    </w:p>
    <w:p w14:paraId="6F562E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主要包括：</w:t>
      </w:r>
    </w:p>
    <w:p w14:paraId="4DCABEE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服务请求和技术咨询：信息系统安装、部署、配置、使用等咨询。</w:t>
      </w:r>
    </w:p>
    <w:p w14:paraId="02503BA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信息系统升级、扩容和改造等技术咨询活动。</w:t>
      </w:r>
    </w:p>
    <w:p w14:paraId="107BBC3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故障处理：对软件和硬件故障进行处理。</w:t>
      </w:r>
    </w:p>
    <w:p w14:paraId="60936177">
      <w:pPr>
        <w:pStyle w:val="28"/>
        <w:bidi w:val="0"/>
        <w:rPr>
          <w:rFonts w:hint="default"/>
          <w:lang w:val="en-US" w:eastAsia="zh-CN"/>
        </w:rPr>
      </w:pPr>
      <w:bookmarkStart w:id="6" w:name="_Toc1015"/>
      <w:r>
        <w:rPr>
          <w:rFonts w:hint="default"/>
          <w:lang w:val="en-US" w:eastAsia="zh-CN"/>
        </w:rPr>
        <w:t>角色与职责</w:t>
      </w:r>
      <w:bookmarkEnd w:id="6"/>
    </w:p>
    <w:p w14:paraId="2876D8CC">
      <w:pPr>
        <w:pStyle w:val="30"/>
        <w:bidi w:val="0"/>
        <w:rPr>
          <w:rFonts w:hint="default"/>
          <w:lang w:val="en-US" w:eastAsia="zh-CN"/>
        </w:rPr>
      </w:pPr>
      <w:bookmarkStart w:id="7" w:name="_Toc5334"/>
      <w:r>
        <w:rPr>
          <w:rFonts w:hint="default"/>
          <w:lang w:val="en-US" w:eastAsia="zh-CN"/>
        </w:rPr>
        <w:t>服务台</w:t>
      </w:r>
      <w:bookmarkEnd w:id="7"/>
    </w:p>
    <w:p w14:paraId="001426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受理故障申报，建立服务单。</w:t>
      </w:r>
    </w:p>
    <w:p w14:paraId="1E28A7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在线处理简单故障。</w:t>
      </w:r>
    </w:p>
    <w:p w14:paraId="5420CD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分派不能在线解决的故障。</w:t>
      </w:r>
    </w:p>
    <w:p w14:paraId="2BEB9F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跟踪服务单处理进展。</w:t>
      </w:r>
    </w:p>
    <w:p w14:paraId="7BB169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进行用户回访，收集反馈。</w:t>
      </w:r>
    </w:p>
    <w:p w14:paraId="4E2AE2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汇总监控用户满意度并反馈。</w:t>
      </w:r>
    </w:p>
    <w:p w14:paraId="0C820B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受理用户投诉。</w:t>
      </w:r>
    </w:p>
    <w:p w14:paraId="6B478C49">
      <w:pPr>
        <w:pStyle w:val="30"/>
        <w:bidi w:val="0"/>
        <w:rPr>
          <w:rFonts w:hint="default"/>
          <w:lang w:val="en-US" w:eastAsia="zh-CN"/>
        </w:rPr>
      </w:pPr>
      <w:bookmarkStart w:id="8" w:name="_Toc4737"/>
      <w:r>
        <w:rPr>
          <w:rFonts w:hint="default"/>
          <w:lang w:val="en-US" w:eastAsia="zh-CN"/>
        </w:rPr>
        <w:t>项目经理</w:t>
      </w:r>
      <w:bookmarkEnd w:id="8"/>
    </w:p>
    <w:p w14:paraId="31146E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协调资源调度。</w:t>
      </w:r>
    </w:p>
    <w:p w14:paraId="0BB823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决定事件转岗派单，跟踪进度。</w:t>
      </w:r>
    </w:p>
    <w:p w14:paraId="40DA2F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监控流程效率和效果。</w:t>
      </w:r>
    </w:p>
    <w:p w14:paraId="45D18B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处理本组投诉。</w:t>
      </w:r>
    </w:p>
    <w:p w14:paraId="5BE13C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为改进工作提供建议。</w:t>
      </w:r>
    </w:p>
    <w:p w14:paraId="768482A1">
      <w:pPr>
        <w:pStyle w:val="30"/>
        <w:bidi w:val="0"/>
        <w:rPr>
          <w:rFonts w:hint="default"/>
          <w:lang w:val="en-US" w:eastAsia="zh-CN"/>
        </w:rPr>
      </w:pPr>
      <w:bookmarkStart w:id="9" w:name="_Toc25113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</w:t>
      </w:r>
      <w:bookmarkEnd w:id="9"/>
    </w:p>
    <w:p w14:paraId="3797A5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受理事件，初步分类记录，利用现有资源处理；无法处理时升级。</w:t>
      </w:r>
    </w:p>
    <w:p w14:paraId="610CA9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与服务台联动，提高响应及时率。</w:t>
      </w:r>
    </w:p>
    <w:p w14:paraId="75D7A6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对需技术支持的事件派单并跟踪。</w:t>
      </w:r>
    </w:p>
    <w:p w14:paraId="3EE37A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全程与客户沟通，确保客户知悉进度及结果，直至关闭。</w:t>
      </w:r>
    </w:p>
    <w:p w14:paraId="58C98C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初步解决问题。</w:t>
      </w:r>
    </w:p>
    <w:p w14:paraId="255122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将事件整理更新至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101D44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定期分析事件及处理，优化系统流程及工具。</w:t>
      </w:r>
    </w:p>
    <w:p w14:paraId="69FA65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将应急事件纳入统一事件管理。</w:t>
      </w:r>
    </w:p>
    <w:p w14:paraId="3C0B7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881EB50">
      <w:pPr>
        <w:pStyle w:val="28"/>
        <w:bidi w:val="0"/>
        <w:rPr>
          <w:rFonts w:hint="default"/>
          <w:lang w:val="en-US" w:eastAsia="zh-CN"/>
        </w:rPr>
      </w:pPr>
      <w:bookmarkStart w:id="10" w:name="_Toc19766"/>
      <w:r>
        <w:rPr>
          <w:rFonts w:hint="default"/>
          <w:lang w:val="en-US" w:eastAsia="zh-CN"/>
        </w:rPr>
        <w:t>事件管理流程</w:t>
      </w:r>
      <w:bookmarkEnd w:id="10"/>
    </w:p>
    <w:p w14:paraId="483102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流程从事件生命周期出发，分解为4个一级过程：事件登记、事件派单、事件处理、事件关闭。</w:t>
      </w:r>
    </w:p>
    <w:p w14:paraId="4124D5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40638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38750" cy="3048000"/>
            <wp:effectExtent l="0" t="0" r="381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51F69">
      <w:pPr>
        <w:pStyle w:val="30"/>
        <w:bidi w:val="0"/>
        <w:rPr>
          <w:rFonts w:hint="default"/>
          <w:lang w:val="en-US" w:eastAsia="zh-CN"/>
        </w:rPr>
      </w:pPr>
      <w:bookmarkStart w:id="11" w:name="_Toc8994"/>
      <w:r>
        <w:rPr>
          <w:rFonts w:hint="default"/>
          <w:lang w:val="en-US" w:eastAsia="zh-CN"/>
        </w:rPr>
        <w:t>事件登记</w:t>
      </w:r>
      <w:bookmarkEnd w:id="11"/>
    </w:p>
    <w:p w14:paraId="6C5E3B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133975" cy="5800725"/>
            <wp:effectExtent l="0" t="0" r="1905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3ECE7">
      <w:pPr>
        <w:pStyle w:val="31"/>
        <w:bidi w:val="0"/>
        <w:rPr>
          <w:rFonts w:hint="default"/>
          <w:lang w:val="en-US" w:eastAsia="zh-CN"/>
        </w:rPr>
      </w:pPr>
      <w:bookmarkStart w:id="12" w:name="_Toc11463"/>
      <w:r>
        <w:rPr>
          <w:rFonts w:hint="default"/>
          <w:lang w:val="en-US" w:eastAsia="zh-CN"/>
        </w:rPr>
        <w:t>提出服务请求：</w:t>
      </w:r>
      <w:bookmarkEnd w:id="12"/>
    </w:p>
    <w:p w14:paraId="680764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用户提出请求，服务台承接记录。</w:t>
      </w:r>
    </w:p>
    <w:p w14:paraId="66A163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事件来源：用户通过运维平台管理系统提交服务单；通过服务台电话咨询（处理结果每日汇总）。</w:t>
      </w:r>
    </w:p>
    <w:p w14:paraId="2B345F70">
      <w:pPr>
        <w:pStyle w:val="31"/>
        <w:bidi w:val="0"/>
        <w:rPr>
          <w:rFonts w:hint="default"/>
          <w:lang w:val="en-US" w:eastAsia="zh-CN"/>
        </w:rPr>
      </w:pPr>
      <w:bookmarkStart w:id="13" w:name="_Toc14862"/>
      <w:r>
        <w:rPr>
          <w:rFonts w:hint="default"/>
          <w:lang w:val="en-US" w:eastAsia="zh-CN"/>
        </w:rPr>
        <w:t>创建并记录事件基本信息：</w:t>
      </w:r>
      <w:bookmarkEnd w:id="13"/>
    </w:p>
    <w:p w14:paraId="4A5576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服务台在事件记录单中记录申告信息。</w:t>
      </w:r>
    </w:p>
    <w:p w14:paraId="6D2A45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基本信息包括：受理人、渠道、时间、编号、申报人及联系方式、故障地点及联系人、涉及系统、事件内容描述（标题、紧急程度、类型）、受理意见、事件状态。</w:t>
      </w:r>
    </w:p>
    <w:p w14:paraId="355E5C9B">
      <w:pPr>
        <w:pStyle w:val="31"/>
        <w:bidi w:val="0"/>
        <w:rPr>
          <w:rFonts w:hint="default"/>
          <w:lang w:val="en-US" w:eastAsia="zh-CN"/>
        </w:rPr>
      </w:pPr>
      <w:bookmarkStart w:id="14" w:name="_Toc28229"/>
      <w:r>
        <w:rPr>
          <w:rFonts w:hint="default"/>
          <w:lang w:val="en-US" w:eastAsia="zh-CN"/>
        </w:rPr>
        <w:t>接受和筛选：</w:t>
      </w:r>
      <w:bookmarkEnd w:id="14"/>
    </w:p>
    <w:p w14:paraId="6EF4EC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服务台判断事件是否在服务范畴内。</w:t>
      </w:r>
    </w:p>
    <w:p w14:paraId="1EB004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不在范围内：告知申报人与项目经理，退回发起人。</w:t>
      </w:r>
    </w:p>
    <w:p w14:paraId="2210EF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客户仍需超范围服务：转至相应模块项目经理协调确认。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0"/>
        <w:gridCol w:w="994"/>
        <w:gridCol w:w="995"/>
        <w:gridCol w:w="3676"/>
        <w:gridCol w:w="1421"/>
      </w:tblGrid>
      <w:tr w14:paraId="4D3CF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3D27B4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720" w:type="dxa"/>
          </w:tcPr>
          <w:p w14:paraId="347716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等级</w:t>
            </w:r>
          </w:p>
        </w:tc>
        <w:tc>
          <w:tcPr>
            <w:tcW w:w="994" w:type="dxa"/>
          </w:tcPr>
          <w:p w14:paraId="11702E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995" w:type="dxa"/>
          </w:tcPr>
          <w:p w14:paraId="209FFA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影响度</w:t>
            </w:r>
          </w:p>
        </w:tc>
        <w:tc>
          <w:tcPr>
            <w:tcW w:w="3676" w:type="dxa"/>
          </w:tcPr>
          <w:p w14:paraId="03C3A6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21" w:type="dxa"/>
          </w:tcPr>
          <w:p w14:paraId="448E38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处理时间</w:t>
            </w:r>
          </w:p>
        </w:tc>
      </w:tr>
      <w:tr w14:paraId="49290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3455E1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20" w:type="dxa"/>
          </w:tcPr>
          <w:p w14:paraId="307A1B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四级</w:t>
            </w:r>
          </w:p>
        </w:tc>
        <w:tc>
          <w:tcPr>
            <w:tcW w:w="994" w:type="dxa"/>
          </w:tcPr>
          <w:p w14:paraId="2418EC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低</w:t>
            </w:r>
          </w:p>
        </w:tc>
        <w:tc>
          <w:tcPr>
            <w:tcW w:w="995" w:type="dxa"/>
          </w:tcPr>
          <w:p w14:paraId="512C91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</w:t>
            </w:r>
          </w:p>
        </w:tc>
        <w:tc>
          <w:tcPr>
            <w:tcW w:w="3676" w:type="dxa"/>
          </w:tcPr>
          <w:p w14:paraId="4B53A6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影响度很小的，一般指业务影响度 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很低的服务，有时需要预约时间，与“低”影响度对应。主要涉及咨询类内容。</w:t>
            </w:r>
          </w:p>
        </w:tc>
        <w:tc>
          <w:tcPr>
            <w:tcW w:w="1421" w:type="dxa"/>
          </w:tcPr>
          <w:p w14:paraId="483D77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2天</w:t>
            </w:r>
          </w:p>
        </w:tc>
      </w:tr>
      <w:tr w14:paraId="3DE4E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048D43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20" w:type="dxa"/>
          </w:tcPr>
          <w:p w14:paraId="24C88C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三级</w:t>
            </w:r>
          </w:p>
        </w:tc>
        <w:tc>
          <w:tcPr>
            <w:tcW w:w="994" w:type="dxa"/>
          </w:tcPr>
          <w:p w14:paraId="7698F5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995" w:type="dxa"/>
          </w:tcPr>
          <w:p w14:paraId="0089B77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较严重</w:t>
            </w:r>
          </w:p>
        </w:tc>
        <w:tc>
          <w:tcPr>
            <w:tcW w:w="3676" w:type="dxa"/>
          </w:tcPr>
          <w:p w14:paraId="5ABA36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一般故障处理的影响度，用于中等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业务影响度的服务，与“中”影响度对应。</w:t>
            </w:r>
          </w:p>
          <w:p w14:paraId="2A7CC5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如一般性的数据处理、更改配置等</w:t>
            </w:r>
            <w:r>
              <w:rPr>
                <w:rFonts w:hint="eastAsia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工作内容</w:t>
            </w:r>
          </w:p>
        </w:tc>
        <w:tc>
          <w:tcPr>
            <w:tcW w:w="1421" w:type="dxa"/>
          </w:tcPr>
          <w:p w14:paraId="30A0DE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24小时</w:t>
            </w:r>
          </w:p>
        </w:tc>
      </w:tr>
      <w:tr w14:paraId="00384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608176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20" w:type="dxa"/>
          </w:tcPr>
          <w:p w14:paraId="31DF03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二级</w:t>
            </w:r>
          </w:p>
        </w:tc>
        <w:tc>
          <w:tcPr>
            <w:tcW w:w="994" w:type="dxa"/>
          </w:tcPr>
          <w:p w14:paraId="6351CB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995" w:type="dxa"/>
          </w:tcPr>
          <w:p w14:paraId="33D12E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严重</w:t>
            </w:r>
          </w:p>
        </w:tc>
        <w:tc>
          <w:tcPr>
            <w:tcW w:w="3676" w:type="dxa"/>
          </w:tcPr>
          <w:p w14:paraId="79A827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严重故障处理的影响度，用于严重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影响业务应用的事故处理，与“高”影响度对应。 </w:t>
            </w:r>
          </w:p>
          <w:p w14:paraId="1285BE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如各业务组针对用户的月结、年结等工作内容。影响全省的业务处理等。</w:t>
            </w:r>
          </w:p>
        </w:tc>
        <w:tc>
          <w:tcPr>
            <w:tcW w:w="1421" w:type="dxa"/>
          </w:tcPr>
          <w:p w14:paraId="6C902F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4小时</w:t>
            </w:r>
          </w:p>
        </w:tc>
      </w:tr>
      <w:tr w14:paraId="1D489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02286B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20" w:type="dxa"/>
          </w:tcPr>
          <w:p w14:paraId="61AF19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一级</w:t>
            </w:r>
          </w:p>
        </w:tc>
        <w:tc>
          <w:tcPr>
            <w:tcW w:w="994" w:type="dxa"/>
          </w:tcPr>
          <w:p w14:paraId="34324D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紧急</w:t>
            </w:r>
          </w:p>
        </w:tc>
        <w:tc>
          <w:tcPr>
            <w:tcW w:w="995" w:type="dxa"/>
          </w:tcPr>
          <w:p w14:paraId="224692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重大</w:t>
            </w:r>
          </w:p>
        </w:tc>
        <w:tc>
          <w:tcPr>
            <w:tcW w:w="3676" w:type="dxa"/>
          </w:tcPr>
          <w:p w14:paraId="42FEF7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特殊服务事件的处理，用于紧急服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务事件的处理，与“重大”影响度对应。 </w:t>
            </w:r>
          </w:p>
          <w:p w14:paraId="2D2197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如系统系统中断、宕机等。</w:t>
            </w:r>
          </w:p>
        </w:tc>
        <w:tc>
          <w:tcPr>
            <w:tcW w:w="1421" w:type="dxa"/>
          </w:tcPr>
          <w:p w14:paraId="02202D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30分钟</w:t>
            </w:r>
          </w:p>
        </w:tc>
      </w:tr>
    </w:tbl>
    <w:p w14:paraId="4FB9AE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DE9187A">
      <w:pPr>
        <w:pStyle w:val="30"/>
        <w:bidi w:val="0"/>
        <w:rPr>
          <w:rFonts w:hint="default"/>
          <w:lang w:val="en-US" w:eastAsia="zh-CN"/>
        </w:rPr>
      </w:pPr>
      <w:bookmarkStart w:id="15" w:name="_Toc28014"/>
      <w:r>
        <w:rPr>
          <w:rFonts w:hint="default"/>
          <w:lang w:val="en-US" w:eastAsia="zh-CN"/>
        </w:rPr>
        <w:t>事件派单</w:t>
      </w:r>
      <w:bookmarkEnd w:id="15"/>
    </w:p>
    <w:p w14:paraId="2764E4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622935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4CBB2">
      <w:pPr>
        <w:pStyle w:val="31"/>
        <w:bidi w:val="0"/>
        <w:rPr>
          <w:rFonts w:hint="default"/>
          <w:lang w:val="en-US" w:eastAsia="zh-CN"/>
        </w:rPr>
      </w:pPr>
      <w:bookmarkStart w:id="16" w:name="_Toc19640"/>
      <w:r>
        <w:rPr>
          <w:rFonts w:hint="default"/>
          <w:lang w:val="en-US" w:eastAsia="zh-CN"/>
        </w:rPr>
        <w:t>事件分类</w:t>
      </w:r>
      <w:bookmarkEnd w:id="16"/>
    </w:p>
    <w:p w14:paraId="67B54D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项目经理对事件分类：</w:t>
      </w:r>
      <w:r>
        <w:rPr>
          <w:rFonts w:hint="eastAsia"/>
          <w:lang w:val="en-US" w:eastAsia="zh-CN"/>
        </w:rPr>
        <w:t>硬件类、软件类、服务类</w:t>
      </w:r>
      <w:r>
        <w:rPr>
          <w:rFonts w:hint="default"/>
          <w:lang w:val="en-US" w:eastAsia="zh-CN"/>
        </w:rPr>
        <w:t>。</w:t>
      </w:r>
    </w:p>
    <w:p w14:paraId="0F68F0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说明：最终处理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工程师对事件最终分类准确性负责。</w:t>
      </w:r>
    </w:p>
    <w:tbl>
      <w:tblPr>
        <w:tblStyle w:val="26"/>
        <w:tblW w:w="8432" w:type="dxa"/>
        <w:tblInd w:w="10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29"/>
        <w:gridCol w:w="5503"/>
      </w:tblGrid>
      <w:tr w14:paraId="560AD5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01" w:hRule="atLeast"/>
        </w:trPr>
        <w:tc>
          <w:tcPr>
            <w:tcW w:w="2929" w:type="dxa"/>
            <w:vAlign w:val="top"/>
          </w:tcPr>
          <w:p w14:paraId="2ED83B68">
            <w:pPr>
              <w:spacing w:before="201" w:line="228" w:lineRule="auto"/>
              <w:ind w:left="12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19"/>
                <w:szCs w:val="19"/>
              </w:rPr>
              <w:t>类别</w:t>
            </w:r>
          </w:p>
        </w:tc>
        <w:tc>
          <w:tcPr>
            <w:tcW w:w="5503" w:type="dxa"/>
            <w:vAlign w:val="top"/>
          </w:tcPr>
          <w:p w14:paraId="1BFF7DCD">
            <w:pPr>
              <w:spacing w:before="200" w:line="229" w:lineRule="auto"/>
              <w:ind w:left="2558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19"/>
                <w:szCs w:val="19"/>
              </w:rPr>
              <w:t>定义</w:t>
            </w:r>
          </w:p>
        </w:tc>
      </w:tr>
      <w:tr w14:paraId="61E582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929" w:type="dxa"/>
            <w:vAlign w:val="top"/>
          </w:tcPr>
          <w:p w14:paraId="49B7EBEB">
            <w:pPr>
              <w:spacing w:before="197" w:line="228" w:lineRule="auto"/>
              <w:ind w:left="9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硬件类事件</w:t>
            </w:r>
          </w:p>
        </w:tc>
        <w:tc>
          <w:tcPr>
            <w:tcW w:w="5503" w:type="dxa"/>
            <w:vAlign w:val="top"/>
          </w:tcPr>
          <w:p w14:paraId="09699B8A">
            <w:pPr>
              <w:spacing w:before="67" w:line="227" w:lineRule="auto"/>
              <w:ind w:left="2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客户申告的涉及硬件的故障。（包括：网络设备、安全设</w:t>
            </w:r>
          </w:p>
          <w:p w14:paraId="60805674">
            <w:pPr>
              <w:spacing w:before="25" w:line="228" w:lineRule="auto"/>
              <w:ind w:left="10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备、主机设备、存储设备、其他设备）</w:t>
            </w:r>
          </w:p>
        </w:tc>
      </w:tr>
      <w:tr w14:paraId="42EC15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929" w:type="dxa"/>
            <w:vAlign w:val="top"/>
          </w:tcPr>
          <w:p w14:paraId="6351F1C8">
            <w:pPr>
              <w:spacing w:before="199" w:line="228" w:lineRule="auto"/>
              <w:ind w:left="97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软件类事件</w:t>
            </w:r>
          </w:p>
        </w:tc>
        <w:tc>
          <w:tcPr>
            <w:tcW w:w="5503" w:type="dxa"/>
            <w:vAlign w:val="top"/>
          </w:tcPr>
          <w:p w14:paraId="51993247">
            <w:pPr>
              <w:spacing w:before="199" w:line="227" w:lineRule="auto"/>
              <w:ind w:left="14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客户申告的涉及软件的故障。</w:t>
            </w:r>
          </w:p>
        </w:tc>
      </w:tr>
      <w:tr w14:paraId="2D8CC0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 w:hRule="atLeast"/>
        </w:trPr>
        <w:tc>
          <w:tcPr>
            <w:tcW w:w="2929" w:type="dxa"/>
            <w:vAlign w:val="top"/>
          </w:tcPr>
          <w:p w14:paraId="1D3EE102">
            <w:pPr>
              <w:spacing w:before="203" w:line="228" w:lineRule="auto"/>
              <w:ind w:left="9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服务类事件</w:t>
            </w:r>
          </w:p>
        </w:tc>
        <w:tc>
          <w:tcPr>
            <w:tcW w:w="5503" w:type="dxa"/>
            <w:vAlign w:val="top"/>
          </w:tcPr>
          <w:p w14:paraId="5B0DE0FA">
            <w:pPr>
              <w:spacing w:before="203" w:line="228" w:lineRule="auto"/>
              <w:ind w:left="753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服务咨询、业务咨询、巡检、技术协助、其他</w:t>
            </w:r>
          </w:p>
        </w:tc>
      </w:tr>
    </w:tbl>
    <w:p w14:paraId="3B4DD0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F9C8497">
      <w:pPr>
        <w:pStyle w:val="31"/>
        <w:bidi w:val="0"/>
        <w:rPr>
          <w:rFonts w:hint="default"/>
          <w:lang w:val="en-US" w:eastAsia="zh-CN"/>
        </w:rPr>
      </w:pPr>
      <w:bookmarkStart w:id="17" w:name="_Toc18425"/>
      <w:r>
        <w:rPr>
          <w:rFonts w:hint="default"/>
          <w:lang w:val="en-US" w:eastAsia="zh-CN"/>
        </w:rPr>
        <w:t>事件分级</w:t>
      </w:r>
      <w:bookmarkEnd w:id="17"/>
    </w:p>
    <w:p w14:paraId="0A9F21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根据事件紧急程度和影响面分配优先级，需与客户在SLA基础上达成一致。VIP用户事件可提升优先级。</w:t>
      </w:r>
    </w:p>
    <w:tbl>
      <w:tblPr>
        <w:tblStyle w:val="26"/>
        <w:tblW w:w="8605" w:type="dxa"/>
        <w:tblInd w:w="3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96"/>
        <w:gridCol w:w="5009"/>
      </w:tblGrid>
      <w:tr w14:paraId="020F5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3596" w:type="dxa"/>
            <w:vAlign w:val="top"/>
          </w:tcPr>
          <w:p w14:paraId="748BD895">
            <w:pPr>
              <w:spacing w:before="113" w:line="223" w:lineRule="auto"/>
              <w:ind w:left="153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名称</w:t>
            </w:r>
          </w:p>
        </w:tc>
        <w:tc>
          <w:tcPr>
            <w:tcW w:w="5009" w:type="dxa"/>
            <w:vAlign w:val="top"/>
          </w:tcPr>
          <w:p w14:paraId="63DD2945">
            <w:pPr>
              <w:spacing w:before="113" w:line="223" w:lineRule="auto"/>
              <w:ind w:left="25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描述</w:t>
            </w:r>
          </w:p>
        </w:tc>
      </w:tr>
      <w:tr w14:paraId="10DBF0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 w:hRule="atLeast"/>
        </w:trPr>
        <w:tc>
          <w:tcPr>
            <w:tcW w:w="3596" w:type="dxa"/>
            <w:vAlign w:val="top"/>
          </w:tcPr>
          <w:p w14:paraId="63963D95">
            <w:pPr>
              <w:spacing w:before="181" w:line="221" w:lineRule="auto"/>
              <w:ind w:left="159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紧急</w:t>
            </w:r>
          </w:p>
        </w:tc>
        <w:tc>
          <w:tcPr>
            <w:tcW w:w="5009" w:type="dxa"/>
            <w:vAlign w:val="top"/>
          </w:tcPr>
          <w:p w14:paraId="1CC31DD1">
            <w:pPr>
              <w:spacing w:before="182" w:line="234" w:lineRule="auto"/>
              <w:ind w:left="177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49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1"/>
                <w:szCs w:val="21"/>
              </w:rPr>
              <w:t xml:space="preserve">2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小时之内</w:t>
            </w:r>
          </w:p>
        </w:tc>
      </w:tr>
      <w:tr w14:paraId="40DAB8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3596" w:type="dxa"/>
            <w:vAlign w:val="top"/>
          </w:tcPr>
          <w:p w14:paraId="407D6BA6">
            <w:pPr>
              <w:spacing w:before="113" w:line="221" w:lineRule="auto"/>
              <w:ind w:left="170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5009" w:type="dxa"/>
            <w:vAlign w:val="top"/>
          </w:tcPr>
          <w:p w14:paraId="43FDF7D4">
            <w:pPr>
              <w:spacing w:before="114" w:line="234" w:lineRule="auto"/>
              <w:ind w:left="177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39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1"/>
                <w:szCs w:val="21"/>
              </w:rPr>
              <w:t xml:space="preserve">8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小时之内</w:t>
            </w:r>
          </w:p>
        </w:tc>
      </w:tr>
      <w:tr w14:paraId="7F0ED1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3596" w:type="dxa"/>
            <w:vAlign w:val="top"/>
          </w:tcPr>
          <w:p w14:paraId="14AAA8D8">
            <w:pPr>
              <w:spacing w:before="112" w:line="221" w:lineRule="auto"/>
              <w:ind w:left="17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5009" w:type="dxa"/>
            <w:vAlign w:val="top"/>
          </w:tcPr>
          <w:p w14:paraId="1473830A">
            <w:pPr>
              <w:spacing w:before="112" w:line="234" w:lineRule="auto"/>
              <w:ind w:left="172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47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1"/>
                <w:szCs w:val="21"/>
              </w:rPr>
              <w:t xml:space="preserve">24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小时之内</w:t>
            </w:r>
          </w:p>
        </w:tc>
      </w:tr>
      <w:tr w14:paraId="2E0505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3596" w:type="dxa"/>
            <w:vAlign w:val="top"/>
          </w:tcPr>
          <w:p w14:paraId="4B09BCA9">
            <w:pPr>
              <w:spacing w:before="238" w:line="222" w:lineRule="auto"/>
              <w:ind w:left="169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5009" w:type="dxa"/>
            <w:vAlign w:val="top"/>
          </w:tcPr>
          <w:p w14:paraId="3B39DB4F">
            <w:pPr>
              <w:spacing w:before="238" w:line="234" w:lineRule="auto"/>
              <w:ind w:left="172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1"/>
                <w:szCs w:val="21"/>
              </w:rPr>
              <w:t xml:space="preserve">72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小时之内</w:t>
            </w:r>
          </w:p>
        </w:tc>
      </w:tr>
    </w:tbl>
    <w:p w14:paraId="45BFA62B">
      <w:pPr>
        <w:pStyle w:val="31"/>
        <w:bidi w:val="0"/>
        <w:rPr>
          <w:rFonts w:hint="default"/>
          <w:lang w:val="en-US" w:eastAsia="zh-CN"/>
        </w:rPr>
      </w:pPr>
      <w:bookmarkStart w:id="18" w:name="_Toc15493"/>
      <w:r>
        <w:rPr>
          <w:rFonts w:hint="default"/>
          <w:lang w:val="en-US" w:eastAsia="zh-CN"/>
        </w:rPr>
        <w:t>初步支持</w:t>
      </w:r>
      <w:bookmarkEnd w:id="18"/>
    </w:p>
    <w:p w14:paraId="1FB7F4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判断能否解决。能解决则自行处理并设状态为“已解决”；不能解决则转单至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783503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需在系统中记录操作内容，并与客户就下一步安排达成一致。</w:t>
      </w:r>
    </w:p>
    <w:p w14:paraId="6B0DEA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记录信息包括：受理人、渠道、时间、编号、申报人及联系方式、地点及联系人、涉及系统、事件内容描述、受理意见、是否转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62EBD06E">
      <w:pPr>
        <w:pStyle w:val="31"/>
        <w:bidi w:val="0"/>
        <w:rPr>
          <w:rFonts w:hint="default"/>
          <w:lang w:val="en-US" w:eastAsia="zh-CN"/>
        </w:rPr>
      </w:pPr>
      <w:bookmarkStart w:id="19" w:name="_Toc22249"/>
      <w:r>
        <w:rPr>
          <w:rFonts w:hint="default"/>
          <w:lang w:val="en-US" w:eastAsia="zh-CN"/>
        </w:rPr>
        <w:t>管理升级</w:t>
      </w:r>
      <w:bookmarkEnd w:id="19"/>
    </w:p>
    <w:p w14:paraId="7D3537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无法解决时，升级为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处理，并指定责任人。</w:t>
      </w:r>
    </w:p>
    <w:p w14:paraId="64A9EE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提供了事件管理升级默认定义表（按事件等级、影响度和时间节点定义升级路径）：</w:t>
      </w:r>
    </w:p>
    <w:p w14:paraId="468F65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一级（重大）：0小时-&gt;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经理；4小时-&gt;总经理。</w:t>
      </w:r>
    </w:p>
    <w:p w14:paraId="6E15DD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二级（严重）：0小时-&gt;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；2天-&gt;总经理。</w:t>
      </w:r>
    </w:p>
    <w:p w14:paraId="483135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三级（较严重）：0小时-&gt;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经理。</w:t>
      </w:r>
    </w:p>
    <w:p w14:paraId="0369B0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四级（一般）：0小时-&gt;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6A40C9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原则：所有事件解决并经发起人确认后才可关闭；事件承接人对整体报告负责。</w:t>
      </w:r>
    </w:p>
    <w:p w14:paraId="17821CB6">
      <w:pPr>
        <w:pStyle w:val="30"/>
        <w:bidi w:val="0"/>
        <w:rPr>
          <w:rFonts w:hint="default"/>
          <w:lang w:val="en-US" w:eastAsia="zh-CN"/>
        </w:rPr>
      </w:pPr>
      <w:bookmarkStart w:id="20" w:name="_Toc24282"/>
      <w:r>
        <w:rPr>
          <w:rFonts w:hint="default"/>
          <w:lang w:val="en-US" w:eastAsia="zh-CN"/>
        </w:rPr>
        <w:t>事件处理</w:t>
      </w:r>
      <w:bookmarkEnd w:id="20"/>
    </w:p>
    <w:p w14:paraId="34ACE915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4524375"/>
            <wp:effectExtent l="0" t="0" r="762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0BA5E">
      <w:pPr>
        <w:pStyle w:val="31"/>
        <w:bidi w:val="0"/>
        <w:rPr>
          <w:rFonts w:hint="default"/>
          <w:lang w:val="en-US" w:eastAsia="zh-CN"/>
        </w:rPr>
      </w:pPr>
      <w:bookmarkStart w:id="21" w:name="_Toc17436"/>
      <w:r>
        <w:rPr>
          <w:rFonts w:hint="default"/>
          <w:lang w:val="en-US" w:eastAsia="zh-CN"/>
        </w:rPr>
        <w:t>解决和恢复：</w:t>
      </w:r>
      <w:bookmarkEnd w:id="21"/>
    </w:p>
    <w:p w14:paraId="68B199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受单后联系客户确认。</w:t>
      </w:r>
    </w:p>
    <w:p w14:paraId="3967D7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步骤：</w:t>
      </w:r>
    </w:p>
    <w:p w14:paraId="362DA5F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；</w:t>
      </w:r>
    </w:p>
    <w:p w14:paraId="4C24D5F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有方案则参照实施，无则尝试解决；</w:t>
      </w:r>
    </w:p>
    <w:p w14:paraId="2695ADA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远程解决则填单；</w:t>
      </w:r>
    </w:p>
    <w:p w14:paraId="1029C54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未解决则申请调用厂商支持。</w:t>
      </w:r>
    </w:p>
    <w:p w14:paraId="1D64D9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记录信息：受理人、受理时间、涉及系统、受理意见。</w:t>
      </w:r>
    </w:p>
    <w:p w14:paraId="3F158A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建议：派单后在“待办事项”显示；人员紧张时优先高优先级事件，项目经理协调。</w:t>
      </w:r>
    </w:p>
    <w:p w14:paraId="225B7F20">
      <w:pPr>
        <w:pStyle w:val="31"/>
        <w:bidi w:val="0"/>
        <w:rPr>
          <w:rFonts w:hint="default"/>
          <w:lang w:val="en-US" w:eastAsia="zh-CN"/>
        </w:rPr>
      </w:pPr>
      <w:bookmarkStart w:id="22" w:name="_Toc21956"/>
      <w:r>
        <w:rPr>
          <w:rFonts w:hint="default"/>
          <w:lang w:val="en-US" w:eastAsia="zh-CN"/>
        </w:rPr>
        <w:t>联络厂商：</w:t>
      </w:r>
      <w:bookmarkEnd w:id="22"/>
    </w:p>
    <w:p w14:paraId="342B53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系统自动流转服务单至厂商节点，并通知责任人。厂商需在规定时间内回复。</w:t>
      </w:r>
    </w:p>
    <w:p w14:paraId="33C9E0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记录信息：提交厂商时间、涉及系统、厂商受理人及联系方式、厂商受理意见、厂商受理时间。</w:t>
      </w:r>
    </w:p>
    <w:p w14:paraId="33929F5A">
      <w:pPr>
        <w:pStyle w:val="30"/>
        <w:bidi w:val="0"/>
        <w:rPr>
          <w:rFonts w:hint="default"/>
          <w:lang w:val="en-US" w:eastAsia="zh-CN"/>
        </w:rPr>
      </w:pPr>
      <w:bookmarkStart w:id="23" w:name="_Toc29302"/>
      <w:r>
        <w:rPr>
          <w:rFonts w:hint="default"/>
          <w:lang w:val="en-US" w:eastAsia="zh-CN"/>
        </w:rPr>
        <w:t>事件关闭</w:t>
      </w:r>
      <w:bookmarkEnd w:id="23"/>
    </w:p>
    <w:p w14:paraId="4BDE69E9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38750" cy="3143250"/>
            <wp:effectExtent l="0" t="0" r="3810" b="1143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18541">
      <w:pPr>
        <w:pStyle w:val="31"/>
        <w:bidi w:val="0"/>
        <w:rPr>
          <w:rFonts w:hint="default"/>
          <w:lang w:val="en-US" w:eastAsia="zh-CN"/>
        </w:rPr>
      </w:pPr>
      <w:bookmarkStart w:id="24" w:name="_Toc9618"/>
      <w:r>
        <w:rPr>
          <w:rFonts w:hint="default"/>
          <w:lang w:val="en-US" w:eastAsia="zh-CN"/>
        </w:rPr>
        <w:t>与客户确认处理结果</w:t>
      </w:r>
      <w:bookmarkEnd w:id="24"/>
    </w:p>
    <w:p w14:paraId="0F9E877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反馈解决方案，待用户确认。</w:t>
      </w:r>
    </w:p>
    <w:p w14:paraId="42FAF151">
      <w:pPr>
        <w:pStyle w:val="31"/>
        <w:bidi w:val="0"/>
        <w:rPr>
          <w:rFonts w:hint="default"/>
          <w:lang w:val="en-US" w:eastAsia="zh-CN"/>
        </w:rPr>
      </w:pPr>
      <w:bookmarkStart w:id="25" w:name="_Toc13845"/>
      <w:r>
        <w:rPr>
          <w:rFonts w:hint="default"/>
          <w:lang w:val="en-US" w:eastAsia="zh-CN"/>
        </w:rPr>
        <w:t>事件关闭</w:t>
      </w:r>
      <w:bookmarkEnd w:id="25"/>
    </w:p>
    <w:p w14:paraId="5C2EA2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30388"/>
      <w:r>
        <w:rPr>
          <w:rStyle w:val="44"/>
          <w:rFonts w:hint="default"/>
          <w:lang w:val="en-US" w:eastAsia="zh-CN"/>
        </w:rPr>
        <w:t>用户确认解决后，在系统中关闭服务单。随后判断是否需</w:t>
      </w:r>
      <w:bookmarkEnd w:id="26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59AAB51B">
      <w:pPr>
        <w:pStyle w:val="31"/>
        <w:bidi w:val="0"/>
        <w:rPr>
          <w:rFonts w:hint="default"/>
          <w:lang w:val="en-US" w:eastAsia="zh-CN"/>
        </w:rPr>
      </w:pPr>
      <w:bookmarkStart w:id="27" w:name="_Toc20306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bookmarkEnd w:id="27"/>
    </w:p>
    <w:p w14:paraId="39CE6F3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若认为解决方案有价值，则添加至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106F4382">
      <w:pPr>
        <w:pStyle w:val="28"/>
        <w:bidi w:val="0"/>
        <w:rPr>
          <w:rFonts w:hint="default"/>
          <w:lang w:val="en-US" w:eastAsia="zh-CN"/>
        </w:rPr>
      </w:pPr>
      <w:bookmarkStart w:id="28" w:name="_Toc25402"/>
      <w:r>
        <w:rPr>
          <w:rFonts w:hint="default"/>
          <w:lang w:val="en-US" w:eastAsia="zh-CN"/>
        </w:rPr>
        <w:t>重大事件处理</w:t>
      </w:r>
      <w:bookmarkEnd w:id="28"/>
    </w:p>
    <w:p w14:paraId="5E44C804">
      <w:pPr>
        <w:pStyle w:val="30"/>
        <w:bidi w:val="0"/>
        <w:rPr>
          <w:rFonts w:hint="default"/>
          <w:lang w:val="en-US" w:eastAsia="zh-CN"/>
        </w:rPr>
      </w:pPr>
      <w:bookmarkStart w:id="29" w:name="_Toc18088"/>
      <w:r>
        <w:rPr>
          <w:rFonts w:hint="default"/>
          <w:lang w:val="en-US" w:eastAsia="zh-CN"/>
        </w:rPr>
        <w:t>定义</w:t>
      </w:r>
      <w:bookmarkEnd w:id="29"/>
    </w:p>
    <w:p w14:paraId="5D9756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指紧急程度较高、影响面较广且影响时间长的事件。</w:t>
      </w:r>
    </w:p>
    <w:p w14:paraId="597EACF2">
      <w:pPr>
        <w:pStyle w:val="30"/>
        <w:bidi w:val="0"/>
        <w:rPr>
          <w:rFonts w:hint="default"/>
          <w:lang w:val="en-US" w:eastAsia="zh-CN"/>
        </w:rPr>
      </w:pPr>
      <w:bookmarkStart w:id="30" w:name="_Toc5531"/>
      <w:r>
        <w:rPr>
          <w:rFonts w:hint="default"/>
          <w:lang w:val="en-US" w:eastAsia="zh-CN"/>
        </w:rPr>
        <w:t>分级事件</w:t>
      </w:r>
      <w:bookmarkEnd w:id="30"/>
    </w:p>
    <w:p w14:paraId="4D474F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初步分级，判断是否为重大事件类型（如核心网络中断、关键业务中断）。</w:t>
      </w:r>
    </w:p>
    <w:p w14:paraId="04D89F90">
      <w:pPr>
        <w:pStyle w:val="30"/>
        <w:bidi w:val="0"/>
        <w:rPr>
          <w:rFonts w:hint="default"/>
          <w:lang w:val="en-US" w:eastAsia="zh-CN"/>
        </w:rPr>
      </w:pPr>
      <w:bookmarkStart w:id="31" w:name="_Toc30967"/>
      <w:r>
        <w:rPr>
          <w:rFonts w:hint="default"/>
          <w:lang w:val="en-US" w:eastAsia="zh-CN"/>
        </w:rPr>
        <w:t>处理问题</w:t>
      </w:r>
      <w:bookmarkEnd w:id="31"/>
    </w:p>
    <w:p w14:paraId="3BC4B6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项目经理接收事件，做初始判断并提交管理层。</w:t>
      </w:r>
    </w:p>
    <w:p w14:paraId="4A4235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是否有相似处理方法；若无，联系厂商申请技术支持。</w:t>
      </w:r>
    </w:p>
    <w:p w14:paraId="6EBC73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处理完毕后检查是否恢复正常，正常后关闭事件，有价值的加入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008E4618">
      <w:pPr>
        <w:pStyle w:val="28"/>
        <w:bidi w:val="0"/>
        <w:rPr>
          <w:rFonts w:hint="default"/>
          <w:lang w:val="en-US" w:eastAsia="zh-CN"/>
        </w:rPr>
      </w:pPr>
      <w:bookmarkStart w:id="32" w:name="_Toc27251"/>
      <w:r>
        <w:rPr>
          <w:rFonts w:hint="eastAsia"/>
          <w:lang w:val="en-US" w:eastAsia="zh-CN"/>
        </w:rPr>
        <w:t>事件状态</w:t>
      </w:r>
      <w:bookmarkEnd w:id="32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400"/>
      </w:tblGrid>
      <w:tr w14:paraId="46519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2F11A11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事件状态</w:t>
            </w:r>
          </w:p>
        </w:tc>
        <w:tc>
          <w:tcPr>
            <w:tcW w:w="6400" w:type="dxa"/>
          </w:tcPr>
          <w:p w14:paraId="75A58AC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</w:tr>
      <w:tr w14:paraId="1F273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62C2BA1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  <w:tc>
          <w:tcPr>
            <w:tcW w:w="6400" w:type="dxa"/>
          </w:tcPr>
          <w:p w14:paraId="4DAB402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新创建的服务单</w:t>
            </w:r>
          </w:p>
        </w:tc>
      </w:tr>
      <w:tr w14:paraId="5B586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110CB5E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执行中</w:t>
            </w:r>
          </w:p>
        </w:tc>
        <w:tc>
          <w:tcPr>
            <w:tcW w:w="6400" w:type="dxa"/>
          </w:tcPr>
          <w:p w14:paraId="1FD190C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运维工程师接受服务单，运维部经理接受转接的服务单</w:t>
            </w:r>
          </w:p>
        </w:tc>
      </w:tr>
      <w:tr w14:paraId="6CF03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6AE8C7F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未解决</w:t>
            </w:r>
          </w:p>
        </w:tc>
        <w:tc>
          <w:tcPr>
            <w:tcW w:w="6400" w:type="dxa"/>
          </w:tcPr>
          <w:p w14:paraId="4F8FCFA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事件解决中</w:t>
            </w:r>
          </w:p>
        </w:tc>
      </w:tr>
      <w:tr w14:paraId="61372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59B35B3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已解决</w:t>
            </w:r>
          </w:p>
        </w:tc>
        <w:tc>
          <w:tcPr>
            <w:tcW w:w="6400" w:type="dxa"/>
          </w:tcPr>
          <w:p w14:paraId="21C3CA6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事件已经解决</w:t>
            </w:r>
          </w:p>
        </w:tc>
      </w:tr>
      <w:tr w14:paraId="5F5B3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363B05F4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发起人确认</w:t>
            </w:r>
          </w:p>
        </w:tc>
        <w:tc>
          <w:tcPr>
            <w:tcW w:w="6400" w:type="dxa"/>
          </w:tcPr>
          <w:p w14:paraId="0BF5961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用户确认事件是否处理完毕</w:t>
            </w:r>
          </w:p>
        </w:tc>
      </w:tr>
      <w:tr w14:paraId="320A6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2F3B9FE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关闭</w:t>
            </w:r>
          </w:p>
        </w:tc>
        <w:tc>
          <w:tcPr>
            <w:tcW w:w="6400" w:type="dxa"/>
          </w:tcPr>
          <w:p w14:paraId="6103F52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对事件进行关闭</w:t>
            </w:r>
          </w:p>
        </w:tc>
      </w:tr>
    </w:tbl>
    <w:p w14:paraId="0777B31E">
      <w:pPr>
        <w:pStyle w:val="28"/>
        <w:bidi w:val="0"/>
        <w:rPr>
          <w:rFonts w:hint="default"/>
          <w:lang w:val="en-US" w:eastAsia="zh-CN"/>
        </w:rPr>
      </w:pPr>
      <w:bookmarkStart w:id="33" w:name="_Toc24255"/>
      <w:r>
        <w:rPr>
          <w:rFonts w:hint="default"/>
          <w:lang w:val="en-US" w:eastAsia="zh-CN"/>
        </w:rPr>
        <w:t>事件管理与其他流程的关系</w:t>
      </w:r>
      <w:bookmarkEnd w:id="33"/>
    </w:p>
    <w:p w14:paraId="6A616841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57905"/>
            <wp:effectExtent l="0" t="0" r="2540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5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450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配置管理：从配置管理数据库查询信息以定位和恢复故障。</w:t>
      </w:r>
    </w:p>
    <w:p w14:paraId="243E96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问题管理：提供事件记录信息用于定位问题、分析趋势，高优先级事件解决后可转为问题进一步分析。</w:t>
      </w:r>
    </w:p>
    <w:p w14:paraId="44462D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变更管理：服务台监测因变更引发的事件；解决事件过程中必要时需发起变更请求。</w:t>
      </w:r>
    </w:p>
    <w:p w14:paraId="5BB0C0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服务级别管理：事件流程人员需了解SLA；事件报告用于判断是否提供了规定级别的服务。</w:t>
      </w:r>
    </w:p>
    <w:p w14:paraId="508655BA">
      <w:pPr>
        <w:pStyle w:val="28"/>
        <w:bidi w:val="0"/>
        <w:rPr>
          <w:rFonts w:hint="default"/>
          <w:lang w:val="en-US" w:eastAsia="zh-CN"/>
        </w:rPr>
      </w:pPr>
      <w:bookmarkStart w:id="34" w:name="_Toc5453"/>
      <w:r>
        <w:rPr>
          <w:rFonts w:hint="eastAsia"/>
          <w:lang w:val="en-US" w:eastAsia="zh-CN"/>
        </w:rPr>
        <w:t>KPI指标</w:t>
      </w:r>
      <w:bookmarkEnd w:id="3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C256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CB3864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7DB8734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321FB31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3BD315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52F8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86346D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2130" w:type="dxa"/>
          </w:tcPr>
          <w:p w14:paraId="113B9B4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及时响应的事件数量 / 所有的事件数量 × 100%</w:t>
            </w:r>
          </w:p>
        </w:tc>
        <w:tc>
          <w:tcPr>
            <w:tcW w:w="2131" w:type="dxa"/>
          </w:tcPr>
          <w:p w14:paraId="00935D94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 w14:paraId="236F241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 w14:paraId="259D5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7FB6A10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2130" w:type="dxa"/>
          </w:tcPr>
          <w:p w14:paraId="4F1C54DD">
            <w:pPr>
              <w:pStyle w:val="29"/>
              <w:widowControl w:val="0"/>
              <w:ind w:left="0" w:leftChars="0" w:firstLine="0" w:firstLineChars="0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2131" w:type="dxa"/>
          </w:tcPr>
          <w:p w14:paraId="546984D0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 w14:paraId="18D57189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</w:tbl>
    <w:p w14:paraId="023008D8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浠垮畫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5ED957"/>
    <w:multiLevelType w:val="singleLevel"/>
    <w:tmpl w:val="B25ED9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EB9BB4"/>
    <w:multiLevelType w:val="singleLevel"/>
    <w:tmpl w:val="D3EB9B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2781BC8"/>
    <w:rsid w:val="027A149C"/>
    <w:rsid w:val="028440C8"/>
    <w:rsid w:val="02C10E79"/>
    <w:rsid w:val="03431E67"/>
    <w:rsid w:val="037E2237"/>
    <w:rsid w:val="04335DA6"/>
    <w:rsid w:val="0475016D"/>
    <w:rsid w:val="04C36455"/>
    <w:rsid w:val="04CE1F73"/>
    <w:rsid w:val="05957D83"/>
    <w:rsid w:val="05B95683"/>
    <w:rsid w:val="05C017FD"/>
    <w:rsid w:val="06D849E3"/>
    <w:rsid w:val="06E36237"/>
    <w:rsid w:val="087370B9"/>
    <w:rsid w:val="0A2F0DBE"/>
    <w:rsid w:val="0B193D02"/>
    <w:rsid w:val="0B84338B"/>
    <w:rsid w:val="0C154007"/>
    <w:rsid w:val="0CA23AC9"/>
    <w:rsid w:val="0D7207A6"/>
    <w:rsid w:val="0E4B1F3E"/>
    <w:rsid w:val="11E46932"/>
    <w:rsid w:val="1238549D"/>
    <w:rsid w:val="127C38A5"/>
    <w:rsid w:val="128E7347"/>
    <w:rsid w:val="12C02EFB"/>
    <w:rsid w:val="133C05DC"/>
    <w:rsid w:val="136E6DFB"/>
    <w:rsid w:val="14B52807"/>
    <w:rsid w:val="14F204A2"/>
    <w:rsid w:val="157A28AF"/>
    <w:rsid w:val="15E83F8E"/>
    <w:rsid w:val="162A4334"/>
    <w:rsid w:val="164B2A04"/>
    <w:rsid w:val="17554DF7"/>
    <w:rsid w:val="17F96B12"/>
    <w:rsid w:val="1871105F"/>
    <w:rsid w:val="189310B2"/>
    <w:rsid w:val="199B6470"/>
    <w:rsid w:val="1A9A6727"/>
    <w:rsid w:val="1AC11F06"/>
    <w:rsid w:val="1ACB4B33"/>
    <w:rsid w:val="1B3D71C1"/>
    <w:rsid w:val="1BCB22E6"/>
    <w:rsid w:val="1C4C39E7"/>
    <w:rsid w:val="1CFA34AD"/>
    <w:rsid w:val="1D1A36B1"/>
    <w:rsid w:val="1D43495B"/>
    <w:rsid w:val="1DA44932"/>
    <w:rsid w:val="1E006819"/>
    <w:rsid w:val="1F152820"/>
    <w:rsid w:val="20F21EF0"/>
    <w:rsid w:val="210A56C3"/>
    <w:rsid w:val="214F7C1E"/>
    <w:rsid w:val="23B720F8"/>
    <w:rsid w:val="23DB6AD3"/>
    <w:rsid w:val="24B14D99"/>
    <w:rsid w:val="24DE1906"/>
    <w:rsid w:val="25ED1E01"/>
    <w:rsid w:val="26976211"/>
    <w:rsid w:val="27DA0163"/>
    <w:rsid w:val="28912DB4"/>
    <w:rsid w:val="28A34FD3"/>
    <w:rsid w:val="295C2DFA"/>
    <w:rsid w:val="295F4405"/>
    <w:rsid w:val="29890093"/>
    <w:rsid w:val="2B3808F6"/>
    <w:rsid w:val="2B7D22D9"/>
    <w:rsid w:val="2C7F752B"/>
    <w:rsid w:val="2CA23219"/>
    <w:rsid w:val="2CB17B5A"/>
    <w:rsid w:val="2CC15D95"/>
    <w:rsid w:val="2ECE02F6"/>
    <w:rsid w:val="2ED52C6D"/>
    <w:rsid w:val="2FBB4D1E"/>
    <w:rsid w:val="2FC260AC"/>
    <w:rsid w:val="30607673"/>
    <w:rsid w:val="31A25301"/>
    <w:rsid w:val="31AD2E67"/>
    <w:rsid w:val="31C75B74"/>
    <w:rsid w:val="3205549F"/>
    <w:rsid w:val="325C4129"/>
    <w:rsid w:val="32BA306B"/>
    <w:rsid w:val="32BF4B25"/>
    <w:rsid w:val="32D1637E"/>
    <w:rsid w:val="34163BFA"/>
    <w:rsid w:val="34833930"/>
    <w:rsid w:val="34A22009"/>
    <w:rsid w:val="354B108F"/>
    <w:rsid w:val="361209CC"/>
    <w:rsid w:val="377D0946"/>
    <w:rsid w:val="378105FB"/>
    <w:rsid w:val="38640C38"/>
    <w:rsid w:val="39033292"/>
    <w:rsid w:val="3A1C460B"/>
    <w:rsid w:val="3A865F28"/>
    <w:rsid w:val="3C0D4B53"/>
    <w:rsid w:val="3C3F2833"/>
    <w:rsid w:val="3C664263"/>
    <w:rsid w:val="3C8D3764"/>
    <w:rsid w:val="3DA07301"/>
    <w:rsid w:val="3E644813"/>
    <w:rsid w:val="3E8433D8"/>
    <w:rsid w:val="3E9D7A57"/>
    <w:rsid w:val="3F310B59"/>
    <w:rsid w:val="3FC4377B"/>
    <w:rsid w:val="3FC90D91"/>
    <w:rsid w:val="408F5EAA"/>
    <w:rsid w:val="413B7A6D"/>
    <w:rsid w:val="41FE2A67"/>
    <w:rsid w:val="42F00D2B"/>
    <w:rsid w:val="43413334"/>
    <w:rsid w:val="43CE1B59"/>
    <w:rsid w:val="43D877F5"/>
    <w:rsid w:val="442944F4"/>
    <w:rsid w:val="467A71EB"/>
    <w:rsid w:val="487D3F41"/>
    <w:rsid w:val="48CE7A8D"/>
    <w:rsid w:val="49C53294"/>
    <w:rsid w:val="4A8204BA"/>
    <w:rsid w:val="4B9E7576"/>
    <w:rsid w:val="4BCD1C09"/>
    <w:rsid w:val="4BF215BE"/>
    <w:rsid w:val="4C4427EA"/>
    <w:rsid w:val="4C9D5A7F"/>
    <w:rsid w:val="4D495A2D"/>
    <w:rsid w:val="4D527006"/>
    <w:rsid w:val="4D896004"/>
    <w:rsid w:val="4E4C150B"/>
    <w:rsid w:val="4E7E7051"/>
    <w:rsid w:val="4F3501F1"/>
    <w:rsid w:val="50AF18DD"/>
    <w:rsid w:val="50E023DF"/>
    <w:rsid w:val="50F67349"/>
    <w:rsid w:val="51356102"/>
    <w:rsid w:val="51D9182F"/>
    <w:rsid w:val="533F163E"/>
    <w:rsid w:val="53B316E5"/>
    <w:rsid w:val="54C87412"/>
    <w:rsid w:val="54EF0E42"/>
    <w:rsid w:val="56206309"/>
    <w:rsid w:val="56A317C7"/>
    <w:rsid w:val="56EC3BB2"/>
    <w:rsid w:val="576F2F50"/>
    <w:rsid w:val="57C066FC"/>
    <w:rsid w:val="58733B38"/>
    <w:rsid w:val="5880636C"/>
    <w:rsid w:val="58FE2F4F"/>
    <w:rsid w:val="59030A18"/>
    <w:rsid w:val="59232E69"/>
    <w:rsid w:val="5A58763C"/>
    <w:rsid w:val="5ADC3C17"/>
    <w:rsid w:val="5B2703BF"/>
    <w:rsid w:val="5BDD44F5"/>
    <w:rsid w:val="5D815265"/>
    <w:rsid w:val="5E8B1BDC"/>
    <w:rsid w:val="5E8F2D4E"/>
    <w:rsid w:val="60001B6F"/>
    <w:rsid w:val="60400411"/>
    <w:rsid w:val="615838CB"/>
    <w:rsid w:val="619568CD"/>
    <w:rsid w:val="626562A0"/>
    <w:rsid w:val="62C51434"/>
    <w:rsid w:val="63C24D92"/>
    <w:rsid w:val="640D6BEF"/>
    <w:rsid w:val="6499200B"/>
    <w:rsid w:val="64AD2180"/>
    <w:rsid w:val="660E3E54"/>
    <w:rsid w:val="66761E42"/>
    <w:rsid w:val="670921B5"/>
    <w:rsid w:val="67780823"/>
    <w:rsid w:val="6783311F"/>
    <w:rsid w:val="67AB6E4B"/>
    <w:rsid w:val="67B33F51"/>
    <w:rsid w:val="68ED228A"/>
    <w:rsid w:val="692F13B6"/>
    <w:rsid w:val="6A2D7FEB"/>
    <w:rsid w:val="6A591EC9"/>
    <w:rsid w:val="6A895B7D"/>
    <w:rsid w:val="6B030D4C"/>
    <w:rsid w:val="6B60619E"/>
    <w:rsid w:val="6BB30A8B"/>
    <w:rsid w:val="6BC4672D"/>
    <w:rsid w:val="6C5F6456"/>
    <w:rsid w:val="6C952FB6"/>
    <w:rsid w:val="6CFD74D7"/>
    <w:rsid w:val="6D4F77BF"/>
    <w:rsid w:val="6E4B57C5"/>
    <w:rsid w:val="6E8660BA"/>
    <w:rsid w:val="6EB63269"/>
    <w:rsid w:val="6F5E47A3"/>
    <w:rsid w:val="6F616041"/>
    <w:rsid w:val="6F7C0E99"/>
    <w:rsid w:val="70052E70"/>
    <w:rsid w:val="70141305"/>
    <w:rsid w:val="701B6B38"/>
    <w:rsid w:val="70422316"/>
    <w:rsid w:val="71887D53"/>
    <w:rsid w:val="71E9433F"/>
    <w:rsid w:val="722F68CA"/>
    <w:rsid w:val="72B156D0"/>
    <w:rsid w:val="731A30D6"/>
    <w:rsid w:val="7360065E"/>
    <w:rsid w:val="74463A57"/>
    <w:rsid w:val="744B6FE9"/>
    <w:rsid w:val="74542618"/>
    <w:rsid w:val="74634609"/>
    <w:rsid w:val="74CA2B97"/>
    <w:rsid w:val="75662792"/>
    <w:rsid w:val="765608C9"/>
    <w:rsid w:val="76BB072D"/>
    <w:rsid w:val="78C25DA2"/>
    <w:rsid w:val="78EF31FB"/>
    <w:rsid w:val="79314CD6"/>
    <w:rsid w:val="7A1A39BC"/>
    <w:rsid w:val="7C1F350C"/>
    <w:rsid w:val="7C866045"/>
    <w:rsid w:val="7CB67090"/>
    <w:rsid w:val="7CEE584C"/>
    <w:rsid w:val="7D684FD8"/>
    <w:rsid w:val="7D741635"/>
    <w:rsid w:val="7E8C0042"/>
    <w:rsid w:val="7EA366EB"/>
    <w:rsid w:val="7ED50BC3"/>
    <w:rsid w:val="7F022551"/>
    <w:rsid w:val="7F08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4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  <w:style w:type="character" w:customStyle="1" w:styleId="44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1191</Words>
  <Characters>1395</Characters>
  <Lines>0</Lines>
  <Paragraphs>0</Paragraphs>
  <TotalTime>0</TotalTime>
  <ScaleCrop>false</ScaleCrop>
  <LinksUpToDate>false</LinksUpToDate>
  <CharactersWithSpaces>1531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