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5"/>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3533"/>
      <w:bookmarkStart w:id="39" w:name="_GoBack"/>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39"/>
      <w:r>
        <w:rPr>
          <w:rFonts w:hint="eastAsia"/>
          <w:lang w:val="en-US" w:eastAsia="zh-CN"/>
        </w:rPr>
        <w:t>云南腾电科技有限公司</w:t>
      </w:r>
      <w:bookmarkEnd w:id="0"/>
    </w:p>
    <w:p w14:paraId="49BB6A81">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9569"/>
      <w:r>
        <w:rPr>
          <w:rFonts w:hint="eastAsia"/>
          <w:lang w:val="en-US" w:eastAsia="zh-CN"/>
        </w:rPr>
        <w:t>服务数据管理制度</w:t>
      </w:r>
      <w:bookmarkEnd w:id="1"/>
    </w:p>
    <w:p w14:paraId="44992887">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0399"/>
      <w:r>
        <w:rPr>
          <w:rFonts w:hint="eastAsia"/>
          <w:lang w:val="en-US" w:eastAsia="zh-CN"/>
        </w:rPr>
        <w:t>（YNTD-ITSS-0806）</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1217"/>
      <w:r>
        <w:rPr>
          <w:rFonts w:ascii="宋体" w:hAnsi="宋体" w:eastAsia="宋体" w:cs="宋体"/>
          <w:b/>
          <w:bCs/>
          <w:spacing w:val="-4"/>
          <w:sz w:val="30"/>
          <w:szCs w:val="30"/>
        </w:rPr>
        <w:t>文件编制和变更履历</w:t>
      </w:r>
      <w:bookmarkEnd w:id="3"/>
    </w:p>
    <w:tbl>
      <w:tblPr>
        <w:tblStyle w:val="43"/>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8"/>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8"/>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8"/>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8"/>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8"/>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4553"/>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E7E4539">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721402B3">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_Toc3533 </w:instrText>
          </w:r>
          <w:r>
            <w:fldChar w:fldCharType="separate"/>
          </w:r>
          <w:r>
            <w:rPr>
              <w:rFonts w:hint="eastAsia"/>
              <w:lang w:val="en-US" w:eastAsia="zh-CN"/>
            </w:rPr>
            <w:t>云南腾电科技有限公司</w:t>
          </w:r>
          <w:r>
            <w:tab/>
          </w:r>
          <w:r>
            <w:fldChar w:fldCharType="begin"/>
          </w:r>
          <w:r>
            <w:instrText xml:space="preserve"> PAGEREF _Toc3533 \h </w:instrText>
          </w:r>
          <w:r>
            <w:fldChar w:fldCharType="separate"/>
          </w:r>
          <w:r>
            <w:t>1</w:t>
          </w:r>
          <w:r>
            <w:fldChar w:fldCharType="end"/>
          </w:r>
          <w:r>
            <w:fldChar w:fldCharType="end"/>
          </w:r>
        </w:p>
        <w:p w14:paraId="4004C2B6">
          <w:pPr>
            <w:pStyle w:val="16"/>
            <w:tabs>
              <w:tab w:val="right" w:leader="dot" w:pos="8306"/>
            </w:tabs>
          </w:pPr>
          <w:r>
            <w:fldChar w:fldCharType="begin"/>
          </w:r>
          <w:r>
            <w:instrText xml:space="preserve"> HYPERLINK \l _Toc9569 </w:instrText>
          </w:r>
          <w:r>
            <w:fldChar w:fldCharType="separate"/>
          </w:r>
          <w:r>
            <w:rPr>
              <w:rFonts w:hint="eastAsia"/>
              <w:lang w:val="en-US" w:eastAsia="zh-CN"/>
            </w:rPr>
            <w:t>服务数据管理制度</w:t>
          </w:r>
          <w:r>
            <w:tab/>
          </w:r>
          <w:r>
            <w:fldChar w:fldCharType="begin"/>
          </w:r>
          <w:r>
            <w:instrText xml:space="preserve"> PAGEREF _Toc9569 \h </w:instrText>
          </w:r>
          <w:r>
            <w:fldChar w:fldCharType="separate"/>
          </w:r>
          <w:r>
            <w:t>1</w:t>
          </w:r>
          <w:r>
            <w:fldChar w:fldCharType="end"/>
          </w:r>
          <w:r>
            <w:fldChar w:fldCharType="end"/>
          </w:r>
        </w:p>
        <w:p w14:paraId="230C264D">
          <w:pPr>
            <w:pStyle w:val="16"/>
            <w:tabs>
              <w:tab w:val="right" w:leader="dot" w:pos="8306"/>
            </w:tabs>
          </w:pPr>
          <w:r>
            <w:fldChar w:fldCharType="begin"/>
          </w:r>
          <w:r>
            <w:instrText xml:space="preserve"> HYPERLINK \l _Toc10399 </w:instrText>
          </w:r>
          <w:r>
            <w:fldChar w:fldCharType="separate"/>
          </w:r>
          <w:r>
            <w:rPr>
              <w:rFonts w:hint="eastAsia"/>
              <w:lang w:val="en-US" w:eastAsia="zh-CN"/>
            </w:rPr>
            <w:t>（YNTD-ITSS-0806）</w:t>
          </w:r>
          <w:r>
            <w:tab/>
          </w:r>
          <w:r>
            <w:fldChar w:fldCharType="begin"/>
          </w:r>
          <w:r>
            <w:instrText xml:space="preserve"> PAGEREF _Toc10399 \h </w:instrText>
          </w:r>
          <w:r>
            <w:fldChar w:fldCharType="separate"/>
          </w:r>
          <w:r>
            <w:t>1</w:t>
          </w:r>
          <w:r>
            <w:fldChar w:fldCharType="end"/>
          </w:r>
          <w:r>
            <w:fldChar w:fldCharType="end"/>
          </w:r>
        </w:p>
        <w:p w14:paraId="67ECBC0F">
          <w:pPr>
            <w:pStyle w:val="16"/>
            <w:tabs>
              <w:tab w:val="right" w:leader="dot" w:pos="8306"/>
            </w:tabs>
          </w:pPr>
          <w:r>
            <w:fldChar w:fldCharType="begin"/>
          </w:r>
          <w:r>
            <w:instrText xml:space="preserve"> HYPERLINK \l _Toc21217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_Toc21217 \h </w:instrText>
          </w:r>
          <w:r>
            <w:fldChar w:fldCharType="separate"/>
          </w:r>
          <w:r>
            <w:t>2</w:t>
          </w:r>
          <w:r>
            <w:fldChar w:fldCharType="end"/>
          </w:r>
          <w:r>
            <w:fldChar w:fldCharType="end"/>
          </w:r>
        </w:p>
        <w:p w14:paraId="0C1A810A">
          <w:pPr>
            <w:pStyle w:val="16"/>
            <w:tabs>
              <w:tab w:val="right" w:leader="dot" w:pos="8306"/>
            </w:tabs>
          </w:pPr>
          <w:r>
            <w:fldChar w:fldCharType="begin"/>
          </w:r>
          <w:r>
            <w:instrText xml:space="preserve"> HYPERLINK \l _Toc16982 </w:instrText>
          </w:r>
          <w:r>
            <w:fldChar w:fldCharType="separate"/>
          </w:r>
          <w:r>
            <w:rPr>
              <w:rFonts w:hint="default"/>
            </w:rPr>
            <w:t xml:space="preserve">1. </w:t>
          </w:r>
          <w:r>
            <w:t>目的</w:t>
          </w:r>
          <w:r>
            <w:tab/>
          </w:r>
          <w:r>
            <w:fldChar w:fldCharType="begin"/>
          </w:r>
          <w:r>
            <w:instrText xml:space="preserve"> PAGEREF _Toc16982 \h </w:instrText>
          </w:r>
          <w:r>
            <w:fldChar w:fldCharType="separate"/>
          </w:r>
          <w:r>
            <w:t>4</w:t>
          </w:r>
          <w:r>
            <w:fldChar w:fldCharType="end"/>
          </w:r>
          <w:r>
            <w:fldChar w:fldCharType="end"/>
          </w:r>
        </w:p>
        <w:p w14:paraId="411BCA04">
          <w:pPr>
            <w:pStyle w:val="16"/>
            <w:tabs>
              <w:tab w:val="right" w:leader="dot" w:pos="8306"/>
            </w:tabs>
          </w:pPr>
          <w:r>
            <w:fldChar w:fldCharType="begin"/>
          </w:r>
          <w:r>
            <w:instrText xml:space="preserve"> HYPERLINK \l _Toc19131 </w:instrText>
          </w:r>
          <w:r>
            <w:fldChar w:fldCharType="separate"/>
          </w:r>
          <w:r>
            <w:rPr>
              <w:rFonts w:hint="default"/>
            </w:rPr>
            <w:t xml:space="preserve">2. </w:t>
          </w:r>
          <w:r>
            <w:t>适用范围</w:t>
          </w:r>
          <w:r>
            <w:tab/>
          </w:r>
          <w:r>
            <w:fldChar w:fldCharType="begin"/>
          </w:r>
          <w:r>
            <w:instrText xml:space="preserve"> PAGEREF _Toc19131 \h </w:instrText>
          </w:r>
          <w:r>
            <w:fldChar w:fldCharType="separate"/>
          </w:r>
          <w:r>
            <w:t>4</w:t>
          </w:r>
          <w:r>
            <w:fldChar w:fldCharType="end"/>
          </w:r>
          <w:r>
            <w:fldChar w:fldCharType="end"/>
          </w:r>
        </w:p>
        <w:p w14:paraId="5983BFC3">
          <w:pPr>
            <w:pStyle w:val="16"/>
            <w:tabs>
              <w:tab w:val="right" w:leader="dot" w:pos="8306"/>
            </w:tabs>
          </w:pPr>
          <w:r>
            <w:fldChar w:fldCharType="begin"/>
          </w:r>
          <w:r>
            <w:instrText xml:space="preserve"> HYPERLINK \l _Toc2290 </w:instrText>
          </w:r>
          <w:r>
            <w:fldChar w:fldCharType="separate"/>
          </w:r>
          <w:r>
            <w:rPr>
              <w:rFonts w:hint="default"/>
            </w:rPr>
            <w:t xml:space="preserve">3. </w:t>
          </w:r>
          <w:r>
            <w:t>术语与定义</w:t>
          </w:r>
          <w:r>
            <w:tab/>
          </w:r>
          <w:r>
            <w:fldChar w:fldCharType="begin"/>
          </w:r>
          <w:r>
            <w:instrText xml:space="preserve"> PAGEREF _Toc2290 \h </w:instrText>
          </w:r>
          <w:r>
            <w:fldChar w:fldCharType="separate"/>
          </w:r>
          <w:r>
            <w:t>4</w:t>
          </w:r>
          <w:r>
            <w:fldChar w:fldCharType="end"/>
          </w:r>
          <w:r>
            <w:fldChar w:fldCharType="end"/>
          </w:r>
        </w:p>
        <w:p w14:paraId="36CBF845">
          <w:pPr>
            <w:pStyle w:val="16"/>
            <w:tabs>
              <w:tab w:val="right" w:leader="dot" w:pos="8306"/>
            </w:tabs>
          </w:pPr>
          <w:r>
            <w:fldChar w:fldCharType="begin"/>
          </w:r>
          <w:r>
            <w:instrText xml:space="preserve"> HYPERLINK \l _Toc29962 </w:instrText>
          </w:r>
          <w:r>
            <w:fldChar w:fldCharType="separate"/>
          </w:r>
          <w:r>
            <w:rPr>
              <w:rFonts w:hint="default"/>
            </w:rPr>
            <w:t xml:space="preserve">4. </w:t>
          </w:r>
          <w:r>
            <w:t>角色与职责</w:t>
          </w:r>
          <w:r>
            <w:tab/>
          </w:r>
          <w:r>
            <w:fldChar w:fldCharType="begin"/>
          </w:r>
          <w:r>
            <w:instrText xml:space="preserve"> PAGEREF _Toc29962 \h </w:instrText>
          </w:r>
          <w:r>
            <w:fldChar w:fldCharType="separate"/>
          </w:r>
          <w:r>
            <w:t>5</w:t>
          </w:r>
          <w:r>
            <w:fldChar w:fldCharType="end"/>
          </w:r>
          <w:r>
            <w:fldChar w:fldCharType="end"/>
          </w:r>
        </w:p>
        <w:p w14:paraId="24650C13">
          <w:pPr>
            <w:pStyle w:val="16"/>
            <w:tabs>
              <w:tab w:val="right" w:leader="dot" w:pos="8306"/>
            </w:tabs>
          </w:pPr>
          <w:r>
            <w:fldChar w:fldCharType="begin"/>
          </w:r>
          <w:r>
            <w:instrText xml:space="preserve"> HYPERLINK \l _Toc30138 </w:instrText>
          </w:r>
          <w:r>
            <w:fldChar w:fldCharType="separate"/>
          </w:r>
          <w:r>
            <w:rPr>
              <w:rFonts w:hint="default"/>
            </w:rPr>
            <w:t xml:space="preserve">5. </w:t>
          </w:r>
          <w:r>
            <w:t>服务数据分类与分级</w:t>
          </w:r>
          <w:r>
            <w:tab/>
          </w:r>
          <w:r>
            <w:fldChar w:fldCharType="begin"/>
          </w:r>
          <w:r>
            <w:instrText xml:space="preserve"> PAGEREF _Toc30138 \h </w:instrText>
          </w:r>
          <w:r>
            <w:fldChar w:fldCharType="separate"/>
          </w:r>
          <w:r>
            <w:t>7</w:t>
          </w:r>
          <w:r>
            <w:fldChar w:fldCharType="end"/>
          </w:r>
          <w:r>
            <w:fldChar w:fldCharType="end"/>
          </w:r>
        </w:p>
        <w:p w14:paraId="3C264A1C">
          <w:pPr>
            <w:pStyle w:val="17"/>
            <w:tabs>
              <w:tab w:val="right" w:leader="dot" w:pos="8306"/>
            </w:tabs>
          </w:pPr>
          <w:r>
            <w:fldChar w:fldCharType="begin"/>
          </w:r>
          <w:r>
            <w:instrText xml:space="preserve"> HYPERLINK \l _Toc14636 </w:instrText>
          </w:r>
          <w:r>
            <w:fldChar w:fldCharType="separate"/>
          </w:r>
          <w:r>
            <w:rPr>
              <w:rFonts w:hint="default"/>
            </w:rPr>
            <w:t xml:space="preserve">5.1. </w:t>
          </w:r>
          <w:r>
            <w:t>数据分类</w:t>
          </w:r>
          <w:r>
            <w:tab/>
          </w:r>
          <w:r>
            <w:fldChar w:fldCharType="begin"/>
          </w:r>
          <w:r>
            <w:instrText xml:space="preserve"> PAGEREF _Toc14636 \h </w:instrText>
          </w:r>
          <w:r>
            <w:fldChar w:fldCharType="separate"/>
          </w:r>
          <w:r>
            <w:t>7</w:t>
          </w:r>
          <w:r>
            <w:fldChar w:fldCharType="end"/>
          </w:r>
          <w:r>
            <w:fldChar w:fldCharType="end"/>
          </w:r>
        </w:p>
        <w:p w14:paraId="5BEFF388">
          <w:pPr>
            <w:pStyle w:val="17"/>
            <w:tabs>
              <w:tab w:val="right" w:leader="dot" w:pos="8306"/>
            </w:tabs>
          </w:pPr>
          <w:r>
            <w:fldChar w:fldCharType="begin"/>
          </w:r>
          <w:r>
            <w:instrText xml:space="preserve"> HYPERLINK \l _Toc8452 </w:instrText>
          </w:r>
          <w:r>
            <w:fldChar w:fldCharType="separate"/>
          </w:r>
          <w:r>
            <w:rPr>
              <w:rFonts w:hint="default"/>
            </w:rPr>
            <w:t xml:space="preserve">5.2. </w:t>
          </w:r>
          <w:r>
            <w:t>数据分级</w:t>
          </w:r>
          <w:r>
            <w:tab/>
          </w:r>
          <w:r>
            <w:fldChar w:fldCharType="begin"/>
          </w:r>
          <w:r>
            <w:instrText xml:space="preserve"> PAGEREF _Toc8452 \h </w:instrText>
          </w:r>
          <w:r>
            <w:fldChar w:fldCharType="separate"/>
          </w:r>
          <w:r>
            <w:t>7</w:t>
          </w:r>
          <w:r>
            <w:fldChar w:fldCharType="end"/>
          </w:r>
          <w:r>
            <w:fldChar w:fldCharType="end"/>
          </w:r>
        </w:p>
        <w:p w14:paraId="38006295">
          <w:pPr>
            <w:pStyle w:val="16"/>
            <w:tabs>
              <w:tab w:val="right" w:leader="dot" w:pos="8306"/>
            </w:tabs>
          </w:pPr>
          <w:r>
            <w:fldChar w:fldCharType="begin"/>
          </w:r>
          <w:r>
            <w:instrText xml:space="preserve"> HYPERLINK \l _Toc2789 </w:instrText>
          </w:r>
          <w:r>
            <w:fldChar w:fldCharType="separate"/>
          </w:r>
          <w:r>
            <w:rPr>
              <w:rFonts w:hint="default"/>
            </w:rPr>
            <w:t xml:space="preserve">6. </w:t>
          </w:r>
          <w:r>
            <w:t>服务数据全生命周期管理</w:t>
          </w:r>
          <w:r>
            <w:tab/>
          </w:r>
          <w:r>
            <w:fldChar w:fldCharType="begin"/>
          </w:r>
          <w:r>
            <w:instrText xml:space="preserve"> PAGEREF _Toc2789 \h </w:instrText>
          </w:r>
          <w:r>
            <w:fldChar w:fldCharType="separate"/>
          </w:r>
          <w:r>
            <w:t>8</w:t>
          </w:r>
          <w:r>
            <w:fldChar w:fldCharType="end"/>
          </w:r>
          <w:r>
            <w:fldChar w:fldCharType="end"/>
          </w:r>
        </w:p>
        <w:p w14:paraId="5CA538B5">
          <w:pPr>
            <w:pStyle w:val="17"/>
            <w:tabs>
              <w:tab w:val="right" w:leader="dot" w:pos="8306"/>
            </w:tabs>
          </w:pPr>
          <w:r>
            <w:fldChar w:fldCharType="begin"/>
          </w:r>
          <w:r>
            <w:instrText xml:space="preserve"> HYPERLINK \l _Toc313 </w:instrText>
          </w:r>
          <w:r>
            <w:fldChar w:fldCharType="separate"/>
          </w:r>
          <w:r>
            <w:rPr>
              <w:rFonts w:hint="default"/>
            </w:rPr>
            <w:t xml:space="preserve">6.1. </w:t>
          </w:r>
          <w:r>
            <w:t>数据采集</w:t>
          </w:r>
          <w:r>
            <w:tab/>
          </w:r>
          <w:r>
            <w:fldChar w:fldCharType="begin"/>
          </w:r>
          <w:r>
            <w:instrText xml:space="preserve"> PAGEREF _Toc313 \h </w:instrText>
          </w:r>
          <w:r>
            <w:fldChar w:fldCharType="separate"/>
          </w:r>
          <w:r>
            <w:t>8</w:t>
          </w:r>
          <w:r>
            <w:fldChar w:fldCharType="end"/>
          </w:r>
          <w:r>
            <w:fldChar w:fldCharType="end"/>
          </w:r>
        </w:p>
        <w:p w14:paraId="0DC8576E">
          <w:pPr>
            <w:pStyle w:val="17"/>
            <w:tabs>
              <w:tab w:val="right" w:leader="dot" w:pos="8306"/>
            </w:tabs>
          </w:pPr>
          <w:r>
            <w:fldChar w:fldCharType="begin"/>
          </w:r>
          <w:r>
            <w:instrText xml:space="preserve"> HYPERLINK \l _Toc31175 </w:instrText>
          </w:r>
          <w:r>
            <w:fldChar w:fldCharType="separate"/>
          </w:r>
          <w:r>
            <w:rPr>
              <w:rFonts w:hint="default"/>
            </w:rPr>
            <w:t xml:space="preserve">6.2. </w:t>
          </w:r>
          <w:r>
            <w:t>数据存储</w:t>
          </w:r>
          <w:r>
            <w:tab/>
          </w:r>
          <w:r>
            <w:fldChar w:fldCharType="begin"/>
          </w:r>
          <w:r>
            <w:instrText xml:space="preserve"> PAGEREF _Toc31175 \h </w:instrText>
          </w:r>
          <w:r>
            <w:fldChar w:fldCharType="separate"/>
          </w:r>
          <w:r>
            <w:t>8</w:t>
          </w:r>
          <w:r>
            <w:fldChar w:fldCharType="end"/>
          </w:r>
          <w:r>
            <w:fldChar w:fldCharType="end"/>
          </w:r>
        </w:p>
        <w:p w14:paraId="226615F3">
          <w:pPr>
            <w:pStyle w:val="17"/>
            <w:tabs>
              <w:tab w:val="right" w:leader="dot" w:pos="8306"/>
            </w:tabs>
          </w:pPr>
          <w:r>
            <w:fldChar w:fldCharType="begin"/>
          </w:r>
          <w:r>
            <w:instrText xml:space="preserve"> HYPERLINK \l _Toc22317 </w:instrText>
          </w:r>
          <w:r>
            <w:fldChar w:fldCharType="separate"/>
          </w:r>
          <w:r>
            <w:rPr>
              <w:rFonts w:hint="default"/>
            </w:rPr>
            <w:t xml:space="preserve">6.3. </w:t>
          </w:r>
          <w:r>
            <w:t>数据处理</w:t>
          </w:r>
          <w:r>
            <w:tab/>
          </w:r>
          <w:r>
            <w:fldChar w:fldCharType="begin"/>
          </w:r>
          <w:r>
            <w:instrText xml:space="preserve"> PAGEREF _Toc22317 \h </w:instrText>
          </w:r>
          <w:r>
            <w:fldChar w:fldCharType="separate"/>
          </w:r>
          <w:r>
            <w:t>9</w:t>
          </w:r>
          <w:r>
            <w:fldChar w:fldCharType="end"/>
          </w:r>
          <w:r>
            <w:fldChar w:fldCharType="end"/>
          </w:r>
        </w:p>
        <w:p w14:paraId="49A3DE32">
          <w:pPr>
            <w:pStyle w:val="17"/>
            <w:tabs>
              <w:tab w:val="right" w:leader="dot" w:pos="8306"/>
            </w:tabs>
          </w:pPr>
          <w:r>
            <w:fldChar w:fldCharType="begin"/>
          </w:r>
          <w:r>
            <w:instrText xml:space="preserve"> HYPERLINK \l _Toc7356 </w:instrText>
          </w:r>
          <w:r>
            <w:fldChar w:fldCharType="separate"/>
          </w:r>
          <w:r>
            <w:rPr>
              <w:rFonts w:hint="default"/>
            </w:rPr>
            <w:t xml:space="preserve">6.4. </w:t>
          </w:r>
          <w:r>
            <w:t>数据传输</w:t>
          </w:r>
          <w:r>
            <w:tab/>
          </w:r>
          <w:r>
            <w:fldChar w:fldCharType="begin"/>
          </w:r>
          <w:r>
            <w:instrText xml:space="preserve"> PAGEREF _Toc7356 \h </w:instrText>
          </w:r>
          <w:r>
            <w:fldChar w:fldCharType="separate"/>
          </w:r>
          <w:r>
            <w:t>10</w:t>
          </w:r>
          <w:r>
            <w:fldChar w:fldCharType="end"/>
          </w:r>
          <w:r>
            <w:fldChar w:fldCharType="end"/>
          </w:r>
        </w:p>
        <w:p w14:paraId="2129B169">
          <w:pPr>
            <w:pStyle w:val="17"/>
            <w:tabs>
              <w:tab w:val="right" w:leader="dot" w:pos="8306"/>
            </w:tabs>
          </w:pPr>
          <w:r>
            <w:fldChar w:fldCharType="begin"/>
          </w:r>
          <w:r>
            <w:instrText xml:space="preserve"> HYPERLINK \l _Toc23037 </w:instrText>
          </w:r>
          <w:r>
            <w:fldChar w:fldCharType="separate"/>
          </w:r>
          <w:r>
            <w:rPr>
              <w:rFonts w:hint="default"/>
            </w:rPr>
            <w:t xml:space="preserve">6.5. </w:t>
          </w:r>
          <w:r>
            <w:t>数据使用</w:t>
          </w:r>
          <w:r>
            <w:tab/>
          </w:r>
          <w:r>
            <w:fldChar w:fldCharType="begin"/>
          </w:r>
          <w:r>
            <w:instrText xml:space="preserve"> PAGEREF _Toc23037 \h </w:instrText>
          </w:r>
          <w:r>
            <w:fldChar w:fldCharType="separate"/>
          </w:r>
          <w:r>
            <w:t>10</w:t>
          </w:r>
          <w:r>
            <w:fldChar w:fldCharType="end"/>
          </w:r>
          <w:r>
            <w:fldChar w:fldCharType="end"/>
          </w:r>
        </w:p>
        <w:p w14:paraId="2D9D33F0">
          <w:pPr>
            <w:pStyle w:val="17"/>
            <w:tabs>
              <w:tab w:val="right" w:leader="dot" w:pos="8306"/>
            </w:tabs>
          </w:pPr>
          <w:r>
            <w:fldChar w:fldCharType="begin"/>
          </w:r>
          <w:r>
            <w:instrText xml:space="preserve"> HYPERLINK \l _Toc17115 </w:instrText>
          </w:r>
          <w:r>
            <w:fldChar w:fldCharType="separate"/>
          </w:r>
          <w:r>
            <w:rPr>
              <w:rFonts w:hint="default"/>
            </w:rPr>
            <w:t xml:space="preserve">6.6. </w:t>
          </w:r>
          <w:r>
            <w:t>数据销毁</w:t>
          </w:r>
          <w:r>
            <w:tab/>
          </w:r>
          <w:r>
            <w:fldChar w:fldCharType="begin"/>
          </w:r>
          <w:r>
            <w:instrText xml:space="preserve"> PAGEREF _Toc17115 \h </w:instrText>
          </w:r>
          <w:r>
            <w:fldChar w:fldCharType="separate"/>
          </w:r>
          <w:r>
            <w:t>11</w:t>
          </w:r>
          <w:r>
            <w:fldChar w:fldCharType="end"/>
          </w:r>
          <w:r>
            <w:fldChar w:fldCharType="end"/>
          </w:r>
        </w:p>
        <w:p w14:paraId="2D2568CE">
          <w:pPr>
            <w:pStyle w:val="16"/>
            <w:tabs>
              <w:tab w:val="right" w:leader="dot" w:pos="8306"/>
            </w:tabs>
          </w:pPr>
          <w:r>
            <w:fldChar w:fldCharType="begin"/>
          </w:r>
          <w:r>
            <w:instrText xml:space="preserve"> HYPERLINK \l _Toc1809 </w:instrText>
          </w:r>
          <w:r>
            <w:fldChar w:fldCharType="separate"/>
          </w:r>
          <w:r>
            <w:rPr>
              <w:rFonts w:hint="default"/>
            </w:rPr>
            <w:t xml:space="preserve">7. </w:t>
          </w:r>
          <w:r>
            <w:t>数据安全与保密管理</w:t>
          </w:r>
          <w:r>
            <w:tab/>
          </w:r>
          <w:r>
            <w:fldChar w:fldCharType="begin"/>
          </w:r>
          <w:r>
            <w:instrText xml:space="preserve"> PAGEREF _Toc1809 \h </w:instrText>
          </w:r>
          <w:r>
            <w:fldChar w:fldCharType="separate"/>
          </w:r>
          <w:r>
            <w:t>11</w:t>
          </w:r>
          <w:r>
            <w:fldChar w:fldCharType="end"/>
          </w:r>
          <w:r>
            <w:fldChar w:fldCharType="end"/>
          </w:r>
        </w:p>
        <w:p w14:paraId="27574919">
          <w:pPr>
            <w:pStyle w:val="16"/>
            <w:tabs>
              <w:tab w:val="right" w:leader="dot" w:pos="8306"/>
            </w:tabs>
          </w:pPr>
          <w:r>
            <w:fldChar w:fldCharType="begin"/>
          </w:r>
          <w:r>
            <w:instrText xml:space="preserve"> HYPERLINK \l _Toc23538 </w:instrText>
          </w:r>
          <w:r>
            <w:fldChar w:fldCharType="separate"/>
          </w:r>
          <w:r>
            <w:rPr>
              <w:rFonts w:hint="default"/>
            </w:rPr>
            <w:t xml:space="preserve">8. </w:t>
          </w:r>
          <w:r>
            <w:t>数据质量管控</w:t>
          </w:r>
          <w:r>
            <w:tab/>
          </w:r>
          <w:r>
            <w:fldChar w:fldCharType="begin"/>
          </w:r>
          <w:r>
            <w:instrText xml:space="preserve"> PAGEREF _Toc23538 \h </w:instrText>
          </w:r>
          <w:r>
            <w:fldChar w:fldCharType="separate"/>
          </w:r>
          <w:r>
            <w:t>12</w:t>
          </w:r>
          <w:r>
            <w:fldChar w:fldCharType="end"/>
          </w:r>
          <w:r>
            <w:fldChar w:fldCharType="end"/>
          </w:r>
        </w:p>
        <w:p w14:paraId="63B84960">
          <w:pPr>
            <w:pStyle w:val="16"/>
            <w:tabs>
              <w:tab w:val="right" w:leader="dot" w:pos="8306"/>
            </w:tabs>
          </w:pPr>
          <w:r>
            <w:fldChar w:fldCharType="begin"/>
          </w:r>
          <w:r>
            <w:instrText xml:space="preserve"> HYPERLINK \l _Toc24306 </w:instrText>
          </w:r>
          <w:r>
            <w:fldChar w:fldCharType="separate"/>
          </w:r>
          <w:r>
            <w:rPr>
              <w:rFonts w:hint="default"/>
            </w:rPr>
            <w:t xml:space="preserve">9. </w:t>
          </w:r>
          <w:r>
            <w:t>审计与监督</w:t>
          </w:r>
          <w:r>
            <w:tab/>
          </w:r>
          <w:r>
            <w:fldChar w:fldCharType="begin"/>
          </w:r>
          <w:r>
            <w:instrText xml:space="preserve"> PAGEREF _Toc24306 \h </w:instrText>
          </w:r>
          <w:r>
            <w:fldChar w:fldCharType="separate"/>
          </w:r>
          <w:r>
            <w:t>12</w:t>
          </w:r>
          <w:r>
            <w:fldChar w:fldCharType="end"/>
          </w:r>
          <w:r>
            <w:fldChar w:fldCharType="end"/>
          </w:r>
        </w:p>
        <w:p w14:paraId="3C2881C3">
          <w:pPr>
            <w:pStyle w:val="16"/>
            <w:tabs>
              <w:tab w:val="right" w:leader="dot" w:pos="8306"/>
            </w:tabs>
          </w:pPr>
          <w:r>
            <w:fldChar w:fldCharType="begin"/>
          </w:r>
          <w:r>
            <w:instrText xml:space="preserve"> HYPERLINK \l _Toc24180 </w:instrText>
          </w:r>
          <w:r>
            <w:fldChar w:fldCharType="separate"/>
          </w:r>
          <w:r>
            <w:rPr>
              <w:rFonts w:hint="default"/>
            </w:rPr>
            <w:t xml:space="preserve">10. </w:t>
          </w:r>
          <w:r>
            <w:rPr>
              <w:rFonts w:hint="eastAsia"/>
              <w:lang w:val="en-US" w:eastAsia="zh-CN"/>
            </w:rPr>
            <w:t>KPI指标</w:t>
          </w:r>
          <w:r>
            <w:tab/>
          </w:r>
          <w:r>
            <w:fldChar w:fldCharType="begin"/>
          </w:r>
          <w:r>
            <w:instrText xml:space="preserve"> PAGEREF _Toc24180 \h </w:instrText>
          </w:r>
          <w:r>
            <w:fldChar w:fldCharType="separate"/>
          </w:r>
          <w:r>
            <w:t>12</w:t>
          </w:r>
          <w:r>
            <w:fldChar w:fldCharType="end"/>
          </w:r>
          <w:r>
            <w:fldChar w:fldCharType="end"/>
          </w:r>
        </w:p>
        <w:p w14:paraId="59DFD86B">
          <w:r>
            <w:fldChar w:fldCharType="end"/>
          </w:r>
        </w:p>
      </w:sdtContent>
    </w:sdt>
    <w:p w14:paraId="53EC4183"/>
    <w:p w14:paraId="484A8FA6">
      <w:r>
        <w:br w:type="page"/>
      </w:r>
    </w:p>
    <w:p w14:paraId="0D1AF752">
      <w:pPr>
        <w:pStyle w:val="29"/>
        <w:bidi w:val="0"/>
      </w:pPr>
      <w:bookmarkStart w:id="5" w:name="_Toc16982"/>
      <w:r>
        <w:t>目的</w:t>
      </w:r>
      <w:bookmarkEnd w:id="4"/>
      <w:bookmarkEnd w:id="5"/>
    </w:p>
    <w:p w14:paraId="33A6297F">
      <w:pPr>
        <w:pStyle w:val="30"/>
        <w:bidi w:val="0"/>
      </w:pPr>
      <w:r>
        <w:t>为满足IT服务管理体系（ITSS）认证要求，建立标准化的服务数据管理机制，规范公司服务数据的全生命周期管控，确保服务数据的完整性、准确性、安全性和可用性。通过有效管理服务数据，支撑IT服务优化决策、提升服务质量与效率，同时保障数据使用符合法律法规、客户协议及公司保密要求，为公司IT服务运营与持续改进提供可靠数据支撑，特制定本制度。</w:t>
      </w:r>
    </w:p>
    <w:p w14:paraId="6C590398">
      <w:pPr>
        <w:pStyle w:val="30"/>
        <w:bidi w:val="0"/>
      </w:pPr>
      <w:r>
        <w:t>本制度旨在实现服务数据“一数一源、一源多用”的管理目标，推动数据资源整合共享，挖掘数据价值，强化数据安全保障，提升公司IT服务管理的科学化水平。</w:t>
      </w:r>
    </w:p>
    <w:p w14:paraId="1C2452E8">
      <w:pPr>
        <w:pStyle w:val="29"/>
        <w:bidi w:val="0"/>
      </w:pPr>
      <w:bookmarkStart w:id="6" w:name="heading_3"/>
      <w:bookmarkStart w:id="7" w:name="_Toc19131"/>
      <w:r>
        <w:t>适用范围</w:t>
      </w:r>
      <w:bookmarkEnd w:id="6"/>
      <w:bookmarkEnd w:id="7"/>
    </w:p>
    <w:p w14:paraId="7DF5B447">
      <w:pPr>
        <w:pStyle w:val="30"/>
        <w:bidi w:val="0"/>
      </w:pPr>
      <w:r>
        <w:t>本制度适用于公司所有IT服务相关数据（以下简称“服务数据”）的采集、存储、处理、传输、使用、销毁等全生命周期管理活动，涵盖数据管理的技术支撑、流程执行及人员操作等各个环节。</w:t>
      </w:r>
    </w:p>
    <w:p w14:paraId="28104D6E">
      <w:pPr>
        <w:pStyle w:val="30"/>
        <w:bidi w:val="0"/>
      </w:pPr>
      <w:r>
        <w:t>服务数据涉及的范围包括但不限于：IT运维服务数据（故障记录、巡检数据、变更记录等）、客户服务数据（客户基本信息、服务请求、满意度数据等）、服务绩效数据（KPI指标数据、服务成本数据等）、配置管理数据（配置项信息、关系数据等）及其他与IT服务相关的数据。</w:t>
      </w:r>
    </w:p>
    <w:p w14:paraId="0CAD70EE">
      <w:pPr>
        <w:pStyle w:val="30"/>
        <w:bidi w:val="0"/>
      </w:pPr>
      <w:r>
        <w:t>公司各部门及全体员工，在涉及服务数据相关操作时，均需严格遵守本制度规定。</w:t>
      </w:r>
    </w:p>
    <w:p w14:paraId="205328DE">
      <w:pPr>
        <w:pStyle w:val="29"/>
        <w:bidi w:val="0"/>
      </w:pPr>
      <w:bookmarkStart w:id="8" w:name="_Toc2290"/>
      <w:bookmarkStart w:id="9" w:name="heading_4"/>
      <w:r>
        <w:t>术语与定义</w:t>
      </w:r>
      <w:bookmarkEnd w:id="8"/>
      <w:bookmarkEnd w:id="9"/>
    </w:p>
    <w:p w14:paraId="1A050ADE">
      <w:pPr>
        <w:pStyle w:val="30"/>
        <w:numPr>
          <w:ilvl w:val="0"/>
          <w:numId w:val="2"/>
        </w:numPr>
        <w:bidi w:val="0"/>
        <w:ind w:left="425" w:leftChars="0" w:hanging="425" w:firstLineChars="0"/>
      </w:pPr>
      <w:r>
        <w:t>服务数据</w:t>
      </w:r>
    </w:p>
    <w:p w14:paraId="2D1B6C2B">
      <w:pPr>
        <w:pStyle w:val="30"/>
        <w:numPr>
          <w:ilvl w:val="0"/>
          <w:numId w:val="0"/>
        </w:numPr>
        <w:bidi w:val="0"/>
      </w:pPr>
      <w:r>
        <w:t>指公司在IT服务运营过程中产生、采集或获取的，与IT服务提供、管理、优化相关的各类结构化、半结构化及非结构化数据，是支撑IT服务决策的核心资源。</w:t>
      </w:r>
    </w:p>
    <w:p w14:paraId="5BD99BE7">
      <w:pPr>
        <w:pStyle w:val="30"/>
        <w:numPr>
          <w:ilvl w:val="0"/>
          <w:numId w:val="2"/>
        </w:numPr>
        <w:bidi w:val="0"/>
        <w:ind w:left="425" w:leftChars="0" w:hanging="425" w:firstLineChars="0"/>
      </w:pPr>
      <w:r>
        <w:t>数据生命周期</w:t>
      </w:r>
    </w:p>
    <w:p w14:paraId="17AE7781">
      <w:pPr>
        <w:pStyle w:val="30"/>
        <w:numPr>
          <w:ilvl w:val="0"/>
          <w:numId w:val="0"/>
        </w:numPr>
        <w:bidi w:val="0"/>
      </w:pPr>
      <w:r>
        <w:t>指服务数据从产生或采集开始，经过存储、处理、传输、使用，直至最终销毁的完整过程，每个阶段均需遵循相应的管理规范。</w:t>
      </w:r>
    </w:p>
    <w:p w14:paraId="7FD002DA">
      <w:pPr>
        <w:pStyle w:val="30"/>
        <w:numPr>
          <w:ilvl w:val="0"/>
          <w:numId w:val="2"/>
        </w:numPr>
        <w:bidi w:val="0"/>
        <w:ind w:left="425" w:leftChars="0" w:hanging="425" w:firstLineChars="0"/>
      </w:pPr>
      <w:r>
        <w:t>数据分类</w:t>
      </w:r>
    </w:p>
    <w:p w14:paraId="6123CD81">
      <w:pPr>
        <w:pStyle w:val="30"/>
        <w:numPr>
          <w:ilvl w:val="0"/>
          <w:numId w:val="0"/>
        </w:numPr>
        <w:bidi w:val="0"/>
      </w:pPr>
      <w:r>
        <w:t>根据服务数据的来源、用途及属性，将其划分为不同类别，实现数据的差异化管理。</w:t>
      </w:r>
    </w:p>
    <w:p w14:paraId="619DBD9D">
      <w:pPr>
        <w:pStyle w:val="30"/>
        <w:numPr>
          <w:ilvl w:val="0"/>
          <w:numId w:val="2"/>
        </w:numPr>
        <w:bidi w:val="0"/>
        <w:ind w:left="425" w:leftChars="0" w:hanging="425" w:firstLineChars="0"/>
      </w:pPr>
      <w:r>
        <w:t>数据分级</w:t>
      </w:r>
    </w:p>
    <w:p w14:paraId="1BDEE2F0">
      <w:pPr>
        <w:pStyle w:val="30"/>
        <w:numPr>
          <w:ilvl w:val="0"/>
          <w:numId w:val="0"/>
        </w:numPr>
        <w:bidi w:val="0"/>
      </w:pPr>
      <w:r>
        <w:t>根据服务数据的敏感程度、泄露风险及影响范围，将其划分为不同安全级别，实施分级保护。</w:t>
      </w:r>
    </w:p>
    <w:p w14:paraId="4E9D3C60">
      <w:pPr>
        <w:pStyle w:val="30"/>
        <w:numPr>
          <w:ilvl w:val="0"/>
          <w:numId w:val="2"/>
        </w:numPr>
        <w:bidi w:val="0"/>
        <w:ind w:left="425" w:leftChars="0" w:hanging="425" w:firstLineChars="0"/>
      </w:pPr>
      <w:r>
        <w:t>数据质量</w:t>
      </w:r>
    </w:p>
    <w:p w14:paraId="30227936">
      <w:pPr>
        <w:pStyle w:val="30"/>
        <w:numPr>
          <w:ilvl w:val="0"/>
          <w:numId w:val="0"/>
        </w:numPr>
        <w:bidi w:val="0"/>
      </w:pPr>
      <w:r>
        <w:t>指服务数据满足规定需求的程度，主要包括准确性、完整性、一致性、时效性及可用性等指标。</w:t>
      </w:r>
    </w:p>
    <w:p w14:paraId="73218C94">
      <w:pPr>
        <w:pStyle w:val="30"/>
        <w:numPr>
          <w:ilvl w:val="0"/>
          <w:numId w:val="2"/>
        </w:numPr>
        <w:bidi w:val="0"/>
        <w:ind w:left="425" w:leftChars="0" w:hanging="425" w:firstLineChars="0"/>
      </w:pPr>
      <w:r>
        <w:t>数据脱敏</w:t>
      </w:r>
    </w:p>
    <w:p w14:paraId="285F4396">
      <w:pPr>
        <w:pStyle w:val="30"/>
        <w:numPr>
          <w:ilvl w:val="0"/>
          <w:numId w:val="0"/>
        </w:numPr>
        <w:bidi w:val="0"/>
      </w:pPr>
      <w:r>
        <w:t>指通过一定技术手段（如加密、替换、删除等）对敏感服务数据进行处理，在保留数据使用价值的同时，防止敏感信息泄露的技术措施。</w:t>
      </w:r>
    </w:p>
    <w:p w14:paraId="6D3CD1F1">
      <w:pPr>
        <w:pStyle w:val="29"/>
        <w:bidi w:val="0"/>
      </w:pPr>
      <w:bookmarkStart w:id="10" w:name="heading_5"/>
      <w:bookmarkStart w:id="11" w:name="_Toc29962"/>
      <w:r>
        <w:t>角色与职责</w:t>
      </w:r>
      <w:bookmarkEnd w:id="10"/>
      <w:bookmarkEnd w:id="1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7"/>
        <w:gridCol w:w="1716"/>
        <w:gridCol w:w="1416"/>
        <w:gridCol w:w="3701"/>
      </w:tblGrid>
      <w:tr w14:paraId="0BA5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5322ED2F">
            <w:pPr>
              <w:spacing w:before="120" w:after="120" w:line="288" w:lineRule="auto"/>
              <w:ind w:left="0"/>
              <w:jc w:val="left"/>
            </w:pPr>
            <w:r>
              <w:rPr>
                <w:rFonts w:ascii="Arial" w:hAnsi="Arial" w:eastAsia="等线" w:cs="Arial"/>
                <w:sz w:val="22"/>
              </w:rPr>
              <w:t>角色</w:t>
            </w:r>
          </w:p>
        </w:tc>
        <w:tc>
          <w:tcPr>
            <w:tcW w:w="1716" w:type="dxa"/>
            <w:tcMar>
              <w:top w:w="60" w:type="dxa"/>
              <w:left w:w="120" w:type="dxa"/>
              <w:bottom w:w="30" w:type="dxa"/>
              <w:right w:w="120" w:type="dxa"/>
            </w:tcMar>
          </w:tcPr>
          <w:p w14:paraId="66412325">
            <w:pPr>
              <w:spacing w:before="120" w:after="120" w:line="288" w:lineRule="auto"/>
              <w:ind w:left="0"/>
              <w:jc w:val="left"/>
            </w:pPr>
            <w:r>
              <w:rPr>
                <w:rFonts w:ascii="Arial" w:hAnsi="Arial" w:eastAsia="等线" w:cs="Arial"/>
                <w:sz w:val="22"/>
              </w:rPr>
              <w:t>职责部门/人员</w:t>
            </w:r>
          </w:p>
        </w:tc>
        <w:tc>
          <w:tcPr>
            <w:tcW w:w="1416" w:type="dxa"/>
            <w:tcMar>
              <w:top w:w="60" w:type="dxa"/>
              <w:left w:w="120" w:type="dxa"/>
              <w:bottom w:w="30" w:type="dxa"/>
              <w:right w:w="120" w:type="dxa"/>
            </w:tcMar>
          </w:tcPr>
          <w:p w14:paraId="46AA3B52">
            <w:pPr>
              <w:spacing w:before="120" w:after="120" w:line="288" w:lineRule="auto"/>
              <w:ind w:left="0"/>
              <w:jc w:val="left"/>
            </w:pPr>
            <w:r>
              <w:rPr>
                <w:rFonts w:ascii="Arial" w:hAnsi="Arial" w:eastAsia="等线" w:cs="Arial"/>
                <w:sz w:val="22"/>
              </w:rPr>
              <w:t>核心职责</w:t>
            </w:r>
          </w:p>
        </w:tc>
        <w:tc>
          <w:tcPr>
            <w:tcW w:w="3701" w:type="dxa"/>
            <w:tcMar>
              <w:top w:w="60" w:type="dxa"/>
              <w:left w:w="120" w:type="dxa"/>
              <w:bottom w:w="30" w:type="dxa"/>
              <w:right w:w="120" w:type="dxa"/>
            </w:tcMar>
          </w:tcPr>
          <w:p w14:paraId="70A0DDC5">
            <w:pPr>
              <w:spacing w:before="120" w:after="120" w:line="288" w:lineRule="auto"/>
              <w:ind w:left="0"/>
              <w:jc w:val="left"/>
            </w:pPr>
            <w:r>
              <w:rPr>
                <w:rFonts w:ascii="Arial" w:hAnsi="Arial" w:eastAsia="等线" w:cs="Arial"/>
                <w:sz w:val="22"/>
              </w:rPr>
              <w:t>具体工作内容</w:t>
            </w:r>
          </w:p>
        </w:tc>
      </w:tr>
      <w:tr w14:paraId="4C16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52D9E78F">
            <w:pPr>
              <w:spacing w:before="120" w:after="120" w:line="288" w:lineRule="auto"/>
              <w:ind w:left="0"/>
              <w:jc w:val="left"/>
            </w:pPr>
            <w:r>
              <w:rPr>
                <w:rFonts w:ascii="Arial" w:hAnsi="Arial" w:eastAsia="等线" w:cs="Arial"/>
                <w:sz w:val="22"/>
              </w:rPr>
              <w:t>数据管理员</w:t>
            </w:r>
          </w:p>
        </w:tc>
        <w:tc>
          <w:tcPr>
            <w:tcW w:w="1716" w:type="dxa"/>
            <w:tcMar>
              <w:top w:w="60" w:type="dxa"/>
              <w:left w:w="120" w:type="dxa"/>
              <w:bottom w:w="30" w:type="dxa"/>
              <w:right w:w="120" w:type="dxa"/>
            </w:tcMar>
          </w:tcPr>
          <w:p w14:paraId="5705607E">
            <w:pPr>
              <w:spacing w:before="120" w:after="120" w:line="288" w:lineRule="auto"/>
              <w:ind w:left="0"/>
              <w:jc w:val="left"/>
              <w:rPr>
                <w:rFonts w:hint="eastAsia" w:eastAsia="宋体"/>
                <w:lang w:eastAsia="zh-CN"/>
              </w:rPr>
            </w:pPr>
            <w:r>
              <w:rPr>
                <w:rFonts w:hint="eastAsia" w:eastAsia="等线" w:cs="Arial"/>
                <w:sz w:val="22"/>
                <w:lang w:val="en-US" w:eastAsia="zh-CN"/>
              </w:rPr>
              <w:t>运维部</w:t>
            </w:r>
          </w:p>
        </w:tc>
        <w:tc>
          <w:tcPr>
            <w:tcW w:w="1416" w:type="dxa"/>
            <w:tcMar>
              <w:top w:w="60" w:type="dxa"/>
              <w:left w:w="120" w:type="dxa"/>
              <w:bottom w:w="30" w:type="dxa"/>
              <w:right w:w="120" w:type="dxa"/>
            </w:tcMar>
          </w:tcPr>
          <w:p w14:paraId="6BEB4BE3">
            <w:pPr>
              <w:spacing w:before="120" w:after="120" w:line="288" w:lineRule="auto"/>
              <w:ind w:left="0"/>
              <w:jc w:val="left"/>
            </w:pPr>
            <w:r>
              <w:rPr>
                <w:rFonts w:ascii="Arial" w:hAnsi="Arial" w:eastAsia="等线" w:cs="Arial"/>
                <w:sz w:val="22"/>
              </w:rPr>
              <w:t>服务数据的日常管理与运维</w:t>
            </w:r>
          </w:p>
        </w:tc>
        <w:tc>
          <w:tcPr>
            <w:tcW w:w="3701" w:type="dxa"/>
            <w:tcMar>
              <w:top w:w="60" w:type="dxa"/>
              <w:left w:w="120" w:type="dxa"/>
              <w:bottom w:w="30" w:type="dxa"/>
              <w:right w:w="120" w:type="dxa"/>
            </w:tcMar>
          </w:tcPr>
          <w:p w14:paraId="08ECAC6C">
            <w:pPr>
              <w:numPr>
                <w:ilvl w:val="0"/>
                <w:numId w:val="3"/>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负责数据管理平台的部署、维护及故障处理；</w:t>
            </w:r>
          </w:p>
          <w:p w14:paraId="1708FF38">
            <w:pPr>
              <w:numPr>
                <w:ilvl w:val="0"/>
                <w:numId w:val="3"/>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执行服务数据的采集、存储、备份及清理操作；</w:t>
            </w:r>
          </w:p>
          <w:p w14:paraId="518ED913">
            <w:pPr>
              <w:numPr>
                <w:ilvl w:val="0"/>
                <w:numId w:val="3"/>
              </w:numPr>
              <w:spacing w:before="120" w:after="120" w:line="288" w:lineRule="auto"/>
              <w:ind w:left="425" w:leftChars="0" w:hanging="425" w:firstLineChars="0"/>
              <w:jc w:val="left"/>
            </w:pPr>
            <w:r>
              <w:rPr>
                <w:rFonts w:ascii="Arial" w:hAnsi="Arial" w:eastAsia="等线" w:cs="Arial"/>
                <w:sz w:val="22"/>
              </w:rPr>
              <w:t>建立并维护服务数据台账，确保数据可追溯；</w:t>
            </w:r>
          </w:p>
          <w:p w14:paraId="1E6985FC">
            <w:pPr>
              <w:numPr>
                <w:ilvl w:val="0"/>
                <w:numId w:val="3"/>
              </w:numPr>
              <w:spacing w:before="120" w:after="120" w:line="288" w:lineRule="auto"/>
              <w:ind w:left="425" w:leftChars="0" w:hanging="425" w:firstLineChars="0"/>
              <w:jc w:val="left"/>
            </w:pPr>
            <w:r>
              <w:rPr>
                <w:rFonts w:ascii="Arial" w:hAnsi="Arial" w:eastAsia="等线" w:cs="Arial"/>
                <w:sz w:val="22"/>
              </w:rPr>
              <w:t>监控数据质量，协助处理数据质量问题；</w:t>
            </w:r>
          </w:p>
          <w:p w14:paraId="74BE747E">
            <w:pPr>
              <w:numPr>
                <w:ilvl w:val="0"/>
                <w:numId w:val="3"/>
              </w:numPr>
              <w:spacing w:before="120" w:after="120" w:line="288" w:lineRule="auto"/>
              <w:ind w:left="425" w:leftChars="0" w:hanging="425" w:firstLineChars="0"/>
              <w:jc w:val="left"/>
            </w:pPr>
            <w:r>
              <w:rPr>
                <w:rFonts w:ascii="Arial" w:hAnsi="Arial" w:eastAsia="等线" w:cs="Arial"/>
                <w:sz w:val="22"/>
              </w:rPr>
              <w:t>配合开展数据安全防护及审计工作。</w:t>
            </w:r>
          </w:p>
        </w:tc>
      </w:tr>
      <w:tr w14:paraId="0006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2F99D73E">
            <w:pPr>
              <w:spacing w:before="120" w:after="120" w:line="288" w:lineRule="auto"/>
              <w:ind w:left="0"/>
              <w:jc w:val="left"/>
            </w:pPr>
            <w:r>
              <w:rPr>
                <w:rFonts w:ascii="Arial" w:hAnsi="Arial" w:eastAsia="等线" w:cs="Arial"/>
                <w:sz w:val="22"/>
              </w:rPr>
              <w:t>数据审核人</w:t>
            </w:r>
          </w:p>
        </w:tc>
        <w:tc>
          <w:tcPr>
            <w:tcW w:w="1716" w:type="dxa"/>
            <w:tcMar>
              <w:top w:w="60" w:type="dxa"/>
              <w:left w:w="120" w:type="dxa"/>
              <w:bottom w:w="30" w:type="dxa"/>
              <w:right w:w="120" w:type="dxa"/>
            </w:tcMar>
          </w:tcPr>
          <w:p w14:paraId="0887B2FE">
            <w:pPr>
              <w:spacing w:before="120" w:after="120" w:line="288" w:lineRule="auto"/>
              <w:ind w:left="0"/>
              <w:jc w:val="left"/>
              <w:rPr>
                <w:rFonts w:hint="default" w:eastAsia="宋体"/>
                <w:lang w:val="en-US" w:eastAsia="zh-CN"/>
              </w:rPr>
            </w:pPr>
            <w:r>
              <w:rPr>
                <w:rFonts w:hint="eastAsia" w:eastAsia="等线" w:cs="Arial"/>
                <w:sz w:val="22"/>
                <w:lang w:val="en-US" w:eastAsia="zh-CN"/>
              </w:rPr>
              <w:t>运维部经理</w:t>
            </w:r>
          </w:p>
        </w:tc>
        <w:tc>
          <w:tcPr>
            <w:tcW w:w="1416" w:type="dxa"/>
            <w:tcMar>
              <w:top w:w="60" w:type="dxa"/>
              <w:left w:w="120" w:type="dxa"/>
              <w:bottom w:w="30" w:type="dxa"/>
              <w:right w:w="120" w:type="dxa"/>
            </w:tcMar>
          </w:tcPr>
          <w:p w14:paraId="2E0EF9C8">
            <w:pPr>
              <w:spacing w:before="120" w:after="120" w:line="288" w:lineRule="auto"/>
              <w:ind w:left="0"/>
              <w:jc w:val="left"/>
            </w:pPr>
            <w:r>
              <w:rPr>
                <w:rFonts w:ascii="Arial" w:hAnsi="Arial" w:eastAsia="等线" w:cs="Arial"/>
                <w:sz w:val="22"/>
              </w:rPr>
              <w:t>服务数据管理的审核与决策</w:t>
            </w:r>
          </w:p>
        </w:tc>
        <w:tc>
          <w:tcPr>
            <w:tcW w:w="3701" w:type="dxa"/>
            <w:tcMar>
              <w:top w:w="60" w:type="dxa"/>
              <w:left w:w="120" w:type="dxa"/>
              <w:bottom w:w="30" w:type="dxa"/>
              <w:right w:w="120" w:type="dxa"/>
            </w:tcMar>
          </w:tcPr>
          <w:p w14:paraId="73B09862">
            <w:pPr>
              <w:numPr>
                <w:ilvl w:val="0"/>
                <w:numId w:val="4"/>
              </w:numPr>
              <w:spacing w:before="120" w:after="120" w:line="288" w:lineRule="auto"/>
              <w:ind w:left="0"/>
              <w:jc w:val="left"/>
              <w:rPr>
                <w:rFonts w:ascii="Arial" w:hAnsi="Arial" w:eastAsia="等线" w:cs="Arial"/>
                <w:sz w:val="22"/>
              </w:rPr>
            </w:pPr>
            <w:r>
              <w:rPr>
                <w:rFonts w:ascii="Arial" w:hAnsi="Arial" w:eastAsia="等线" w:cs="Arial"/>
                <w:sz w:val="22"/>
              </w:rPr>
              <w:t>审核服务数据分类分级标准及管理规范；</w:t>
            </w:r>
          </w:p>
          <w:p w14:paraId="049907B7">
            <w:pPr>
              <w:numPr>
                <w:ilvl w:val="0"/>
                <w:numId w:val="4"/>
              </w:numPr>
              <w:spacing w:before="120" w:after="120" w:line="288" w:lineRule="auto"/>
              <w:ind w:left="0"/>
              <w:jc w:val="left"/>
            </w:pPr>
            <w:r>
              <w:rPr>
                <w:rFonts w:ascii="Arial" w:hAnsi="Arial" w:eastAsia="等线" w:cs="Arial"/>
                <w:sz w:val="22"/>
              </w:rPr>
              <w:t>审批数据采集、使用、销毁等重要操作申请；</w:t>
            </w:r>
          </w:p>
          <w:p w14:paraId="34158927">
            <w:pPr>
              <w:numPr>
                <w:ilvl w:val="0"/>
                <w:numId w:val="4"/>
              </w:numPr>
              <w:spacing w:before="120" w:after="120" w:line="288" w:lineRule="auto"/>
              <w:ind w:left="0"/>
              <w:jc w:val="left"/>
            </w:pPr>
            <w:r>
              <w:rPr>
                <w:rFonts w:ascii="Arial" w:hAnsi="Arial" w:eastAsia="等线" w:cs="Arial"/>
                <w:sz w:val="22"/>
              </w:rPr>
              <w:t>监督数据管理流程的执行情况，确保合规性；</w:t>
            </w:r>
          </w:p>
          <w:p w14:paraId="3A48E4B2">
            <w:pPr>
              <w:numPr>
                <w:ilvl w:val="0"/>
                <w:numId w:val="4"/>
              </w:numPr>
              <w:spacing w:before="120" w:after="120" w:line="288" w:lineRule="auto"/>
              <w:ind w:left="0"/>
              <w:jc w:val="left"/>
            </w:pPr>
            <w:r>
              <w:rPr>
                <w:rFonts w:ascii="Arial" w:hAnsi="Arial" w:eastAsia="等线" w:cs="Arial"/>
                <w:sz w:val="22"/>
              </w:rPr>
              <w:t>协调解决数据管理中的重大问题及跨部门争议。</w:t>
            </w:r>
          </w:p>
        </w:tc>
      </w:tr>
      <w:tr w14:paraId="1FE9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090ACF67">
            <w:pPr>
              <w:spacing w:before="120" w:after="120" w:line="288" w:lineRule="auto"/>
              <w:ind w:left="0"/>
              <w:jc w:val="left"/>
            </w:pPr>
            <w:r>
              <w:rPr>
                <w:rFonts w:ascii="Arial" w:hAnsi="Arial" w:eastAsia="等线" w:cs="Arial"/>
                <w:sz w:val="22"/>
              </w:rPr>
              <w:t>数据采集人</w:t>
            </w:r>
          </w:p>
        </w:tc>
        <w:tc>
          <w:tcPr>
            <w:tcW w:w="1716" w:type="dxa"/>
            <w:tcMar>
              <w:top w:w="60" w:type="dxa"/>
              <w:left w:w="120" w:type="dxa"/>
              <w:bottom w:w="30" w:type="dxa"/>
              <w:right w:w="120" w:type="dxa"/>
            </w:tcMar>
          </w:tcPr>
          <w:p w14:paraId="121F1A9C">
            <w:pPr>
              <w:spacing w:before="120" w:after="120" w:line="288" w:lineRule="auto"/>
              <w:ind w:left="0"/>
              <w:jc w:val="left"/>
            </w:pPr>
            <w:r>
              <w:rPr>
                <w:rFonts w:ascii="Arial" w:hAnsi="Arial" w:eastAsia="等线" w:cs="Arial"/>
                <w:sz w:val="22"/>
              </w:rPr>
              <w:t>各</w:t>
            </w:r>
            <w:r>
              <w:rPr>
                <w:rFonts w:hint="eastAsia" w:eastAsia="等线" w:cs="Arial"/>
                <w:sz w:val="22"/>
                <w:lang w:val="en-US" w:eastAsia="zh-CN"/>
              </w:rPr>
              <w:t>运维相关</w:t>
            </w:r>
            <w:r>
              <w:rPr>
                <w:rFonts w:ascii="Arial" w:hAnsi="Arial" w:eastAsia="等线" w:cs="Arial"/>
                <w:sz w:val="22"/>
              </w:rPr>
              <w:t>部门指定人员</w:t>
            </w:r>
          </w:p>
        </w:tc>
        <w:tc>
          <w:tcPr>
            <w:tcW w:w="1416" w:type="dxa"/>
            <w:tcMar>
              <w:top w:w="60" w:type="dxa"/>
              <w:left w:w="120" w:type="dxa"/>
              <w:bottom w:w="30" w:type="dxa"/>
              <w:right w:w="120" w:type="dxa"/>
            </w:tcMar>
          </w:tcPr>
          <w:p w14:paraId="41D4E738">
            <w:pPr>
              <w:spacing w:before="120" w:after="120" w:line="288" w:lineRule="auto"/>
              <w:ind w:left="0"/>
              <w:jc w:val="left"/>
            </w:pPr>
            <w:r>
              <w:rPr>
                <w:rFonts w:ascii="Arial" w:hAnsi="Arial" w:eastAsia="等线" w:cs="Arial"/>
                <w:sz w:val="22"/>
              </w:rPr>
              <w:t>服务数据的规范采集与提交</w:t>
            </w:r>
          </w:p>
        </w:tc>
        <w:tc>
          <w:tcPr>
            <w:tcW w:w="3701" w:type="dxa"/>
            <w:tcMar>
              <w:top w:w="60" w:type="dxa"/>
              <w:left w:w="120" w:type="dxa"/>
              <w:bottom w:w="30" w:type="dxa"/>
              <w:right w:w="120" w:type="dxa"/>
            </w:tcMar>
          </w:tcPr>
          <w:p w14:paraId="53075FF2">
            <w:pPr>
              <w:numPr>
                <w:ilvl w:val="0"/>
                <w:numId w:val="5"/>
              </w:numPr>
              <w:spacing w:before="120" w:after="120" w:line="288" w:lineRule="auto"/>
              <w:ind w:left="0"/>
              <w:jc w:val="left"/>
              <w:rPr>
                <w:rFonts w:ascii="Arial" w:hAnsi="Arial" w:eastAsia="等线" w:cs="Arial"/>
                <w:sz w:val="22"/>
              </w:rPr>
            </w:pPr>
            <w:r>
              <w:rPr>
                <w:rFonts w:ascii="Arial" w:hAnsi="Arial" w:eastAsia="等线" w:cs="Arial"/>
                <w:sz w:val="22"/>
              </w:rPr>
              <w:t>按照数据采集标准收集本部门相关服务数据，确保数据真实、完整；</w:t>
            </w:r>
          </w:p>
          <w:p w14:paraId="088B3264">
            <w:pPr>
              <w:numPr>
                <w:ilvl w:val="0"/>
                <w:numId w:val="5"/>
              </w:numPr>
              <w:spacing w:before="120" w:after="120" w:line="288" w:lineRule="auto"/>
              <w:ind w:left="0"/>
              <w:jc w:val="left"/>
              <w:rPr>
                <w:rFonts w:ascii="Arial" w:hAnsi="Arial" w:eastAsia="等线" w:cs="Arial"/>
                <w:sz w:val="22"/>
              </w:rPr>
            </w:pPr>
            <w:r>
              <w:rPr>
                <w:rFonts w:ascii="Arial" w:hAnsi="Arial" w:eastAsia="等线" w:cs="Arial"/>
                <w:sz w:val="22"/>
              </w:rPr>
              <w:t>及时提交采集数据至数据管理平台，标注数据类别及级别；</w:t>
            </w:r>
          </w:p>
          <w:p w14:paraId="7020876F">
            <w:pPr>
              <w:numPr>
                <w:ilvl w:val="0"/>
                <w:numId w:val="5"/>
              </w:numPr>
              <w:spacing w:before="120" w:after="120" w:line="288" w:lineRule="auto"/>
              <w:ind w:left="0"/>
              <w:jc w:val="left"/>
            </w:pPr>
            <w:r>
              <w:rPr>
                <w:rFonts w:ascii="Arial" w:hAnsi="Arial" w:eastAsia="等线" w:cs="Arial"/>
                <w:sz w:val="22"/>
              </w:rPr>
              <w:t>配合数据管理员进行数据质量校验，修改完善不合格数据。</w:t>
            </w:r>
          </w:p>
        </w:tc>
      </w:tr>
      <w:tr w14:paraId="2A23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5EB3B755">
            <w:pPr>
              <w:spacing w:before="120" w:after="120" w:line="288" w:lineRule="auto"/>
              <w:ind w:left="0"/>
              <w:jc w:val="left"/>
            </w:pPr>
            <w:r>
              <w:rPr>
                <w:rFonts w:ascii="Arial" w:hAnsi="Arial" w:eastAsia="等线" w:cs="Arial"/>
                <w:sz w:val="22"/>
              </w:rPr>
              <w:t>数据使用人</w:t>
            </w:r>
          </w:p>
        </w:tc>
        <w:tc>
          <w:tcPr>
            <w:tcW w:w="1716" w:type="dxa"/>
            <w:tcMar>
              <w:top w:w="60" w:type="dxa"/>
              <w:left w:w="120" w:type="dxa"/>
              <w:bottom w:w="30" w:type="dxa"/>
              <w:right w:w="120" w:type="dxa"/>
            </w:tcMar>
          </w:tcPr>
          <w:p w14:paraId="1DFDDAE6">
            <w:pPr>
              <w:spacing w:before="120" w:after="120" w:line="288" w:lineRule="auto"/>
              <w:ind w:left="0"/>
              <w:jc w:val="left"/>
            </w:pPr>
            <w:r>
              <w:rPr>
                <w:rFonts w:ascii="Arial" w:hAnsi="Arial" w:eastAsia="等线" w:cs="Arial"/>
                <w:sz w:val="22"/>
              </w:rPr>
              <w:t>各</w:t>
            </w:r>
            <w:r>
              <w:rPr>
                <w:rFonts w:hint="eastAsia" w:eastAsia="等线" w:cs="Arial"/>
                <w:sz w:val="22"/>
                <w:lang w:val="en-US" w:eastAsia="zh-CN"/>
              </w:rPr>
              <w:t>运维相关</w:t>
            </w:r>
            <w:r>
              <w:rPr>
                <w:rFonts w:ascii="Arial" w:hAnsi="Arial" w:eastAsia="等线" w:cs="Arial"/>
                <w:sz w:val="22"/>
              </w:rPr>
              <w:t>部门指定人员</w:t>
            </w:r>
          </w:p>
        </w:tc>
        <w:tc>
          <w:tcPr>
            <w:tcW w:w="1416" w:type="dxa"/>
            <w:tcMar>
              <w:top w:w="60" w:type="dxa"/>
              <w:left w:w="120" w:type="dxa"/>
              <w:bottom w:w="30" w:type="dxa"/>
              <w:right w:w="120" w:type="dxa"/>
            </w:tcMar>
          </w:tcPr>
          <w:p w14:paraId="78208D59">
            <w:pPr>
              <w:spacing w:before="120" w:after="120" w:line="288" w:lineRule="auto"/>
              <w:ind w:left="0"/>
              <w:jc w:val="left"/>
            </w:pPr>
            <w:r>
              <w:rPr>
                <w:rFonts w:ascii="Arial" w:hAnsi="Arial" w:eastAsia="等线" w:cs="Arial"/>
                <w:sz w:val="22"/>
              </w:rPr>
              <w:t>服务数据的合规使用与反馈</w:t>
            </w:r>
          </w:p>
        </w:tc>
        <w:tc>
          <w:tcPr>
            <w:tcW w:w="3701" w:type="dxa"/>
            <w:tcMar>
              <w:top w:w="60" w:type="dxa"/>
              <w:left w:w="120" w:type="dxa"/>
              <w:bottom w:w="30" w:type="dxa"/>
              <w:right w:w="120" w:type="dxa"/>
            </w:tcMar>
          </w:tcPr>
          <w:p w14:paraId="7AC90938">
            <w:pPr>
              <w:numPr>
                <w:ilvl w:val="0"/>
                <w:numId w:val="6"/>
              </w:numPr>
              <w:spacing w:before="120" w:after="120" w:line="288" w:lineRule="auto"/>
              <w:ind w:left="0"/>
              <w:jc w:val="left"/>
              <w:rPr>
                <w:rFonts w:ascii="Arial" w:hAnsi="Arial" w:eastAsia="等线" w:cs="Arial"/>
                <w:sz w:val="22"/>
              </w:rPr>
            </w:pPr>
            <w:r>
              <w:rPr>
                <w:rFonts w:ascii="Arial" w:hAnsi="Arial" w:eastAsia="等线" w:cs="Arial"/>
                <w:sz w:val="22"/>
              </w:rPr>
              <w:t>在授权范围内使用服务数据，不得擅自扩大使用范围或泄露数据；</w:t>
            </w:r>
          </w:p>
          <w:p w14:paraId="25E8143A">
            <w:pPr>
              <w:numPr>
                <w:ilvl w:val="0"/>
                <w:numId w:val="6"/>
              </w:numPr>
              <w:spacing w:before="120" w:after="120" w:line="288" w:lineRule="auto"/>
              <w:ind w:left="0"/>
              <w:jc w:val="left"/>
            </w:pPr>
            <w:r>
              <w:rPr>
                <w:rFonts w:ascii="Arial" w:hAnsi="Arial" w:eastAsia="等线" w:cs="Arial"/>
                <w:sz w:val="22"/>
              </w:rPr>
              <w:t xml:space="preserve"> 按照规定流程申请敏感数据的使用权限，使用后及时归档或销毁相关数据副本；</w:t>
            </w:r>
          </w:p>
          <w:p w14:paraId="5BAEB6AB">
            <w:pPr>
              <w:numPr>
                <w:ilvl w:val="0"/>
                <w:numId w:val="6"/>
              </w:numPr>
              <w:spacing w:before="120" w:after="120" w:line="288" w:lineRule="auto"/>
              <w:ind w:left="0"/>
              <w:jc w:val="left"/>
            </w:pPr>
            <w:r>
              <w:rPr>
                <w:rFonts w:ascii="Arial" w:hAnsi="Arial" w:eastAsia="等线" w:cs="Arial"/>
                <w:sz w:val="22"/>
              </w:rPr>
              <w:t>发现数据质量问题或安全隐患时，及时向数据管理员反馈。</w:t>
            </w:r>
          </w:p>
        </w:tc>
      </w:tr>
      <w:tr w14:paraId="2861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1D9F4526">
            <w:pPr>
              <w:spacing w:before="120" w:after="120" w:line="288" w:lineRule="auto"/>
              <w:ind w:left="0"/>
              <w:jc w:val="left"/>
            </w:pPr>
            <w:r>
              <w:rPr>
                <w:rFonts w:ascii="Arial" w:hAnsi="Arial" w:eastAsia="等线" w:cs="Arial"/>
                <w:sz w:val="22"/>
              </w:rPr>
              <w:t>安全负责人</w:t>
            </w:r>
          </w:p>
        </w:tc>
        <w:tc>
          <w:tcPr>
            <w:tcW w:w="1716" w:type="dxa"/>
            <w:tcMar>
              <w:top w:w="60" w:type="dxa"/>
              <w:left w:w="120" w:type="dxa"/>
              <w:bottom w:w="30" w:type="dxa"/>
              <w:right w:w="120" w:type="dxa"/>
            </w:tcMar>
          </w:tcPr>
          <w:p w14:paraId="6DC2DEB9">
            <w:pPr>
              <w:spacing w:before="120" w:after="120" w:line="288" w:lineRule="auto"/>
              <w:ind w:left="0"/>
              <w:jc w:val="left"/>
              <w:rPr>
                <w:rFonts w:hint="eastAsia" w:eastAsia="宋体"/>
                <w:lang w:eastAsia="zh-CN"/>
              </w:rPr>
            </w:pPr>
            <w:r>
              <w:rPr>
                <w:rFonts w:hint="eastAsia" w:eastAsia="等线" w:cs="Arial"/>
                <w:sz w:val="22"/>
                <w:lang w:val="en-US" w:eastAsia="zh-CN"/>
              </w:rPr>
              <w:t>运维部</w:t>
            </w:r>
          </w:p>
        </w:tc>
        <w:tc>
          <w:tcPr>
            <w:tcW w:w="1416" w:type="dxa"/>
            <w:tcMar>
              <w:top w:w="60" w:type="dxa"/>
              <w:left w:w="120" w:type="dxa"/>
              <w:bottom w:w="30" w:type="dxa"/>
              <w:right w:w="120" w:type="dxa"/>
            </w:tcMar>
          </w:tcPr>
          <w:p w14:paraId="649E4F83">
            <w:pPr>
              <w:spacing w:before="120" w:after="120" w:line="288" w:lineRule="auto"/>
              <w:ind w:left="0"/>
              <w:jc w:val="left"/>
            </w:pPr>
            <w:r>
              <w:rPr>
                <w:rFonts w:ascii="Arial" w:hAnsi="Arial" w:eastAsia="等线" w:cs="Arial"/>
                <w:sz w:val="22"/>
              </w:rPr>
              <w:t>服务数据的安全与保密管控</w:t>
            </w:r>
          </w:p>
        </w:tc>
        <w:tc>
          <w:tcPr>
            <w:tcW w:w="3701" w:type="dxa"/>
            <w:tcMar>
              <w:top w:w="60" w:type="dxa"/>
              <w:left w:w="120" w:type="dxa"/>
              <w:bottom w:w="30" w:type="dxa"/>
              <w:right w:w="120" w:type="dxa"/>
            </w:tcMar>
          </w:tcPr>
          <w:p w14:paraId="1DA658F7">
            <w:pPr>
              <w:numPr>
                <w:ilvl w:val="0"/>
                <w:numId w:val="7"/>
              </w:numPr>
              <w:spacing w:before="120" w:after="120" w:line="288" w:lineRule="auto"/>
              <w:ind w:left="0"/>
              <w:jc w:val="left"/>
              <w:rPr>
                <w:rFonts w:ascii="Arial" w:hAnsi="Arial" w:eastAsia="等线" w:cs="Arial"/>
                <w:sz w:val="22"/>
              </w:rPr>
            </w:pPr>
            <w:r>
              <w:rPr>
                <w:rFonts w:ascii="Arial" w:hAnsi="Arial" w:eastAsia="等线" w:cs="Arial"/>
                <w:sz w:val="22"/>
              </w:rPr>
              <w:t>制定数据安全防护策略及应急处置预案；</w:t>
            </w:r>
          </w:p>
          <w:p w14:paraId="6E55B634">
            <w:pPr>
              <w:numPr>
                <w:ilvl w:val="0"/>
                <w:numId w:val="7"/>
              </w:numPr>
              <w:spacing w:before="120" w:after="120" w:line="288" w:lineRule="auto"/>
              <w:ind w:left="0"/>
              <w:jc w:val="left"/>
            </w:pPr>
            <w:r>
              <w:rPr>
                <w:rFonts w:ascii="Arial" w:hAnsi="Arial" w:eastAsia="等线" w:cs="Arial"/>
                <w:sz w:val="22"/>
              </w:rPr>
              <w:t>实施数据加密、访问控制等安全措施，定期开展安全检查；</w:t>
            </w:r>
          </w:p>
          <w:p w14:paraId="4326405F">
            <w:pPr>
              <w:numPr>
                <w:ilvl w:val="0"/>
                <w:numId w:val="7"/>
              </w:numPr>
              <w:spacing w:before="120" w:after="120" w:line="288" w:lineRule="auto"/>
              <w:ind w:left="0"/>
              <w:jc w:val="left"/>
            </w:pPr>
            <w:r>
              <w:rPr>
                <w:rFonts w:ascii="Arial" w:hAnsi="Arial" w:eastAsia="等线" w:cs="Arial"/>
                <w:sz w:val="22"/>
              </w:rPr>
              <w:t>调查处理数据安全事件，追溯责任并提出整改建议；</w:t>
            </w:r>
          </w:p>
          <w:p w14:paraId="5F75E18A">
            <w:pPr>
              <w:numPr>
                <w:ilvl w:val="0"/>
                <w:numId w:val="7"/>
              </w:numPr>
              <w:spacing w:before="120" w:after="120" w:line="288" w:lineRule="auto"/>
              <w:ind w:left="0"/>
              <w:jc w:val="left"/>
            </w:pPr>
            <w:r>
              <w:rPr>
                <w:rFonts w:ascii="Arial" w:hAnsi="Arial" w:eastAsia="等线" w:cs="Arial"/>
                <w:sz w:val="22"/>
              </w:rPr>
              <w:t>组织数据安全培训，提升员工安全意识。</w:t>
            </w:r>
          </w:p>
        </w:tc>
      </w:tr>
      <w:tr w14:paraId="4080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7" w:type="dxa"/>
            <w:tcMar>
              <w:top w:w="60" w:type="dxa"/>
              <w:left w:w="120" w:type="dxa"/>
              <w:bottom w:w="30" w:type="dxa"/>
              <w:right w:w="120" w:type="dxa"/>
            </w:tcMar>
          </w:tcPr>
          <w:p w14:paraId="5FE058C0">
            <w:pPr>
              <w:spacing w:before="120" w:after="120" w:line="288" w:lineRule="auto"/>
              <w:ind w:left="0"/>
              <w:jc w:val="left"/>
            </w:pPr>
            <w:r>
              <w:rPr>
                <w:rFonts w:ascii="Arial" w:hAnsi="Arial" w:eastAsia="等线" w:cs="Arial"/>
                <w:sz w:val="22"/>
              </w:rPr>
              <w:t>审计监督人</w:t>
            </w:r>
          </w:p>
        </w:tc>
        <w:tc>
          <w:tcPr>
            <w:tcW w:w="1716" w:type="dxa"/>
            <w:tcMar>
              <w:top w:w="60" w:type="dxa"/>
              <w:left w:w="120" w:type="dxa"/>
              <w:bottom w:w="30" w:type="dxa"/>
              <w:right w:w="120" w:type="dxa"/>
            </w:tcMar>
          </w:tcPr>
          <w:p w14:paraId="4999104C">
            <w:pPr>
              <w:spacing w:before="120" w:after="120" w:line="288" w:lineRule="auto"/>
              <w:ind w:left="0"/>
              <w:jc w:val="left"/>
              <w:rPr>
                <w:rFonts w:hint="eastAsia" w:eastAsia="宋体"/>
                <w:lang w:eastAsia="zh-CN"/>
              </w:rPr>
            </w:pPr>
            <w:r>
              <w:rPr>
                <w:rFonts w:hint="eastAsia" w:eastAsia="等线" w:cs="Arial"/>
                <w:sz w:val="22"/>
                <w:lang w:val="en-US" w:eastAsia="zh-CN"/>
              </w:rPr>
              <w:t>质量部</w:t>
            </w:r>
          </w:p>
        </w:tc>
        <w:tc>
          <w:tcPr>
            <w:tcW w:w="1416" w:type="dxa"/>
            <w:tcMar>
              <w:top w:w="60" w:type="dxa"/>
              <w:left w:w="120" w:type="dxa"/>
              <w:bottom w:w="30" w:type="dxa"/>
              <w:right w:w="120" w:type="dxa"/>
            </w:tcMar>
          </w:tcPr>
          <w:p w14:paraId="5641CF8C">
            <w:pPr>
              <w:spacing w:before="120" w:after="120" w:line="288" w:lineRule="auto"/>
              <w:ind w:left="0"/>
              <w:jc w:val="left"/>
            </w:pPr>
            <w:r>
              <w:rPr>
                <w:rFonts w:ascii="Arial" w:hAnsi="Arial" w:eastAsia="等线" w:cs="Arial"/>
                <w:sz w:val="22"/>
              </w:rPr>
              <w:t>服务数据管理的审计与监督</w:t>
            </w:r>
          </w:p>
        </w:tc>
        <w:tc>
          <w:tcPr>
            <w:tcW w:w="3701" w:type="dxa"/>
            <w:tcMar>
              <w:top w:w="60" w:type="dxa"/>
              <w:left w:w="120" w:type="dxa"/>
              <w:bottom w:w="30" w:type="dxa"/>
              <w:right w:w="120" w:type="dxa"/>
            </w:tcMar>
          </w:tcPr>
          <w:p w14:paraId="07B45C07">
            <w:pPr>
              <w:numPr>
                <w:ilvl w:val="0"/>
                <w:numId w:val="8"/>
              </w:numPr>
              <w:spacing w:before="120" w:after="120" w:line="288" w:lineRule="auto"/>
              <w:ind w:left="0"/>
              <w:jc w:val="left"/>
              <w:rPr>
                <w:rFonts w:ascii="Arial" w:hAnsi="Arial" w:eastAsia="等线" w:cs="Arial"/>
                <w:sz w:val="22"/>
              </w:rPr>
            </w:pPr>
            <w:r>
              <w:rPr>
                <w:rFonts w:ascii="Arial" w:hAnsi="Arial" w:eastAsia="等线" w:cs="Arial"/>
                <w:sz w:val="22"/>
              </w:rPr>
              <w:t>定期对数据管理流程执行情况、数据质量及安全合规性进行审计；</w:t>
            </w:r>
          </w:p>
          <w:p w14:paraId="0DE7184C">
            <w:pPr>
              <w:numPr>
                <w:ilvl w:val="0"/>
                <w:numId w:val="8"/>
              </w:numPr>
              <w:spacing w:before="120" w:after="120" w:line="288" w:lineRule="auto"/>
              <w:ind w:left="0"/>
              <w:jc w:val="left"/>
            </w:pPr>
            <w:r>
              <w:rPr>
                <w:rFonts w:ascii="Arial" w:hAnsi="Arial" w:eastAsia="等线" w:cs="Arial"/>
                <w:sz w:val="22"/>
              </w:rPr>
              <w:t>核查数据台账与实际数据的一致性，评估数据管理成效；</w:t>
            </w:r>
          </w:p>
          <w:p w14:paraId="7AE54451">
            <w:pPr>
              <w:numPr>
                <w:ilvl w:val="0"/>
                <w:numId w:val="8"/>
              </w:numPr>
              <w:spacing w:before="120" w:after="120" w:line="288" w:lineRule="auto"/>
              <w:ind w:left="0"/>
              <w:jc w:val="left"/>
            </w:pPr>
            <w:r>
              <w:rPr>
                <w:rFonts w:ascii="Arial" w:hAnsi="Arial" w:eastAsia="等线" w:cs="Arial"/>
                <w:sz w:val="22"/>
              </w:rPr>
              <w:t xml:space="preserve"> 针对审计发现的问题，督促相关部门限期整改，形成审计报告。</w:t>
            </w:r>
          </w:p>
        </w:tc>
      </w:tr>
    </w:tbl>
    <w:p w14:paraId="0CD5F64B">
      <w:pPr>
        <w:pStyle w:val="29"/>
        <w:bidi w:val="0"/>
      </w:pPr>
      <w:bookmarkStart w:id="12" w:name="heading_6"/>
      <w:bookmarkStart w:id="13" w:name="_Toc30138"/>
      <w:r>
        <w:t>服务数据分类与分级</w:t>
      </w:r>
      <w:bookmarkEnd w:id="12"/>
      <w:bookmarkEnd w:id="13"/>
    </w:p>
    <w:p w14:paraId="660C52B0">
      <w:pPr>
        <w:pStyle w:val="31"/>
        <w:bidi w:val="0"/>
      </w:pPr>
      <w:bookmarkStart w:id="14" w:name="_Toc14636"/>
      <w:bookmarkStart w:id="15" w:name="heading_7"/>
      <w:r>
        <w:t>数据分类</w:t>
      </w:r>
      <w:bookmarkEnd w:id="14"/>
      <w:bookmarkEnd w:id="15"/>
    </w:p>
    <w:p w14:paraId="7B8BEFE0">
      <w:pPr>
        <w:pStyle w:val="30"/>
        <w:bidi w:val="0"/>
      </w:pPr>
      <w:r>
        <w:t>为实现服务数据的精准管理，根据数据来源及用途，将服务数据划分为以下类别，各类数据需在管理平台中明确标识：</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63"/>
        <w:gridCol w:w="3857"/>
        <w:gridCol w:w="2760"/>
      </w:tblGrid>
      <w:tr w14:paraId="7A44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4C21468C">
            <w:pPr>
              <w:spacing w:before="120" w:after="120" w:line="288" w:lineRule="auto"/>
              <w:ind w:left="0"/>
              <w:jc w:val="left"/>
            </w:pPr>
            <w:r>
              <w:rPr>
                <w:rFonts w:ascii="Arial" w:hAnsi="Arial" w:eastAsia="等线" w:cs="Arial"/>
                <w:sz w:val="22"/>
              </w:rPr>
              <w:t>数据类别</w:t>
            </w:r>
          </w:p>
        </w:tc>
        <w:tc>
          <w:tcPr>
            <w:tcW w:w="3857" w:type="dxa"/>
            <w:tcMar>
              <w:top w:w="60" w:type="dxa"/>
              <w:left w:w="120" w:type="dxa"/>
              <w:bottom w:w="30" w:type="dxa"/>
              <w:right w:w="120" w:type="dxa"/>
            </w:tcMar>
          </w:tcPr>
          <w:p w14:paraId="12A4CEB7">
            <w:pPr>
              <w:spacing w:before="120" w:after="120" w:line="288" w:lineRule="auto"/>
              <w:ind w:left="0"/>
              <w:jc w:val="left"/>
            </w:pPr>
            <w:r>
              <w:rPr>
                <w:rFonts w:ascii="Arial" w:hAnsi="Arial" w:eastAsia="等线" w:cs="Arial"/>
                <w:sz w:val="22"/>
              </w:rPr>
              <w:t>涵盖范围</w:t>
            </w:r>
          </w:p>
        </w:tc>
        <w:tc>
          <w:tcPr>
            <w:tcW w:w="2760" w:type="dxa"/>
            <w:tcMar>
              <w:top w:w="60" w:type="dxa"/>
              <w:left w:w="120" w:type="dxa"/>
              <w:bottom w:w="30" w:type="dxa"/>
              <w:right w:w="120" w:type="dxa"/>
            </w:tcMar>
          </w:tcPr>
          <w:p w14:paraId="6240C715">
            <w:pPr>
              <w:spacing w:before="120" w:after="120" w:line="288" w:lineRule="auto"/>
              <w:ind w:left="0"/>
              <w:jc w:val="left"/>
            </w:pPr>
            <w:r>
              <w:rPr>
                <w:rFonts w:ascii="Arial" w:hAnsi="Arial" w:eastAsia="等线" w:cs="Arial"/>
                <w:sz w:val="22"/>
              </w:rPr>
              <w:t>管理责任部门</w:t>
            </w:r>
          </w:p>
        </w:tc>
      </w:tr>
      <w:tr w14:paraId="5967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1FBEEC5F">
            <w:pPr>
              <w:spacing w:before="120" w:after="120" w:line="288" w:lineRule="auto"/>
              <w:ind w:left="0"/>
              <w:jc w:val="left"/>
            </w:pPr>
            <w:r>
              <w:rPr>
                <w:rFonts w:ascii="Arial" w:hAnsi="Arial" w:eastAsia="等线" w:cs="Arial"/>
                <w:sz w:val="22"/>
              </w:rPr>
              <w:t>运维服务数据</w:t>
            </w:r>
          </w:p>
        </w:tc>
        <w:tc>
          <w:tcPr>
            <w:tcW w:w="3857" w:type="dxa"/>
            <w:tcMar>
              <w:top w:w="60" w:type="dxa"/>
              <w:left w:w="120" w:type="dxa"/>
              <w:bottom w:w="30" w:type="dxa"/>
              <w:right w:w="120" w:type="dxa"/>
            </w:tcMar>
          </w:tcPr>
          <w:p w14:paraId="3F6A4103">
            <w:pPr>
              <w:spacing w:before="120" w:after="120" w:line="288" w:lineRule="auto"/>
              <w:ind w:left="0"/>
              <w:jc w:val="left"/>
            </w:pPr>
            <w:r>
              <w:rPr>
                <w:rFonts w:ascii="Arial" w:hAnsi="Arial" w:eastAsia="等线" w:cs="Arial"/>
                <w:sz w:val="22"/>
              </w:rPr>
              <w:t>故障记录、事件处理日志、巡检报告、变更请求、配置项变更记录、性能监控数据等</w:t>
            </w:r>
          </w:p>
        </w:tc>
        <w:tc>
          <w:tcPr>
            <w:tcW w:w="2760" w:type="dxa"/>
            <w:tcMar>
              <w:top w:w="60" w:type="dxa"/>
              <w:left w:w="120" w:type="dxa"/>
              <w:bottom w:w="30" w:type="dxa"/>
              <w:right w:w="120" w:type="dxa"/>
            </w:tcMar>
          </w:tcPr>
          <w:p w14:paraId="4BF3C893">
            <w:pPr>
              <w:spacing w:before="120" w:after="120" w:line="288" w:lineRule="auto"/>
              <w:ind w:left="0"/>
              <w:jc w:val="left"/>
              <w:rPr>
                <w:rFonts w:hint="eastAsia" w:eastAsia="宋体"/>
                <w:lang w:eastAsia="zh-CN"/>
              </w:rPr>
            </w:pPr>
            <w:r>
              <w:rPr>
                <w:rFonts w:hint="eastAsia" w:eastAsia="等线" w:cs="Arial"/>
                <w:sz w:val="22"/>
                <w:lang w:val="en-US" w:eastAsia="zh-CN"/>
              </w:rPr>
              <w:t>运维部</w:t>
            </w:r>
          </w:p>
        </w:tc>
      </w:tr>
      <w:tr w14:paraId="14071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70065524">
            <w:pPr>
              <w:spacing w:before="120" w:after="120" w:line="288" w:lineRule="auto"/>
              <w:ind w:left="0"/>
              <w:jc w:val="left"/>
            </w:pPr>
            <w:r>
              <w:rPr>
                <w:rFonts w:ascii="Arial" w:hAnsi="Arial" w:eastAsia="等线" w:cs="Arial"/>
                <w:sz w:val="22"/>
              </w:rPr>
              <w:t>客户服务数据</w:t>
            </w:r>
          </w:p>
        </w:tc>
        <w:tc>
          <w:tcPr>
            <w:tcW w:w="3857" w:type="dxa"/>
            <w:tcMar>
              <w:top w:w="60" w:type="dxa"/>
              <w:left w:w="120" w:type="dxa"/>
              <w:bottom w:w="30" w:type="dxa"/>
              <w:right w:w="120" w:type="dxa"/>
            </w:tcMar>
          </w:tcPr>
          <w:p w14:paraId="5995A6CA">
            <w:pPr>
              <w:spacing w:before="120" w:after="120" w:line="288" w:lineRule="auto"/>
              <w:ind w:left="0"/>
              <w:jc w:val="left"/>
            </w:pPr>
            <w:r>
              <w:rPr>
                <w:rFonts w:ascii="Arial" w:hAnsi="Arial" w:eastAsia="等线" w:cs="Arial"/>
                <w:sz w:val="22"/>
              </w:rPr>
              <w:t>客户基本信息、服务合同、服务请求、满意度调查结果、投诉处理记录等</w:t>
            </w:r>
          </w:p>
        </w:tc>
        <w:tc>
          <w:tcPr>
            <w:tcW w:w="2760" w:type="dxa"/>
            <w:tcMar>
              <w:top w:w="60" w:type="dxa"/>
              <w:left w:w="120" w:type="dxa"/>
              <w:bottom w:w="30" w:type="dxa"/>
              <w:right w:w="120" w:type="dxa"/>
            </w:tcMar>
          </w:tcPr>
          <w:p w14:paraId="09147E81">
            <w:pPr>
              <w:spacing w:before="120" w:after="120" w:line="288" w:lineRule="auto"/>
              <w:ind w:left="0"/>
              <w:jc w:val="left"/>
              <w:rPr>
                <w:rFonts w:hint="eastAsia" w:eastAsia="宋体"/>
                <w:lang w:eastAsia="zh-CN"/>
              </w:rPr>
            </w:pPr>
            <w:r>
              <w:rPr>
                <w:rFonts w:hint="eastAsia" w:eastAsia="等线" w:cs="Arial"/>
                <w:sz w:val="22"/>
                <w:lang w:val="en-US" w:eastAsia="zh-CN"/>
              </w:rPr>
              <w:t>服务台</w:t>
            </w:r>
          </w:p>
        </w:tc>
      </w:tr>
      <w:tr w14:paraId="37ABF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22F77654">
            <w:pPr>
              <w:spacing w:before="120" w:after="120" w:line="288" w:lineRule="auto"/>
              <w:ind w:left="0"/>
              <w:jc w:val="left"/>
            </w:pPr>
            <w:r>
              <w:rPr>
                <w:rFonts w:ascii="Arial" w:hAnsi="Arial" w:eastAsia="等线" w:cs="Arial"/>
                <w:sz w:val="22"/>
              </w:rPr>
              <w:t>绩效数据</w:t>
            </w:r>
          </w:p>
        </w:tc>
        <w:tc>
          <w:tcPr>
            <w:tcW w:w="3857" w:type="dxa"/>
            <w:tcMar>
              <w:top w:w="60" w:type="dxa"/>
              <w:left w:w="120" w:type="dxa"/>
              <w:bottom w:w="30" w:type="dxa"/>
              <w:right w:w="120" w:type="dxa"/>
            </w:tcMar>
          </w:tcPr>
          <w:p w14:paraId="692487A3">
            <w:pPr>
              <w:spacing w:before="120" w:after="120" w:line="288" w:lineRule="auto"/>
              <w:ind w:left="0"/>
              <w:jc w:val="left"/>
            </w:pPr>
            <w:r>
              <w:rPr>
                <w:rFonts w:ascii="Arial" w:hAnsi="Arial" w:eastAsia="等线" w:cs="Arial"/>
                <w:sz w:val="22"/>
              </w:rPr>
              <w:t>KPI指标完成情况、服务成本数据、人员绩效记录、服务质量评估报告等</w:t>
            </w:r>
          </w:p>
        </w:tc>
        <w:tc>
          <w:tcPr>
            <w:tcW w:w="2760" w:type="dxa"/>
            <w:tcMar>
              <w:top w:w="60" w:type="dxa"/>
              <w:left w:w="120" w:type="dxa"/>
              <w:bottom w:w="30" w:type="dxa"/>
              <w:right w:w="120" w:type="dxa"/>
            </w:tcMar>
          </w:tcPr>
          <w:p w14:paraId="23AF00B0">
            <w:pPr>
              <w:spacing w:before="120" w:after="120" w:line="288" w:lineRule="auto"/>
              <w:ind w:left="0"/>
              <w:jc w:val="left"/>
              <w:rPr>
                <w:rFonts w:hint="eastAsia" w:eastAsia="宋体"/>
                <w:lang w:eastAsia="zh-CN"/>
              </w:rPr>
            </w:pPr>
            <w:r>
              <w:rPr>
                <w:rFonts w:hint="eastAsia" w:eastAsia="等线" w:cs="Arial"/>
                <w:sz w:val="22"/>
                <w:lang w:val="en-US" w:eastAsia="zh-CN"/>
              </w:rPr>
              <w:t>质量部</w:t>
            </w:r>
          </w:p>
        </w:tc>
      </w:tr>
      <w:tr w14:paraId="15B5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0300BA1B">
            <w:pPr>
              <w:spacing w:before="120" w:after="120" w:line="288" w:lineRule="auto"/>
              <w:ind w:left="0"/>
              <w:jc w:val="left"/>
            </w:pPr>
            <w:r>
              <w:rPr>
                <w:rFonts w:ascii="Arial" w:hAnsi="Arial" w:eastAsia="等线" w:cs="Arial"/>
                <w:sz w:val="22"/>
              </w:rPr>
              <w:t>配置管理数据</w:t>
            </w:r>
          </w:p>
        </w:tc>
        <w:tc>
          <w:tcPr>
            <w:tcW w:w="3857" w:type="dxa"/>
            <w:tcMar>
              <w:top w:w="60" w:type="dxa"/>
              <w:left w:w="120" w:type="dxa"/>
              <w:bottom w:w="30" w:type="dxa"/>
              <w:right w:w="120" w:type="dxa"/>
            </w:tcMar>
          </w:tcPr>
          <w:p w14:paraId="0C2A8089">
            <w:pPr>
              <w:spacing w:before="120" w:after="120" w:line="288" w:lineRule="auto"/>
              <w:ind w:left="0"/>
              <w:jc w:val="left"/>
            </w:pPr>
            <w:r>
              <w:rPr>
                <w:rFonts w:ascii="Arial" w:hAnsi="Arial" w:eastAsia="等线" w:cs="Arial"/>
                <w:sz w:val="22"/>
              </w:rPr>
              <w:t>IT基础架构配置项信息、配置项关系、配置基线、配置审计记录等</w:t>
            </w:r>
          </w:p>
        </w:tc>
        <w:tc>
          <w:tcPr>
            <w:tcW w:w="2760" w:type="dxa"/>
            <w:tcMar>
              <w:top w:w="60" w:type="dxa"/>
              <w:left w:w="120" w:type="dxa"/>
              <w:bottom w:w="30" w:type="dxa"/>
              <w:right w:w="120" w:type="dxa"/>
            </w:tcMar>
          </w:tcPr>
          <w:p w14:paraId="416508BE">
            <w:pPr>
              <w:spacing w:before="120" w:after="120" w:line="288" w:lineRule="auto"/>
              <w:ind w:left="0"/>
              <w:jc w:val="left"/>
              <w:rPr>
                <w:rFonts w:hint="eastAsia" w:eastAsia="宋体"/>
                <w:lang w:eastAsia="zh-CN"/>
              </w:rPr>
            </w:pPr>
            <w:r>
              <w:rPr>
                <w:rFonts w:hint="eastAsia" w:eastAsia="等线" w:cs="Arial"/>
                <w:sz w:val="22"/>
                <w:lang w:eastAsia="zh-CN"/>
              </w:rPr>
              <w:t>运维部</w:t>
            </w:r>
          </w:p>
        </w:tc>
      </w:tr>
      <w:tr w14:paraId="79C3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3" w:type="dxa"/>
            <w:tcMar>
              <w:top w:w="60" w:type="dxa"/>
              <w:left w:w="120" w:type="dxa"/>
              <w:bottom w:w="30" w:type="dxa"/>
              <w:right w:w="120" w:type="dxa"/>
            </w:tcMar>
          </w:tcPr>
          <w:p w14:paraId="5935AA25">
            <w:pPr>
              <w:spacing w:before="120" w:after="120" w:line="288" w:lineRule="auto"/>
              <w:ind w:left="0"/>
              <w:jc w:val="left"/>
            </w:pPr>
            <w:r>
              <w:rPr>
                <w:rFonts w:ascii="Arial" w:hAnsi="Arial" w:eastAsia="等线" w:cs="Arial"/>
                <w:sz w:val="22"/>
              </w:rPr>
              <w:t>其他服务数据</w:t>
            </w:r>
          </w:p>
        </w:tc>
        <w:tc>
          <w:tcPr>
            <w:tcW w:w="3857" w:type="dxa"/>
            <w:tcMar>
              <w:top w:w="60" w:type="dxa"/>
              <w:left w:w="120" w:type="dxa"/>
              <w:bottom w:w="30" w:type="dxa"/>
              <w:right w:w="120" w:type="dxa"/>
            </w:tcMar>
          </w:tcPr>
          <w:p w14:paraId="2D7C7898">
            <w:pPr>
              <w:spacing w:before="120" w:after="120" w:line="288" w:lineRule="auto"/>
              <w:ind w:left="0"/>
              <w:jc w:val="left"/>
            </w:pPr>
            <w:r>
              <w:rPr>
                <w:rFonts w:ascii="Arial" w:hAnsi="Arial" w:eastAsia="等线" w:cs="Arial"/>
                <w:sz w:val="22"/>
              </w:rPr>
              <w:t>服务相关的规章制度、培训记录、知识库关联数据等</w:t>
            </w:r>
          </w:p>
        </w:tc>
        <w:tc>
          <w:tcPr>
            <w:tcW w:w="2760" w:type="dxa"/>
            <w:tcMar>
              <w:top w:w="60" w:type="dxa"/>
              <w:left w:w="120" w:type="dxa"/>
              <w:bottom w:w="30" w:type="dxa"/>
              <w:right w:w="120" w:type="dxa"/>
            </w:tcMar>
          </w:tcPr>
          <w:p w14:paraId="5795155E">
            <w:pPr>
              <w:spacing w:before="120" w:after="120" w:line="288" w:lineRule="auto"/>
              <w:ind w:left="0"/>
              <w:jc w:val="left"/>
            </w:pPr>
            <w:r>
              <w:rPr>
                <w:rFonts w:ascii="Arial" w:hAnsi="Arial" w:eastAsia="等线" w:cs="Arial"/>
                <w:sz w:val="22"/>
              </w:rPr>
              <w:t>各相关部门</w:t>
            </w:r>
          </w:p>
        </w:tc>
      </w:tr>
    </w:tbl>
    <w:p w14:paraId="02C380ED">
      <w:pPr>
        <w:pStyle w:val="31"/>
        <w:bidi w:val="0"/>
      </w:pPr>
      <w:bookmarkStart w:id="16" w:name="heading_8"/>
      <w:bookmarkStart w:id="17" w:name="_Toc8452"/>
      <w:r>
        <w:t>数据分级</w:t>
      </w:r>
      <w:bookmarkEnd w:id="16"/>
      <w:bookmarkEnd w:id="17"/>
    </w:p>
    <w:p w14:paraId="3F2E8230">
      <w:pPr>
        <w:pStyle w:val="30"/>
        <w:bidi w:val="0"/>
      </w:pPr>
      <w:r>
        <w:t>根据服务数据的敏感程度及泄露后的影响范围，将其划分为三级，实施分级保护：</w:t>
      </w:r>
    </w:p>
    <w:p w14:paraId="38D18AED">
      <w:pPr>
        <w:pStyle w:val="30"/>
        <w:numPr>
          <w:ilvl w:val="0"/>
          <w:numId w:val="9"/>
        </w:numPr>
        <w:bidi w:val="0"/>
        <w:ind w:left="425" w:leftChars="0" w:hanging="425" w:firstLineChars="0"/>
      </w:pPr>
      <w:r>
        <w:t>一级（公开级）：无敏感信息，可在公司内部公开共享的数据，如服务流程规范、公开的服务案例、非涉密的绩效统计数据等。此类数据仅需进行基本的格式规范管理。</w:t>
      </w:r>
    </w:p>
    <w:p w14:paraId="3E3706FE">
      <w:pPr>
        <w:pStyle w:val="30"/>
        <w:numPr>
          <w:ilvl w:val="0"/>
          <w:numId w:val="9"/>
        </w:numPr>
        <w:bidi w:val="0"/>
        <w:ind w:left="425" w:leftChars="0" w:hanging="425" w:firstLineChars="0"/>
      </w:pPr>
      <w:r>
        <w:t>二级（内部级）：涉及公司内部运营信息，不宜对外公开的数据，如普通运维记录、内部服务请求、非核心绩效数据等。此类数据需进行访问权限控制，仅限授权人员使用。</w:t>
      </w:r>
    </w:p>
    <w:p w14:paraId="6CB3CB13">
      <w:pPr>
        <w:pStyle w:val="30"/>
        <w:numPr>
          <w:ilvl w:val="0"/>
          <w:numId w:val="9"/>
        </w:numPr>
        <w:bidi w:val="0"/>
        <w:ind w:left="425" w:leftChars="0" w:hanging="425" w:firstLineChars="0"/>
      </w:pPr>
      <w:r>
        <w:t>三级（敏感级）：涉及客户隐私、公司核心业务信息及重大利益，泄露后将造成严重影响的数据，如客户身份证号、联系方式、服务合同核心条款、核心配置信息、财务数据等。此类数据需实施加密存储、严格权限管控及使用审计。</w:t>
      </w:r>
    </w:p>
    <w:p w14:paraId="7640AAA2">
      <w:pPr>
        <w:pStyle w:val="30"/>
        <w:numPr>
          <w:ilvl w:val="0"/>
          <w:numId w:val="9"/>
        </w:numPr>
        <w:bidi w:val="0"/>
        <w:ind w:left="425" w:leftChars="0" w:hanging="425" w:firstLineChars="0"/>
      </w:pPr>
      <w:r>
        <w:t>数据分级需由数据采集人初步判定，经部门负责人及数据审核人复核确认后，在数据管理平台中标记存档。数据级别可根据实际情况变化进行调整，调整流程需经</w:t>
      </w:r>
      <w:r>
        <w:rPr>
          <w:rFonts w:hint="eastAsia"/>
          <w:lang w:val="en-US" w:eastAsia="zh-CN"/>
        </w:rPr>
        <w:t>运维部</w:t>
      </w:r>
      <w:r>
        <w:t>批准。</w:t>
      </w:r>
    </w:p>
    <w:p w14:paraId="5A894AC8">
      <w:pPr>
        <w:pStyle w:val="29"/>
        <w:bidi w:val="0"/>
      </w:pPr>
      <w:bookmarkStart w:id="18" w:name="heading_9"/>
      <w:bookmarkStart w:id="19" w:name="_Toc2789"/>
      <w:r>
        <w:t>服务数据全生命周期管理</w:t>
      </w:r>
      <w:bookmarkEnd w:id="18"/>
      <w:bookmarkEnd w:id="19"/>
    </w:p>
    <w:p w14:paraId="5455A08E">
      <w:pPr>
        <w:pStyle w:val="31"/>
        <w:bidi w:val="0"/>
      </w:pPr>
      <w:bookmarkStart w:id="20" w:name="heading_10"/>
      <w:bookmarkStart w:id="21" w:name="_Toc313"/>
      <w:r>
        <w:t>数据采集</w:t>
      </w:r>
      <w:bookmarkEnd w:id="20"/>
      <w:bookmarkEnd w:id="21"/>
    </w:p>
    <w:p w14:paraId="3E190448">
      <w:pPr>
        <w:pStyle w:val="30"/>
        <w:numPr>
          <w:ilvl w:val="0"/>
          <w:numId w:val="10"/>
        </w:numPr>
        <w:bidi w:val="0"/>
        <w:ind w:left="425" w:leftChars="0" w:hanging="425" w:firstLineChars="0"/>
      </w:pPr>
      <w:r>
        <w:t>采集原则：遵循“按需采集、最小必要、真实准确”的原则，仅采集与IT服务管理相关的数据，避免数据冗余；确保采集的数据真实反映实际情况，严禁伪造或篡改数据。</w:t>
      </w:r>
    </w:p>
    <w:p w14:paraId="0843320F">
      <w:pPr>
        <w:pStyle w:val="30"/>
        <w:numPr>
          <w:ilvl w:val="0"/>
          <w:numId w:val="10"/>
        </w:numPr>
        <w:bidi w:val="0"/>
        <w:ind w:left="425" w:leftChars="0" w:hanging="425" w:firstLineChars="0"/>
      </w:pPr>
      <w:r>
        <w:t>采集标准：各数据类别需制定统一的采集标准，明确数据字段、数据格式、计量单位、提交频率及责任主体。例如：故障记录需包含故障发生时间、地点、现象、处理过程、解决结果等字段，提交频率为故障处理完成后2小时内。</w:t>
      </w:r>
    </w:p>
    <w:p w14:paraId="1772D280">
      <w:pPr>
        <w:pStyle w:val="30"/>
        <w:numPr>
          <w:ilvl w:val="0"/>
          <w:numId w:val="10"/>
        </w:numPr>
        <w:bidi w:val="0"/>
        <w:ind w:left="425" w:leftChars="0" w:hanging="425" w:firstLineChars="0"/>
      </w:pPr>
      <w:r>
        <w:t>采集方式：优先采用自动化采集方式（如通过监控工具、服务管理系统自动抓取数据）；确需人工采集的，需通过标准化表单（电子或纸质）提交，确保数据规范。</w:t>
      </w:r>
    </w:p>
    <w:p w14:paraId="7236A1CF">
      <w:pPr>
        <w:pStyle w:val="30"/>
        <w:numPr>
          <w:ilvl w:val="0"/>
          <w:numId w:val="10"/>
        </w:numPr>
        <w:bidi w:val="0"/>
        <w:ind w:left="425" w:leftChars="0" w:hanging="425" w:firstLineChars="0"/>
      </w:pPr>
      <w:r>
        <w:t>采集审核：数据采集人提交数据后，数据管理员需在1个工作日内完成数据质量初步校验，校验不合格的退回采集人修改；敏感级数据需经数据审核人二次审核确认后，方可纳入数据管理平台。</w:t>
      </w:r>
    </w:p>
    <w:p w14:paraId="7F962FB2">
      <w:pPr>
        <w:pStyle w:val="31"/>
        <w:bidi w:val="0"/>
      </w:pPr>
      <w:bookmarkStart w:id="22" w:name="heading_11"/>
      <w:bookmarkStart w:id="23" w:name="_Toc31175"/>
      <w:r>
        <w:t>数据存储</w:t>
      </w:r>
      <w:bookmarkEnd w:id="22"/>
      <w:bookmarkEnd w:id="23"/>
    </w:p>
    <w:p w14:paraId="5C42FB90">
      <w:pPr>
        <w:pStyle w:val="30"/>
        <w:numPr>
          <w:ilvl w:val="0"/>
          <w:numId w:val="0"/>
        </w:numPr>
        <w:bidi w:val="0"/>
      </w:pPr>
      <w:r>
        <w:t>存储载体：服务数据需存储在公司指定的专用服务器、数据仓库或云存储平台中，严禁存储在个人设备或非授权外部存储介质中。存储设备需具备高可用性、高可靠性及安全防护能力。</w:t>
      </w:r>
    </w:p>
    <w:p w14:paraId="5CF00A83">
      <w:pPr>
        <w:pStyle w:val="30"/>
        <w:numPr>
          <w:ilvl w:val="0"/>
          <w:numId w:val="0"/>
        </w:numPr>
        <w:bidi w:val="0"/>
      </w:pPr>
      <w:r>
        <w:t>存储分类：按照数据类别及级别进行分类存储，敏感级数据需单独存储并实施加密处理（加密算法需符合国家相关标准）；不同级别的数据需设置独立的存储区域及访问控制策略。</w:t>
      </w:r>
    </w:p>
    <w:p w14:paraId="24906DB2">
      <w:pPr>
        <w:pStyle w:val="30"/>
        <w:numPr>
          <w:ilvl w:val="0"/>
          <w:numId w:val="0"/>
        </w:numPr>
        <w:bidi w:val="0"/>
      </w:pPr>
      <w:r>
        <w:t>存储期限：根据数据类别及相关法规要求，明确数据存储期限：</w:t>
      </w:r>
      <w:r>
        <w:br w:type="textWrapping"/>
      </w:r>
      <w:r>
        <w:t xml:space="preserve"> 一级数据：存储期限不少于1年；</w:t>
      </w:r>
    </w:p>
    <w:p w14:paraId="413A99F9">
      <w:pPr>
        <w:pStyle w:val="30"/>
        <w:numPr>
          <w:ilvl w:val="0"/>
          <w:numId w:val="0"/>
        </w:numPr>
        <w:bidi w:val="0"/>
      </w:pPr>
      <w:r>
        <w:t>二级数据：存储期限不少于3年；</w:t>
      </w:r>
    </w:p>
    <w:p w14:paraId="64906583">
      <w:pPr>
        <w:pStyle w:val="30"/>
        <w:numPr>
          <w:ilvl w:val="0"/>
          <w:numId w:val="0"/>
        </w:numPr>
        <w:bidi w:val="0"/>
      </w:pPr>
      <w:r>
        <w:t>三级数据：存储期限不少于5年，涉及客户隐私及合同纠纷的数据需永久存储（或按法规要求延长存储期限）。</w:t>
      </w:r>
    </w:p>
    <w:p w14:paraId="70D9EB52">
      <w:pPr>
        <w:pStyle w:val="30"/>
        <w:numPr>
          <w:ilvl w:val="0"/>
          <w:numId w:val="0"/>
        </w:numPr>
        <w:bidi w:val="0"/>
      </w:pPr>
      <w:r>
        <w:t>备份策略：采用“本地+异地”双重备份策略，确保数据安全。一级、二级数据每周备份一次，三级数据每日备份一次；备份数据需进行加密存储，并定期（每月）验证备份数据的有效性，确保可正常恢复。</w:t>
      </w:r>
    </w:p>
    <w:p w14:paraId="7511351C">
      <w:pPr>
        <w:pStyle w:val="31"/>
        <w:bidi w:val="0"/>
      </w:pPr>
      <w:bookmarkStart w:id="24" w:name="heading_12"/>
      <w:bookmarkStart w:id="25" w:name="_Toc22317"/>
      <w:r>
        <w:t>数据处理</w:t>
      </w:r>
      <w:bookmarkEnd w:id="24"/>
      <w:bookmarkEnd w:id="25"/>
    </w:p>
    <w:p w14:paraId="1F395868">
      <w:pPr>
        <w:pStyle w:val="30"/>
        <w:numPr>
          <w:ilvl w:val="0"/>
          <w:numId w:val="11"/>
        </w:numPr>
        <w:bidi w:val="0"/>
        <w:ind w:left="425" w:leftChars="0" w:hanging="425" w:firstLineChars="0"/>
      </w:pPr>
      <w:r>
        <w:t>处理目的：通过数据清洗、整合、脱敏等处理，提升数据质量，挖掘数据价值，为服务决策提供支持。</w:t>
      </w:r>
    </w:p>
    <w:p w14:paraId="61FC353C">
      <w:pPr>
        <w:pStyle w:val="30"/>
        <w:numPr>
          <w:ilvl w:val="0"/>
          <w:numId w:val="11"/>
        </w:numPr>
        <w:bidi w:val="0"/>
        <w:ind w:left="425" w:leftChars="0" w:hanging="425" w:firstLineChars="0"/>
      </w:pPr>
      <w:r>
        <w:t>处理流程：</w:t>
      </w:r>
      <w:r>
        <w:br w:type="textWrapping"/>
      </w:r>
      <w:r>
        <w:t>数据清洗：去除重复数据、修正错误数据、补充缺失数据，确保数据准确性；</w:t>
      </w:r>
    </w:p>
    <w:p w14:paraId="33B3DA5C">
      <w:pPr>
        <w:pStyle w:val="30"/>
        <w:numPr>
          <w:ilvl w:val="0"/>
          <w:numId w:val="11"/>
        </w:numPr>
        <w:bidi w:val="0"/>
        <w:ind w:left="425" w:leftChars="0" w:hanging="425" w:firstLineChars="0"/>
      </w:pPr>
      <w:r>
        <w:t>数据整合：将分散在不同系统中的数据进行关联整合，形成统一的数据视图；</w:t>
      </w:r>
    </w:p>
    <w:p w14:paraId="223168C4">
      <w:pPr>
        <w:pStyle w:val="30"/>
        <w:numPr>
          <w:ilvl w:val="0"/>
          <w:numId w:val="11"/>
        </w:numPr>
        <w:bidi w:val="0"/>
        <w:ind w:left="425" w:leftChars="0" w:hanging="425" w:firstLineChars="0"/>
      </w:pPr>
      <w:r>
        <w:t>数据脱敏：对敏感级数据进行脱敏处理，如客户身份证号替换为“XXXXXX****XXXX”，处理后的数据需保留必要的使用价值；</w:t>
      </w:r>
    </w:p>
    <w:p w14:paraId="4E999F00">
      <w:pPr>
        <w:pStyle w:val="30"/>
        <w:numPr>
          <w:ilvl w:val="0"/>
          <w:numId w:val="11"/>
        </w:numPr>
        <w:bidi w:val="0"/>
        <w:ind w:left="425" w:leftChars="0" w:hanging="425" w:firstLineChars="0"/>
      </w:pPr>
      <w:r>
        <w:t>数据标准化：将处理后的数据转换为统一格式，便于查询、统计及分析。</w:t>
      </w:r>
    </w:p>
    <w:p w14:paraId="06149C06">
      <w:pPr>
        <w:pStyle w:val="30"/>
        <w:numPr>
          <w:ilvl w:val="0"/>
          <w:numId w:val="11"/>
        </w:numPr>
        <w:bidi w:val="0"/>
        <w:ind w:left="425" w:leftChars="0" w:hanging="425" w:firstLineChars="0"/>
      </w:pPr>
      <w:r>
        <w:t>处理权限：数据处理操作需由授权的数据管理员执行，敏感级数据的处理需经数据审核人批准，并全程记录操作日志；严禁未经授权对数据进行修改、删除等处理。</w:t>
      </w:r>
    </w:p>
    <w:p w14:paraId="5CFB5F8C">
      <w:pPr>
        <w:pStyle w:val="31"/>
        <w:bidi w:val="0"/>
      </w:pPr>
      <w:bookmarkStart w:id="26" w:name="_Toc7356"/>
      <w:bookmarkStart w:id="27" w:name="heading_13"/>
      <w:r>
        <w:t>数据传输</w:t>
      </w:r>
      <w:bookmarkEnd w:id="26"/>
      <w:bookmarkEnd w:id="27"/>
    </w:p>
    <w:p w14:paraId="06723C15">
      <w:pPr>
        <w:pStyle w:val="30"/>
        <w:numPr>
          <w:ilvl w:val="0"/>
          <w:numId w:val="12"/>
        </w:numPr>
        <w:bidi w:val="0"/>
        <w:ind w:left="425" w:leftChars="0" w:hanging="425" w:firstLineChars="0"/>
      </w:pPr>
      <w:r>
        <w:t>传输安全：服务数据传输需采用加密传输协议（如SSL/TLS、VPN等），确保数据在传输过程中不被窃取或篡改；严禁通过非加密邮件、即时通讯工具（如普通微信、QQ）传输敏感级数据。</w:t>
      </w:r>
    </w:p>
    <w:p w14:paraId="426061F5">
      <w:pPr>
        <w:pStyle w:val="30"/>
        <w:numPr>
          <w:ilvl w:val="0"/>
          <w:numId w:val="12"/>
        </w:numPr>
        <w:bidi w:val="0"/>
        <w:ind w:left="425" w:leftChars="0" w:hanging="425" w:firstLineChars="0"/>
      </w:pPr>
      <w:r>
        <w:t>传输范围：数据传输需限定在公司内部授权系统或经批准的外部合作方系统范围内；向外部传输数据（如向客户提供服务报告）需经数据审核人及分管副总双重批准，并签订数据保密协议。</w:t>
      </w:r>
    </w:p>
    <w:p w14:paraId="07D64DEC">
      <w:pPr>
        <w:pStyle w:val="30"/>
        <w:numPr>
          <w:ilvl w:val="0"/>
          <w:numId w:val="12"/>
        </w:numPr>
        <w:bidi w:val="0"/>
        <w:ind w:left="425" w:leftChars="0" w:hanging="425" w:firstLineChars="0"/>
      </w:pPr>
      <w:r>
        <w:t>传输记录：所有数据传输操作需自动记录传输日志，包括传输时间、传输内容、发送方、接收方、传输状态等信息，日志存储期限不少于1年，便于追溯。</w:t>
      </w:r>
    </w:p>
    <w:p w14:paraId="57384C40">
      <w:pPr>
        <w:pStyle w:val="31"/>
        <w:bidi w:val="0"/>
      </w:pPr>
      <w:bookmarkStart w:id="28" w:name="heading_14"/>
      <w:bookmarkStart w:id="29" w:name="_Toc23037"/>
      <w:r>
        <w:t>数据使用</w:t>
      </w:r>
      <w:bookmarkEnd w:id="28"/>
      <w:bookmarkEnd w:id="29"/>
    </w:p>
    <w:p w14:paraId="266C143A">
      <w:pPr>
        <w:pStyle w:val="30"/>
        <w:numPr>
          <w:ilvl w:val="0"/>
          <w:numId w:val="13"/>
        </w:numPr>
        <w:bidi w:val="0"/>
        <w:ind w:left="425" w:leftChars="0" w:hanging="425" w:firstLineChars="0"/>
      </w:pPr>
      <w:r>
        <w:t>使用权限：实行“权限最小化”原则，根据岗位需求为员工分配相应的数据使用权限：</w:t>
      </w:r>
      <w:r>
        <w:br w:type="textWrapping"/>
      </w:r>
      <w:r>
        <w:t xml:space="preserve">        一级数据：全体员工可查询使用；</w:t>
      </w:r>
    </w:p>
    <w:p w14:paraId="77C727D0">
      <w:pPr>
        <w:pStyle w:val="30"/>
        <w:numPr>
          <w:ilvl w:val="0"/>
          <w:numId w:val="13"/>
        </w:numPr>
        <w:bidi w:val="0"/>
        <w:ind w:left="425" w:leftChars="0" w:hanging="425" w:firstLineChars="0"/>
      </w:pPr>
      <w:r>
        <w:t>二级数据：相关业务部门员工经部门负责人批准后可查询使用；</w:t>
      </w:r>
    </w:p>
    <w:p w14:paraId="69CA244D">
      <w:pPr>
        <w:pStyle w:val="30"/>
        <w:numPr>
          <w:ilvl w:val="0"/>
          <w:numId w:val="13"/>
        </w:numPr>
        <w:bidi w:val="0"/>
        <w:ind w:left="425" w:leftChars="0" w:hanging="425" w:firstLineChars="0"/>
      </w:pPr>
      <w:r>
        <w:t>三级数据：仅核心岗位人员经数据审核人批准后可查询使用，且需明确使用范围及期限。</w:t>
      </w:r>
    </w:p>
    <w:p w14:paraId="795117D2">
      <w:pPr>
        <w:pStyle w:val="30"/>
        <w:numPr>
          <w:ilvl w:val="0"/>
          <w:numId w:val="13"/>
        </w:numPr>
        <w:bidi w:val="0"/>
        <w:ind w:left="425" w:leftChars="0" w:hanging="425" w:firstLineChars="0"/>
      </w:pPr>
      <w:r>
        <w:t>使用规范：数据使用需严格遵循申请用途，不得超出授权范围使用数据；严禁将服务数据用于个人目的或未经批准的商业用途；使用敏感级数据时，需对使用过程进行记录，使用完毕后及时清理临时数据副本。</w:t>
      </w:r>
    </w:p>
    <w:p w14:paraId="17F231BD">
      <w:pPr>
        <w:pStyle w:val="30"/>
        <w:numPr>
          <w:ilvl w:val="0"/>
          <w:numId w:val="13"/>
        </w:numPr>
        <w:bidi w:val="0"/>
        <w:ind w:left="425" w:leftChars="0" w:hanging="425" w:firstLineChars="0"/>
      </w:pPr>
      <w:r>
        <w:t>数据共享：内部数据共享需通过授权的数据管理平台进行，严禁私自拷贝或转发数据；外部数据共享（如向客户、合作方提供数据）需签订数据共享协议，明确共享范围、用途及保密责任，并经数据审核人及法务部门批准。</w:t>
      </w:r>
    </w:p>
    <w:p w14:paraId="5388B3A6">
      <w:pPr>
        <w:pStyle w:val="30"/>
        <w:numPr>
          <w:ilvl w:val="0"/>
          <w:numId w:val="13"/>
        </w:numPr>
        <w:bidi w:val="0"/>
        <w:ind w:left="425" w:leftChars="0" w:hanging="425" w:firstLineChars="0"/>
      </w:pPr>
      <w:r>
        <w:t>数据发布：对外发布服务数据（如服务白皮书、公开绩效报告）需经数据审核人及公司管理层批准，发布前需对数据进行脱敏处理，确保不包含敏感信息。</w:t>
      </w:r>
    </w:p>
    <w:p w14:paraId="2CB5FE92">
      <w:pPr>
        <w:pStyle w:val="31"/>
        <w:bidi w:val="0"/>
      </w:pPr>
      <w:bookmarkStart w:id="30" w:name="_Toc17115"/>
      <w:bookmarkStart w:id="31" w:name="heading_15"/>
      <w:r>
        <w:t>数据销毁</w:t>
      </w:r>
      <w:bookmarkEnd w:id="30"/>
      <w:bookmarkEnd w:id="31"/>
    </w:p>
    <w:p w14:paraId="4C7F4EF8">
      <w:pPr>
        <w:pStyle w:val="30"/>
        <w:numPr>
          <w:ilvl w:val="0"/>
          <w:numId w:val="14"/>
        </w:numPr>
        <w:bidi w:val="0"/>
        <w:ind w:left="425" w:leftChars="0" w:hanging="425" w:firstLineChars="0"/>
      </w:pPr>
      <w:r>
        <w:t>销毁条件：达到规定存储期限且无保留必要的数据，或因业务调整不再需要的数据，可申请销毁；涉及客户隐私及法律纠纷的数据，需在满足法规要求后再进行销毁。</w:t>
      </w:r>
    </w:p>
    <w:p w14:paraId="14A30519">
      <w:pPr>
        <w:pStyle w:val="30"/>
        <w:numPr>
          <w:ilvl w:val="0"/>
          <w:numId w:val="14"/>
        </w:numPr>
        <w:bidi w:val="0"/>
        <w:ind w:left="425" w:leftChars="0" w:hanging="425" w:firstLineChars="0"/>
      </w:pPr>
      <w:r>
        <w:t>销毁流程：数据使用部门提交《服务数据销毁申请表》，说明销毁数据的类别、级别、数量及原因，经部门负责人、数据审核人批准后，由数据管理员执行销毁操作；敏感级数据的销毁需由审计监督人现场监督。</w:t>
      </w:r>
    </w:p>
    <w:p w14:paraId="0D9C7B26">
      <w:pPr>
        <w:pStyle w:val="30"/>
        <w:numPr>
          <w:ilvl w:val="0"/>
          <w:numId w:val="14"/>
        </w:numPr>
        <w:bidi w:val="0"/>
        <w:ind w:left="425" w:leftChars="0" w:hanging="425" w:firstLineChars="0"/>
      </w:pPr>
      <w:r>
        <w:t>销毁方式：</w:t>
      </w:r>
      <w:r>
        <w:br w:type="textWrapping"/>
      </w:r>
      <w:r>
        <w:t xml:space="preserve">        电子数据：采用专业的数据销毁工具（如多次覆写、物理销毁存储介质），确保数据无法恢复；</w:t>
      </w:r>
    </w:p>
    <w:p w14:paraId="3DBAFF71">
      <w:pPr>
        <w:pStyle w:val="30"/>
        <w:numPr>
          <w:ilvl w:val="0"/>
          <w:numId w:val="14"/>
        </w:numPr>
        <w:bidi w:val="0"/>
        <w:ind w:left="425" w:leftChars="0" w:hanging="425" w:firstLineChars="0"/>
      </w:pPr>
      <w:r>
        <w:t>纸质数据：采用粉碎、焚烧等方式销毁，严禁随意丢弃。</w:t>
      </w:r>
    </w:p>
    <w:p w14:paraId="069168D0">
      <w:pPr>
        <w:pStyle w:val="30"/>
        <w:numPr>
          <w:ilvl w:val="0"/>
          <w:numId w:val="14"/>
        </w:numPr>
        <w:bidi w:val="0"/>
        <w:ind w:left="425" w:leftChars="0" w:hanging="425" w:firstLineChars="0"/>
      </w:pPr>
      <w:r>
        <w:t>销毁记录：数据销毁后，数据管理员需填写《服务数据销毁记录表》，详细记录销毁数据信息、销毁方式、时间、执行人及监督人等信息，记录表需归档保存不少于3年</w:t>
      </w:r>
      <w:r>
        <w:rPr>
          <w:rFonts w:ascii="Arial" w:hAnsi="Arial" w:eastAsia="等线" w:cs="Arial"/>
        </w:rPr>
        <w:t>。</w:t>
      </w:r>
    </w:p>
    <w:p w14:paraId="364BB705">
      <w:pPr>
        <w:pStyle w:val="29"/>
        <w:bidi w:val="0"/>
      </w:pPr>
      <w:bookmarkStart w:id="32" w:name="heading_16"/>
      <w:bookmarkStart w:id="33" w:name="_Toc1809"/>
      <w:r>
        <w:t>数据安全与保密管理</w:t>
      </w:r>
      <w:bookmarkEnd w:id="32"/>
      <w:bookmarkEnd w:id="33"/>
    </w:p>
    <w:p w14:paraId="78665A29">
      <w:pPr>
        <w:pStyle w:val="30"/>
        <w:numPr>
          <w:ilvl w:val="0"/>
          <w:numId w:val="15"/>
        </w:numPr>
        <w:bidi w:val="0"/>
        <w:ind w:left="425" w:leftChars="0" w:hanging="425" w:firstLineChars="0"/>
      </w:pPr>
      <w:r>
        <w:t>访问控制：数据管理平台需建立严格的身份认证及权限管理机制，员工需通过账号密码（定期更换）、短信验证等多因素认证方式登录；权限分配遵循“岗责匹配”原则，员工离职或岗位调整时，需在1个工作日内注销或调整其数据访问权限。</w:t>
      </w:r>
    </w:p>
    <w:p w14:paraId="33CA1353">
      <w:pPr>
        <w:pStyle w:val="30"/>
        <w:numPr>
          <w:ilvl w:val="0"/>
          <w:numId w:val="15"/>
        </w:numPr>
        <w:bidi w:val="0"/>
        <w:ind w:left="425" w:leftChars="0" w:hanging="425" w:firstLineChars="0"/>
      </w:pPr>
      <w:r>
        <w:t>安全防护：数据存储及传输设备需安装防火墙、杀毒软件、入侵检测系统等安全防护工具，定期（每月）进行漏洞扫描及病毒查杀；敏感级数据需采用加密存储、加密传输双重保护措施，密钥由安全负责人统一管理。</w:t>
      </w:r>
    </w:p>
    <w:p w14:paraId="3B38A8AF">
      <w:pPr>
        <w:pStyle w:val="30"/>
        <w:numPr>
          <w:ilvl w:val="0"/>
          <w:numId w:val="15"/>
        </w:numPr>
        <w:bidi w:val="0"/>
        <w:ind w:left="425" w:leftChars="0" w:hanging="425" w:firstLineChars="0"/>
      </w:pPr>
      <w:r>
        <w:t>保密要求：全体员工需遵守数据保密规定，严禁泄露、出售或非法提供服务数据；未经批准，严禁将存储有服务数据的设备带出公司；参加外部会议或交流时，不得擅自披露敏感数据。</w:t>
      </w:r>
    </w:p>
    <w:p w14:paraId="0BAFD157">
      <w:pPr>
        <w:pStyle w:val="30"/>
        <w:numPr>
          <w:ilvl w:val="0"/>
          <w:numId w:val="15"/>
        </w:numPr>
        <w:bidi w:val="0"/>
        <w:ind w:left="425" w:leftChars="0" w:hanging="425" w:firstLineChars="0"/>
      </w:pPr>
      <w:r>
        <w:t>应急处置：安全负责人需制定《服务数据安全应急处置预案》，明确数据泄露、丢失、损坏等安全事件的应急响应流程；定期（每半年）组织应急演练，提升应急处置能力。发生安全事件时，需立即启动预案，采取隔离、止损措施，并及时向管理层汇报。</w:t>
      </w:r>
    </w:p>
    <w:p w14:paraId="3726B302">
      <w:pPr>
        <w:pStyle w:val="30"/>
        <w:numPr>
          <w:ilvl w:val="0"/>
          <w:numId w:val="15"/>
        </w:numPr>
        <w:bidi w:val="0"/>
        <w:ind w:left="425" w:leftChars="0" w:hanging="425" w:firstLineChars="0"/>
      </w:pPr>
      <w:r>
        <w:t>员工培训：</w:t>
      </w:r>
      <w:r>
        <w:rPr>
          <w:rFonts w:hint="eastAsia"/>
          <w:lang w:eastAsia="zh-CN"/>
        </w:rPr>
        <w:t>人力部</w:t>
      </w:r>
      <w:r>
        <w:t>需将数据安全与保密知识纳入新员工入职培训及在职员工定期培训内容，每年培训不少于2次；培训后需进行考核，确保员工掌握数据管理规范及安全防护技能。</w:t>
      </w:r>
    </w:p>
    <w:p w14:paraId="3504BB65">
      <w:pPr>
        <w:pStyle w:val="29"/>
        <w:bidi w:val="0"/>
      </w:pPr>
      <w:bookmarkStart w:id="34" w:name="_Toc23538"/>
      <w:bookmarkStart w:id="35" w:name="heading_17"/>
      <w:r>
        <w:t>数据质量管控</w:t>
      </w:r>
      <w:bookmarkEnd w:id="34"/>
      <w:bookmarkEnd w:id="35"/>
    </w:p>
    <w:p w14:paraId="56770D17">
      <w:pPr>
        <w:pStyle w:val="30"/>
        <w:numPr>
          <w:ilvl w:val="0"/>
          <w:numId w:val="16"/>
        </w:numPr>
        <w:bidi w:val="0"/>
        <w:ind w:left="425" w:leftChars="0" w:hanging="425" w:firstLineChars="0"/>
      </w:pPr>
      <w:r>
        <w:t>质量监控：数据管理员每日对新增数据进行质量抽检，每周形成《服务数据质量周报》；数据管理平台需具备质量监控功能，对数据异常情况（如格式错误、字段缺失）进行自动预警。</w:t>
      </w:r>
    </w:p>
    <w:p w14:paraId="7D0BFED0">
      <w:pPr>
        <w:pStyle w:val="30"/>
        <w:numPr>
          <w:ilvl w:val="0"/>
          <w:numId w:val="16"/>
        </w:numPr>
        <w:bidi w:val="0"/>
        <w:ind w:left="425" w:leftChars="0" w:hanging="425" w:firstLineChars="0"/>
      </w:pPr>
      <w:r>
        <w:t>问题整改：发现数据质量问题后，数据管理员需在2个工作日内通知相关责任部门及人员，明确整改要求及期限；责任部门需在规定期限内完成整改，数据管理员负责复核验收。</w:t>
      </w:r>
    </w:p>
    <w:p w14:paraId="42BB5DD8">
      <w:pPr>
        <w:pStyle w:val="30"/>
        <w:numPr>
          <w:ilvl w:val="0"/>
          <w:numId w:val="16"/>
        </w:numPr>
        <w:bidi w:val="0"/>
        <w:ind w:left="425" w:leftChars="0" w:hanging="425" w:firstLineChars="0"/>
      </w:pPr>
      <w:r>
        <w:t>持续改进：每月由数据审核人组织召开数据质量分析会，总结质量问题产生的原因，制定改进措施（如优化采集表单、加强培训等），并跟踪改进效果。</w:t>
      </w:r>
    </w:p>
    <w:p w14:paraId="248C7AA8">
      <w:pPr>
        <w:pStyle w:val="29"/>
        <w:bidi w:val="0"/>
      </w:pPr>
      <w:bookmarkStart w:id="36" w:name="heading_20"/>
      <w:bookmarkStart w:id="37" w:name="_Toc24306"/>
      <w:r>
        <w:t>审计与监督</w:t>
      </w:r>
      <w:bookmarkEnd w:id="36"/>
      <w:bookmarkEnd w:id="37"/>
    </w:p>
    <w:p w14:paraId="73344109">
      <w:pPr>
        <w:pStyle w:val="30"/>
        <w:numPr>
          <w:ilvl w:val="0"/>
          <w:numId w:val="17"/>
        </w:numPr>
        <w:bidi w:val="0"/>
        <w:ind w:left="425" w:leftChars="0" w:hanging="425" w:firstLineChars="0"/>
      </w:pPr>
      <w:r>
        <w:t>定期审计：审计监督人每季度联合</w:t>
      </w:r>
      <w:r>
        <w:rPr>
          <w:rFonts w:hint="eastAsia"/>
          <w:lang w:eastAsia="zh-CN"/>
        </w:rPr>
        <w:t>运维部</w:t>
      </w:r>
      <w:r>
        <w:t>对服务数据管理情况进行全面审计，审计内容包括：数据分类分级准确性、流程执行合规性、数据质量达标情况、安全防护措施落实情况及权限管理合理性等，审计结果形成《服务数据管理审计报告》，上报公司管理层。</w:t>
      </w:r>
    </w:p>
    <w:p w14:paraId="3E09EF81">
      <w:pPr>
        <w:pStyle w:val="30"/>
        <w:numPr>
          <w:ilvl w:val="0"/>
          <w:numId w:val="17"/>
        </w:numPr>
        <w:bidi w:val="0"/>
        <w:ind w:left="425" w:leftChars="0" w:hanging="425" w:firstLineChars="0"/>
      </w:pPr>
      <w:r>
        <w:t>专项审计：发生数据安全事件、重大数据质量问题或ITSS认证检查前，需开展专项审计，重点核查相关环节的管理情况，明确责任主体，提出整改建议。</w:t>
      </w:r>
    </w:p>
    <w:p w14:paraId="5FECE3F3">
      <w:pPr>
        <w:pStyle w:val="30"/>
        <w:numPr>
          <w:ilvl w:val="0"/>
          <w:numId w:val="17"/>
        </w:numPr>
        <w:bidi w:val="0"/>
        <w:ind w:left="425" w:leftChars="0" w:hanging="425" w:firstLineChars="0"/>
      </w:pPr>
      <w:r>
        <w:t>整改跟踪：审计发现的问题需明确整改责任人、整改措施及整改期限，由审计监督人跟踪整改落实情况；整改完成后，需进行复核验收，确保问题闭环管理。对违反本制度的部门或个人，按照公司奖惩规定进行处理；造成严重后果的，追究相关法律责任</w:t>
      </w:r>
      <w:r>
        <w:rPr>
          <w:rFonts w:ascii="Arial" w:hAnsi="Arial" w:eastAsia="等线" w:cs="Arial"/>
        </w:rPr>
        <w:t>。</w:t>
      </w:r>
    </w:p>
    <w:p w14:paraId="465529FE">
      <w:pPr>
        <w:pStyle w:val="29"/>
        <w:bidi w:val="0"/>
      </w:pPr>
      <w:bookmarkStart w:id="38" w:name="_Toc24180"/>
      <w:r>
        <w:rPr>
          <w:rFonts w:hint="eastAsia"/>
          <w:lang w:val="en-US" w:eastAsia="zh-CN"/>
        </w:rPr>
        <w:t>KPI指标</w:t>
      </w:r>
      <w:bookmarkEnd w:id="3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569"/>
        <w:gridCol w:w="1692"/>
        <w:gridCol w:w="2131"/>
      </w:tblGrid>
      <w:tr w14:paraId="032F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30" w:type="dxa"/>
          </w:tcPr>
          <w:p w14:paraId="02430255">
            <w:pPr>
              <w:pStyle w:val="30"/>
              <w:widowControl w:val="0"/>
              <w:rPr>
                <w:rFonts w:hint="default" w:eastAsia="宋体"/>
                <w:sz w:val="18"/>
                <w:szCs w:val="18"/>
                <w:vertAlign w:val="baseline"/>
                <w:lang w:val="en-US" w:eastAsia="zh-CN"/>
              </w:rPr>
            </w:pPr>
            <w:r>
              <w:rPr>
                <w:rFonts w:hint="eastAsia"/>
                <w:sz w:val="18"/>
                <w:szCs w:val="18"/>
                <w:vertAlign w:val="baseline"/>
                <w:lang w:val="en-US" w:eastAsia="zh-CN"/>
              </w:rPr>
              <w:t>指标名称</w:t>
            </w:r>
          </w:p>
        </w:tc>
        <w:tc>
          <w:tcPr>
            <w:tcW w:w="2569" w:type="dxa"/>
          </w:tcPr>
          <w:p w14:paraId="395C3BAD">
            <w:pPr>
              <w:pStyle w:val="30"/>
              <w:widowControl w:val="0"/>
              <w:rPr>
                <w:rFonts w:hint="eastAsia" w:eastAsia="宋体"/>
                <w:sz w:val="18"/>
                <w:szCs w:val="18"/>
                <w:vertAlign w:val="baseline"/>
                <w:lang w:val="en-US" w:eastAsia="zh-CN"/>
              </w:rPr>
            </w:pPr>
            <w:r>
              <w:rPr>
                <w:rFonts w:hint="eastAsia"/>
                <w:sz w:val="18"/>
                <w:szCs w:val="18"/>
                <w:vertAlign w:val="baseline"/>
                <w:lang w:val="en-US" w:eastAsia="zh-CN"/>
              </w:rPr>
              <w:t>计算方式</w:t>
            </w:r>
          </w:p>
        </w:tc>
        <w:tc>
          <w:tcPr>
            <w:tcW w:w="1692" w:type="dxa"/>
          </w:tcPr>
          <w:p w14:paraId="0B702261">
            <w:pPr>
              <w:pStyle w:val="30"/>
              <w:widowControl w:val="0"/>
              <w:rPr>
                <w:rFonts w:hint="eastAsia" w:eastAsia="宋体"/>
                <w:sz w:val="18"/>
                <w:szCs w:val="18"/>
                <w:vertAlign w:val="baseline"/>
                <w:lang w:val="en-US" w:eastAsia="zh-CN"/>
              </w:rPr>
            </w:pPr>
            <w:r>
              <w:rPr>
                <w:rFonts w:hint="eastAsia"/>
                <w:sz w:val="18"/>
                <w:szCs w:val="18"/>
                <w:vertAlign w:val="baseline"/>
                <w:lang w:val="en-US" w:eastAsia="zh-CN"/>
              </w:rPr>
              <w:t>目标值</w:t>
            </w:r>
          </w:p>
        </w:tc>
        <w:tc>
          <w:tcPr>
            <w:tcW w:w="2131" w:type="dxa"/>
          </w:tcPr>
          <w:p w14:paraId="650A8307">
            <w:pPr>
              <w:pStyle w:val="30"/>
              <w:widowControl w:val="0"/>
              <w:rPr>
                <w:rFonts w:hint="default" w:eastAsia="宋体"/>
                <w:sz w:val="18"/>
                <w:szCs w:val="18"/>
                <w:vertAlign w:val="baseline"/>
                <w:lang w:val="en-US" w:eastAsia="zh-CN"/>
              </w:rPr>
            </w:pPr>
            <w:r>
              <w:rPr>
                <w:rFonts w:hint="eastAsia"/>
                <w:sz w:val="18"/>
                <w:szCs w:val="18"/>
                <w:vertAlign w:val="baseline"/>
                <w:lang w:val="en-US" w:eastAsia="zh-CN"/>
              </w:rPr>
              <w:t>考核频次</w:t>
            </w:r>
          </w:p>
        </w:tc>
      </w:tr>
      <w:tr w14:paraId="3F488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1A849CC">
            <w:pPr>
              <w:pStyle w:val="30"/>
              <w:widowControl w:val="0"/>
              <w:ind w:left="0" w:leftChars="0" w:firstLine="0" w:firstLineChars="0"/>
              <w:rPr>
                <w:rFonts w:hint="default" w:eastAsia="宋体"/>
                <w:sz w:val="18"/>
                <w:szCs w:val="18"/>
                <w:vertAlign w:val="baseline"/>
                <w:lang w:val="en-US" w:eastAsia="zh-CN"/>
              </w:rPr>
            </w:pPr>
            <w:r>
              <w:rPr>
                <w:rFonts w:hint="eastAsia"/>
                <w:sz w:val="18"/>
                <w:szCs w:val="18"/>
                <w:vertAlign w:val="baseline"/>
                <w:lang w:val="en-US" w:eastAsia="zh-CN"/>
              </w:rPr>
              <w:t>分析利用次数</w:t>
            </w:r>
          </w:p>
        </w:tc>
        <w:tc>
          <w:tcPr>
            <w:tcW w:w="2569" w:type="dxa"/>
          </w:tcPr>
          <w:p w14:paraId="0F3AD2D4">
            <w:pPr>
              <w:pStyle w:val="30"/>
              <w:widowControl w:val="0"/>
              <w:ind w:left="0" w:leftChars="0" w:firstLine="0" w:firstLineChars="0"/>
              <w:rPr>
                <w:rFonts w:hint="default" w:eastAsia="宋体"/>
                <w:sz w:val="18"/>
                <w:szCs w:val="18"/>
                <w:vertAlign w:val="baseline"/>
                <w:lang w:val="en-US" w:eastAsia="zh-CN"/>
              </w:rPr>
            </w:pPr>
            <w:r>
              <w:rPr>
                <w:rFonts w:hint="eastAsia"/>
                <w:sz w:val="18"/>
                <w:szCs w:val="18"/>
                <w:vertAlign w:val="baseline"/>
                <w:lang w:val="en-US" w:eastAsia="zh-CN"/>
              </w:rPr>
              <w:t>次数，分析利用次数</w:t>
            </w:r>
          </w:p>
        </w:tc>
        <w:tc>
          <w:tcPr>
            <w:tcW w:w="1692" w:type="dxa"/>
          </w:tcPr>
          <w:p w14:paraId="65CBDF10">
            <w:pPr>
              <w:pStyle w:val="30"/>
              <w:widowControl w:val="0"/>
              <w:rPr>
                <w:rFonts w:hint="default" w:eastAsia="宋体"/>
                <w:sz w:val="18"/>
                <w:szCs w:val="18"/>
                <w:vertAlign w:val="baseline"/>
                <w:lang w:val="en-US" w:eastAsia="zh-CN"/>
              </w:rPr>
            </w:pPr>
            <w:r>
              <w:rPr>
                <w:rFonts w:hint="eastAsia"/>
                <w:sz w:val="18"/>
                <w:szCs w:val="18"/>
                <w:vertAlign w:val="baseline"/>
                <w:lang w:val="en-US" w:eastAsia="zh-CN"/>
              </w:rPr>
              <w:t>≥2次</w:t>
            </w:r>
          </w:p>
        </w:tc>
        <w:tc>
          <w:tcPr>
            <w:tcW w:w="2131" w:type="dxa"/>
          </w:tcPr>
          <w:p w14:paraId="6A5E37FE">
            <w:pPr>
              <w:pStyle w:val="30"/>
              <w:widowControl w:val="0"/>
              <w:rPr>
                <w:rFonts w:hint="eastAsia" w:eastAsia="宋体"/>
                <w:sz w:val="18"/>
                <w:szCs w:val="18"/>
                <w:vertAlign w:val="baseline"/>
                <w:lang w:val="en-US" w:eastAsia="zh-CN"/>
              </w:rPr>
            </w:pPr>
            <w:r>
              <w:rPr>
                <w:rFonts w:hint="eastAsia"/>
                <w:sz w:val="18"/>
                <w:szCs w:val="18"/>
                <w:vertAlign w:val="baseline"/>
                <w:lang w:val="en-US" w:eastAsia="zh-CN"/>
              </w:rPr>
              <w:t>季度</w:t>
            </w:r>
          </w:p>
        </w:tc>
      </w:tr>
    </w:tbl>
    <w:p w14:paraId="291A5910">
      <w:pPr>
        <w:pStyle w:val="30"/>
      </w:pPr>
    </w:p>
    <w:p w14:paraId="7BAB6C7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8FBFF61"/>
    <w:multiLevelType w:val="singleLevel"/>
    <w:tmpl w:val="98FBFF61"/>
    <w:lvl w:ilvl="0" w:tentative="0">
      <w:start w:val="1"/>
      <w:numFmt w:val="decimal"/>
      <w:suff w:val="space"/>
      <w:lvlText w:val="%1."/>
      <w:lvlJc w:val="left"/>
    </w:lvl>
  </w:abstractNum>
  <w:abstractNum w:abstractNumId="2">
    <w:nsid w:val="9FCCC679"/>
    <w:multiLevelType w:val="singleLevel"/>
    <w:tmpl w:val="9FCCC679"/>
    <w:lvl w:ilvl="0" w:tentative="0">
      <w:start w:val="1"/>
      <w:numFmt w:val="decimal"/>
      <w:suff w:val="space"/>
      <w:lvlText w:val="%1."/>
      <w:lvlJc w:val="left"/>
    </w:lvl>
  </w:abstractNum>
  <w:abstractNum w:abstractNumId="3">
    <w:nsid w:val="A34895BC"/>
    <w:multiLevelType w:val="singleLevel"/>
    <w:tmpl w:val="A34895BC"/>
    <w:lvl w:ilvl="0" w:tentative="0">
      <w:start w:val="1"/>
      <w:numFmt w:val="decimal"/>
      <w:lvlText w:val="%1."/>
      <w:lvlJc w:val="left"/>
      <w:pPr>
        <w:ind w:left="425" w:hanging="425"/>
      </w:pPr>
      <w:rPr>
        <w:rFonts w:hint="default"/>
      </w:rPr>
    </w:lvl>
  </w:abstractNum>
  <w:abstractNum w:abstractNumId="4">
    <w:nsid w:val="B8DC68A2"/>
    <w:multiLevelType w:val="singleLevel"/>
    <w:tmpl w:val="B8DC68A2"/>
    <w:lvl w:ilvl="0" w:tentative="0">
      <w:start w:val="1"/>
      <w:numFmt w:val="decimal"/>
      <w:suff w:val="space"/>
      <w:lvlText w:val="%1."/>
      <w:lvlJc w:val="left"/>
    </w:lvl>
  </w:abstractNum>
  <w:abstractNum w:abstractNumId="5">
    <w:nsid w:val="CBE4956D"/>
    <w:multiLevelType w:val="singleLevel"/>
    <w:tmpl w:val="CBE4956D"/>
    <w:lvl w:ilvl="0" w:tentative="0">
      <w:start w:val="1"/>
      <w:numFmt w:val="decimal"/>
      <w:suff w:val="space"/>
      <w:lvlText w:val="%1."/>
      <w:lvlJc w:val="left"/>
    </w:lvl>
  </w:abstractNum>
  <w:abstractNum w:abstractNumId="6">
    <w:nsid w:val="CF57987A"/>
    <w:multiLevelType w:val="singleLevel"/>
    <w:tmpl w:val="CF57987A"/>
    <w:lvl w:ilvl="0" w:tentative="0">
      <w:start w:val="1"/>
      <w:numFmt w:val="decimal"/>
      <w:lvlText w:val="%1."/>
      <w:lvlJc w:val="left"/>
      <w:pPr>
        <w:ind w:left="425" w:hanging="425"/>
      </w:pPr>
      <w:rPr>
        <w:rFonts w:hint="default"/>
      </w:rPr>
    </w:lvl>
  </w:abstractNum>
  <w:abstractNum w:abstractNumId="7">
    <w:nsid w:val="D076849E"/>
    <w:multiLevelType w:val="singleLevel"/>
    <w:tmpl w:val="D076849E"/>
    <w:lvl w:ilvl="0" w:tentative="0">
      <w:start w:val="1"/>
      <w:numFmt w:val="decimal"/>
      <w:lvlText w:val="%1."/>
      <w:lvlJc w:val="left"/>
      <w:pPr>
        <w:ind w:left="425" w:hanging="425"/>
      </w:pPr>
      <w:rPr>
        <w:rFonts w:hint="default"/>
      </w:rPr>
    </w:lvl>
  </w:abstractNum>
  <w:abstractNum w:abstractNumId="8">
    <w:nsid w:val="0D1DDFB9"/>
    <w:multiLevelType w:val="singleLevel"/>
    <w:tmpl w:val="0D1DDFB9"/>
    <w:lvl w:ilvl="0" w:tentative="0">
      <w:start w:val="1"/>
      <w:numFmt w:val="decimal"/>
      <w:lvlText w:val="%1."/>
      <w:lvlJc w:val="left"/>
      <w:pPr>
        <w:ind w:left="425" w:hanging="425"/>
      </w:pPr>
      <w:rPr>
        <w:rFonts w:hint="default"/>
      </w:rPr>
    </w:lvl>
  </w:abstractNum>
  <w:abstractNum w:abstractNumId="9">
    <w:nsid w:val="1C0D7AE1"/>
    <w:multiLevelType w:val="singleLevel"/>
    <w:tmpl w:val="1C0D7AE1"/>
    <w:lvl w:ilvl="0" w:tentative="0">
      <w:start w:val="1"/>
      <w:numFmt w:val="decimal"/>
      <w:lvlText w:val="%1."/>
      <w:lvlJc w:val="left"/>
      <w:pPr>
        <w:ind w:left="425" w:hanging="425"/>
      </w:pPr>
      <w:rPr>
        <w:rFonts w:hint="default"/>
      </w:rPr>
    </w:lvl>
  </w:abstractNum>
  <w:abstractNum w:abstractNumId="10">
    <w:nsid w:val="2F519FC5"/>
    <w:multiLevelType w:val="singleLevel"/>
    <w:tmpl w:val="2F519FC5"/>
    <w:lvl w:ilvl="0" w:tentative="0">
      <w:start w:val="1"/>
      <w:numFmt w:val="decimal"/>
      <w:lvlText w:val="%1."/>
      <w:lvlJc w:val="left"/>
      <w:pPr>
        <w:ind w:left="425" w:hanging="425"/>
      </w:pPr>
      <w:rPr>
        <w:rFonts w:hint="default"/>
      </w:rPr>
    </w:lvl>
  </w:abstractNum>
  <w:abstractNum w:abstractNumId="11">
    <w:nsid w:val="33A3D19E"/>
    <w:multiLevelType w:val="singleLevel"/>
    <w:tmpl w:val="33A3D19E"/>
    <w:lvl w:ilvl="0" w:tentative="0">
      <w:start w:val="1"/>
      <w:numFmt w:val="decimal"/>
      <w:suff w:val="space"/>
      <w:lvlText w:val="%1."/>
      <w:lvlJc w:val="left"/>
    </w:lvl>
  </w:abstractNum>
  <w:abstractNum w:abstractNumId="12">
    <w:nsid w:val="3636533F"/>
    <w:multiLevelType w:val="singleLevel"/>
    <w:tmpl w:val="3636533F"/>
    <w:lvl w:ilvl="0" w:tentative="0">
      <w:start w:val="1"/>
      <w:numFmt w:val="decimal"/>
      <w:lvlText w:val="%1."/>
      <w:lvlJc w:val="left"/>
      <w:pPr>
        <w:ind w:left="425" w:hanging="425"/>
      </w:pPr>
      <w:rPr>
        <w:rFonts w:hint="default"/>
      </w:rPr>
    </w:lvl>
  </w:abstractNum>
  <w:abstractNum w:abstractNumId="13">
    <w:nsid w:val="5EDBC29A"/>
    <w:multiLevelType w:val="singleLevel"/>
    <w:tmpl w:val="5EDBC29A"/>
    <w:lvl w:ilvl="0" w:tentative="0">
      <w:start w:val="1"/>
      <w:numFmt w:val="decimal"/>
      <w:lvlText w:val="%1."/>
      <w:lvlJc w:val="left"/>
      <w:pPr>
        <w:ind w:left="425" w:hanging="425"/>
      </w:pPr>
      <w:rPr>
        <w:rFonts w:hint="default"/>
      </w:rPr>
    </w:lvl>
  </w:abstractNum>
  <w:abstractNum w:abstractNumId="14">
    <w:nsid w:val="630966F8"/>
    <w:multiLevelType w:val="singleLevel"/>
    <w:tmpl w:val="630966F8"/>
    <w:lvl w:ilvl="0" w:tentative="0">
      <w:start w:val="1"/>
      <w:numFmt w:val="decimal"/>
      <w:lvlText w:val="%1."/>
      <w:lvlJc w:val="left"/>
      <w:pPr>
        <w:ind w:left="425" w:hanging="425"/>
      </w:pPr>
      <w:rPr>
        <w:rFonts w:hint="default"/>
      </w:rPr>
    </w:lvl>
  </w:abstractNum>
  <w:abstractNum w:abstractNumId="15">
    <w:nsid w:val="67FD72C5"/>
    <w:multiLevelType w:val="singleLevel"/>
    <w:tmpl w:val="67FD72C5"/>
    <w:lvl w:ilvl="0" w:tentative="0">
      <w:start w:val="1"/>
      <w:numFmt w:val="decimal"/>
      <w:lvlText w:val="%1."/>
      <w:lvlJc w:val="left"/>
      <w:pPr>
        <w:ind w:left="425" w:hanging="425"/>
      </w:pPr>
      <w:rPr>
        <w:rFonts w:hint="default"/>
      </w:rPr>
    </w:lvl>
  </w:abstractNum>
  <w:abstractNum w:abstractNumId="16">
    <w:nsid w:val="6CE3A6B1"/>
    <w:multiLevelType w:val="singleLevel"/>
    <w:tmpl w:val="6CE3A6B1"/>
    <w:lvl w:ilvl="0" w:tentative="0">
      <w:start w:val="1"/>
      <w:numFmt w:val="decimal"/>
      <w:lvlText w:val="%1."/>
      <w:lvlJc w:val="left"/>
      <w:pPr>
        <w:ind w:left="425" w:hanging="425"/>
      </w:pPr>
      <w:rPr>
        <w:rFonts w:hint="default"/>
      </w:rPr>
    </w:lvl>
  </w:abstractNum>
  <w:num w:numId="1">
    <w:abstractNumId w:val="0"/>
  </w:num>
  <w:num w:numId="2">
    <w:abstractNumId w:val="13"/>
  </w:num>
  <w:num w:numId="3">
    <w:abstractNumId w:val="9"/>
  </w:num>
  <w:num w:numId="4">
    <w:abstractNumId w:val="5"/>
  </w:num>
  <w:num w:numId="5">
    <w:abstractNumId w:val="2"/>
  </w:num>
  <w:num w:numId="6">
    <w:abstractNumId w:val="1"/>
  </w:num>
  <w:num w:numId="7">
    <w:abstractNumId w:val="4"/>
  </w:num>
  <w:num w:numId="8">
    <w:abstractNumId w:val="11"/>
  </w:num>
  <w:num w:numId="9">
    <w:abstractNumId w:val="14"/>
  </w:num>
  <w:num w:numId="10">
    <w:abstractNumId w:val="7"/>
  </w:num>
  <w:num w:numId="11">
    <w:abstractNumId w:val="6"/>
  </w:num>
  <w:num w:numId="12">
    <w:abstractNumId w:val="15"/>
  </w:num>
  <w:num w:numId="13">
    <w:abstractNumId w:val="3"/>
  </w:num>
  <w:num w:numId="14">
    <w:abstractNumId w:val="16"/>
  </w:num>
  <w:num w:numId="15">
    <w:abstractNumId w:val="10"/>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55A92"/>
    <w:rsid w:val="027A149C"/>
    <w:rsid w:val="028440C8"/>
    <w:rsid w:val="02DA6AC8"/>
    <w:rsid w:val="03323B24"/>
    <w:rsid w:val="03431E67"/>
    <w:rsid w:val="037E2237"/>
    <w:rsid w:val="04C36455"/>
    <w:rsid w:val="05591AD0"/>
    <w:rsid w:val="055C132D"/>
    <w:rsid w:val="05957D83"/>
    <w:rsid w:val="05B95683"/>
    <w:rsid w:val="05C017FD"/>
    <w:rsid w:val="065169B7"/>
    <w:rsid w:val="06AB60C8"/>
    <w:rsid w:val="06B74A9B"/>
    <w:rsid w:val="07163C30"/>
    <w:rsid w:val="07C91C98"/>
    <w:rsid w:val="08AD1FDA"/>
    <w:rsid w:val="097F1E8C"/>
    <w:rsid w:val="09B47989"/>
    <w:rsid w:val="09CA2D09"/>
    <w:rsid w:val="0A2F0DBE"/>
    <w:rsid w:val="0ABA2D7D"/>
    <w:rsid w:val="0B592DB2"/>
    <w:rsid w:val="0BBD51D3"/>
    <w:rsid w:val="0C913FA4"/>
    <w:rsid w:val="0CEC3554"/>
    <w:rsid w:val="0E2F047B"/>
    <w:rsid w:val="0E4B1F3E"/>
    <w:rsid w:val="0ED9316E"/>
    <w:rsid w:val="0F3F7CF5"/>
    <w:rsid w:val="0FD3668F"/>
    <w:rsid w:val="128E7347"/>
    <w:rsid w:val="13DB52AB"/>
    <w:rsid w:val="144B0EEA"/>
    <w:rsid w:val="157A28AF"/>
    <w:rsid w:val="15C5554F"/>
    <w:rsid w:val="162A4334"/>
    <w:rsid w:val="168D7598"/>
    <w:rsid w:val="16E367FC"/>
    <w:rsid w:val="1750188B"/>
    <w:rsid w:val="17516429"/>
    <w:rsid w:val="17BB2D47"/>
    <w:rsid w:val="17F96B12"/>
    <w:rsid w:val="181B7800"/>
    <w:rsid w:val="1844012A"/>
    <w:rsid w:val="1871105F"/>
    <w:rsid w:val="189270E7"/>
    <w:rsid w:val="189D0563"/>
    <w:rsid w:val="1A6920CA"/>
    <w:rsid w:val="1A9A6727"/>
    <w:rsid w:val="1AC11F06"/>
    <w:rsid w:val="1ACB4B33"/>
    <w:rsid w:val="1BA01B1B"/>
    <w:rsid w:val="1BA20022"/>
    <w:rsid w:val="1C4C39E7"/>
    <w:rsid w:val="1CED4F09"/>
    <w:rsid w:val="1CFA34AD"/>
    <w:rsid w:val="1D43495B"/>
    <w:rsid w:val="1DA44932"/>
    <w:rsid w:val="1E006819"/>
    <w:rsid w:val="1E0B0BB8"/>
    <w:rsid w:val="1F152820"/>
    <w:rsid w:val="204C4020"/>
    <w:rsid w:val="20F21EF0"/>
    <w:rsid w:val="210A56C3"/>
    <w:rsid w:val="215C0DB4"/>
    <w:rsid w:val="21690A3C"/>
    <w:rsid w:val="21F11B39"/>
    <w:rsid w:val="220628F4"/>
    <w:rsid w:val="220D77DF"/>
    <w:rsid w:val="22252D7A"/>
    <w:rsid w:val="228C2DF9"/>
    <w:rsid w:val="22B934C3"/>
    <w:rsid w:val="22D16A5E"/>
    <w:rsid w:val="238241FC"/>
    <w:rsid w:val="23842E89"/>
    <w:rsid w:val="23DA1437"/>
    <w:rsid w:val="242541C6"/>
    <w:rsid w:val="244853CC"/>
    <w:rsid w:val="245203A4"/>
    <w:rsid w:val="24B14D99"/>
    <w:rsid w:val="2502722C"/>
    <w:rsid w:val="251A293E"/>
    <w:rsid w:val="253D487F"/>
    <w:rsid w:val="264D6D44"/>
    <w:rsid w:val="26976211"/>
    <w:rsid w:val="26B80661"/>
    <w:rsid w:val="26BE19EF"/>
    <w:rsid w:val="271C2272"/>
    <w:rsid w:val="27391076"/>
    <w:rsid w:val="289B0EFF"/>
    <w:rsid w:val="289D0D97"/>
    <w:rsid w:val="295C2DFA"/>
    <w:rsid w:val="295F4405"/>
    <w:rsid w:val="29890093"/>
    <w:rsid w:val="2A851D48"/>
    <w:rsid w:val="2AFC33FC"/>
    <w:rsid w:val="2B6274A0"/>
    <w:rsid w:val="2B7D22D9"/>
    <w:rsid w:val="2C8A1D4F"/>
    <w:rsid w:val="2C98683F"/>
    <w:rsid w:val="2CA23219"/>
    <w:rsid w:val="2CB17B5A"/>
    <w:rsid w:val="2D13640B"/>
    <w:rsid w:val="2D1E4F96"/>
    <w:rsid w:val="2DDB2E87"/>
    <w:rsid w:val="2E690493"/>
    <w:rsid w:val="2EC67693"/>
    <w:rsid w:val="2ED52C6D"/>
    <w:rsid w:val="2EFA351F"/>
    <w:rsid w:val="2F9C03F4"/>
    <w:rsid w:val="2FBB4D1E"/>
    <w:rsid w:val="2FC260AC"/>
    <w:rsid w:val="30607673"/>
    <w:rsid w:val="3114095B"/>
    <w:rsid w:val="31BE6C8E"/>
    <w:rsid w:val="31D04645"/>
    <w:rsid w:val="325C4129"/>
    <w:rsid w:val="32A11B10"/>
    <w:rsid w:val="32AA3F05"/>
    <w:rsid w:val="32B1065A"/>
    <w:rsid w:val="32BA306B"/>
    <w:rsid w:val="32F466F0"/>
    <w:rsid w:val="34833930"/>
    <w:rsid w:val="34C26EC9"/>
    <w:rsid w:val="350D601C"/>
    <w:rsid w:val="354B108F"/>
    <w:rsid w:val="35505F08"/>
    <w:rsid w:val="35D1164F"/>
    <w:rsid w:val="361209CC"/>
    <w:rsid w:val="367B0D63"/>
    <w:rsid w:val="375F2144"/>
    <w:rsid w:val="378105FB"/>
    <w:rsid w:val="378679C0"/>
    <w:rsid w:val="379D23E0"/>
    <w:rsid w:val="381C20D2"/>
    <w:rsid w:val="38417D8A"/>
    <w:rsid w:val="3848736B"/>
    <w:rsid w:val="38D46E50"/>
    <w:rsid w:val="397E3E8C"/>
    <w:rsid w:val="39F94DC1"/>
    <w:rsid w:val="3A1C460B"/>
    <w:rsid w:val="3A865F28"/>
    <w:rsid w:val="3AAF36D1"/>
    <w:rsid w:val="3B36748F"/>
    <w:rsid w:val="3C0D4B53"/>
    <w:rsid w:val="3C4F72DF"/>
    <w:rsid w:val="3C8D3764"/>
    <w:rsid w:val="3E36339F"/>
    <w:rsid w:val="3FA22C79"/>
    <w:rsid w:val="40896772"/>
    <w:rsid w:val="410323DD"/>
    <w:rsid w:val="418A56D1"/>
    <w:rsid w:val="418C2076"/>
    <w:rsid w:val="42F9198D"/>
    <w:rsid w:val="43413334"/>
    <w:rsid w:val="43DB72E5"/>
    <w:rsid w:val="442C3A4A"/>
    <w:rsid w:val="44BA6EFA"/>
    <w:rsid w:val="452A22D2"/>
    <w:rsid w:val="467A71EB"/>
    <w:rsid w:val="467C6266"/>
    <w:rsid w:val="47F6064A"/>
    <w:rsid w:val="48515DC8"/>
    <w:rsid w:val="487D3F41"/>
    <w:rsid w:val="49816239"/>
    <w:rsid w:val="4A1E7F2C"/>
    <w:rsid w:val="4A3B0ADD"/>
    <w:rsid w:val="4B1A2EAE"/>
    <w:rsid w:val="4BCD1C09"/>
    <w:rsid w:val="4BF215BE"/>
    <w:rsid w:val="4CE37103"/>
    <w:rsid w:val="4D495A2D"/>
    <w:rsid w:val="4D527006"/>
    <w:rsid w:val="4D666E9E"/>
    <w:rsid w:val="4D7565F5"/>
    <w:rsid w:val="4D8443AD"/>
    <w:rsid w:val="4D896004"/>
    <w:rsid w:val="4D9C5D37"/>
    <w:rsid w:val="4DAC6B0C"/>
    <w:rsid w:val="4E1F4272"/>
    <w:rsid w:val="4E320449"/>
    <w:rsid w:val="4E7E7051"/>
    <w:rsid w:val="4EA50C1B"/>
    <w:rsid w:val="4EC217CD"/>
    <w:rsid w:val="4EC22CB4"/>
    <w:rsid w:val="4F010748"/>
    <w:rsid w:val="4F3501F1"/>
    <w:rsid w:val="50AF18DD"/>
    <w:rsid w:val="50F67349"/>
    <w:rsid w:val="51356102"/>
    <w:rsid w:val="51385D77"/>
    <w:rsid w:val="516040B1"/>
    <w:rsid w:val="51D9182F"/>
    <w:rsid w:val="52AD1179"/>
    <w:rsid w:val="52CE2BDF"/>
    <w:rsid w:val="530528F0"/>
    <w:rsid w:val="533F163E"/>
    <w:rsid w:val="53B316E5"/>
    <w:rsid w:val="54C87412"/>
    <w:rsid w:val="54D9517B"/>
    <w:rsid w:val="54EF0E42"/>
    <w:rsid w:val="5531145B"/>
    <w:rsid w:val="55384597"/>
    <w:rsid w:val="55AD7BC7"/>
    <w:rsid w:val="55DB0099"/>
    <w:rsid w:val="56004989"/>
    <w:rsid w:val="57004092"/>
    <w:rsid w:val="576F2F50"/>
    <w:rsid w:val="57A65048"/>
    <w:rsid w:val="57D12A81"/>
    <w:rsid w:val="57DB3900"/>
    <w:rsid w:val="57FB7AFE"/>
    <w:rsid w:val="585F62DF"/>
    <w:rsid w:val="58733B38"/>
    <w:rsid w:val="58AB24D3"/>
    <w:rsid w:val="58FE2F4F"/>
    <w:rsid w:val="597E6B4A"/>
    <w:rsid w:val="5A2E4F14"/>
    <w:rsid w:val="5A3B68D8"/>
    <w:rsid w:val="5A58763C"/>
    <w:rsid w:val="5ADC3C17"/>
    <w:rsid w:val="5AF076C2"/>
    <w:rsid w:val="5B2703BF"/>
    <w:rsid w:val="5E2C6171"/>
    <w:rsid w:val="5E331DA0"/>
    <w:rsid w:val="5E8B1BDC"/>
    <w:rsid w:val="5F4B3119"/>
    <w:rsid w:val="5FE23141"/>
    <w:rsid w:val="60001B6F"/>
    <w:rsid w:val="60400411"/>
    <w:rsid w:val="60AE1BB1"/>
    <w:rsid w:val="61077514"/>
    <w:rsid w:val="615838CB"/>
    <w:rsid w:val="621C2B4B"/>
    <w:rsid w:val="625C563D"/>
    <w:rsid w:val="62742987"/>
    <w:rsid w:val="62C51434"/>
    <w:rsid w:val="63A66B70"/>
    <w:rsid w:val="63C24D92"/>
    <w:rsid w:val="640D6BEF"/>
    <w:rsid w:val="6499200B"/>
    <w:rsid w:val="64A44A44"/>
    <w:rsid w:val="64D703D1"/>
    <w:rsid w:val="65586590"/>
    <w:rsid w:val="65984BDE"/>
    <w:rsid w:val="660E3E54"/>
    <w:rsid w:val="66522FDF"/>
    <w:rsid w:val="66761E42"/>
    <w:rsid w:val="670921B5"/>
    <w:rsid w:val="67780823"/>
    <w:rsid w:val="677F6056"/>
    <w:rsid w:val="67B33F51"/>
    <w:rsid w:val="68ED228A"/>
    <w:rsid w:val="69006D22"/>
    <w:rsid w:val="691B0000"/>
    <w:rsid w:val="692F13B6"/>
    <w:rsid w:val="699D6C67"/>
    <w:rsid w:val="6A2D7FEB"/>
    <w:rsid w:val="6A591EC9"/>
    <w:rsid w:val="6AA367B5"/>
    <w:rsid w:val="6B60619E"/>
    <w:rsid w:val="6B68305E"/>
    <w:rsid w:val="6BC4672D"/>
    <w:rsid w:val="6C4B4A70"/>
    <w:rsid w:val="6CB2557D"/>
    <w:rsid w:val="6D9013CC"/>
    <w:rsid w:val="6E0A419F"/>
    <w:rsid w:val="6E200CBB"/>
    <w:rsid w:val="6E9128A6"/>
    <w:rsid w:val="6E934195"/>
    <w:rsid w:val="6EB63269"/>
    <w:rsid w:val="6F5E47A3"/>
    <w:rsid w:val="6F7C0E99"/>
    <w:rsid w:val="6FC92E20"/>
    <w:rsid w:val="70052E70"/>
    <w:rsid w:val="70141305"/>
    <w:rsid w:val="701B6B38"/>
    <w:rsid w:val="716F06CC"/>
    <w:rsid w:val="71722787"/>
    <w:rsid w:val="71775FF0"/>
    <w:rsid w:val="71A52B5D"/>
    <w:rsid w:val="71E9433F"/>
    <w:rsid w:val="71FB452B"/>
    <w:rsid w:val="72B156D0"/>
    <w:rsid w:val="731623B9"/>
    <w:rsid w:val="73634FBB"/>
    <w:rsid w:val="738437CC"/>
    <w:rsid w:val="74542618"/>
    <w:rsid w:val="74634609"/>
    <w:rsid w:val="7472484C"/>
    <w:rsid w:val="74786307"/>
    <w:rsid w:val="74DD0860"/>
    <w:rsid w:val="752B5127"/>
    <w:rsid w:val="76051E1C"/>
    <w:rsid w:val="765608C9"/>
    <w:rsid w:val="76BB072D"/>
    <w:rsid w:val="77667C7B"/>
    <w:rsid w:val="786C7F30"/>
    <w:rsid w:val="78C25DA2"/>
    <w:rsid w:val="78FB3062"/>
    <w:rsid w:val="79246A5D"/>
    <w:rsid w:val="79314CD6"/>
    <w:rsid w:val="793842B6"/>
    <w:rsid w:val="79C3561E"/>
    <w:rsid w:val="7A446C61"/>
    <w:rsid w:val="7C1F350C"/>
    <w:rsid w:val="7CB67090"/>
    <w:rsid w:val="7CEE584C"/>
    <w:rsid w:val="7D741635"/>
    <w:rsid w:val="7E01736D"/>
    <w:rsid w:val="7E6F077A"/>
    <w:rsid w:val="7E9815D8"/>
    <w:rsid w:val="7EA366EB"/>
    <w:rsid w:val="7EB02B41"/>
    <w:rsid w:val="7F855D7C"/>
    <w:rsid w:val="7FA97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5374</Words>
  <Characters>5546</Characters>
  <Lines>0</Lines>
  <Paragraphs>0</Paragraphs>
  <TotalTime>0</TotalTime>
  <ScaleCrop>false</ScaleCrop>
  <LinksUpToDate>false</LinksUpToDate>
  <CharactersWithSpaces>5649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2025-12-23T19:44:18Z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