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22699"/>
      <w:bookmarkStart w:id="16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6"/>
      <w:r>
        <w:rPr>
          <w:rFonts w:hint="eastAsia"/>
          <w:lang w:val="en-US" w:eastAsia="zh-CN"/>
        </w:rPr>
        <w:t>云南腾电科技有限公司</w:t>
      </w:r>
      <w:bookmarkEnd w:id="0"/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6393"/>
      <w:r>
        <w:rPr>
          <w:rFonts w:hint="eastAsia"/>
          <w:lang w:val="en-US" w:eastAsia="zh-CN"/>
        </w:rPr>
        <w:t>曲靖供电局110kV变电站电力监控系统网络安全态势感知系统建设-项目阶段性总结报告（YNTD-ITSS-0904）</w:t>
      </w:r>
      <w:bookmarkEnd w:id="1"/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2022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  <w:shd w:val="clear" w:color="auto" w:fill="auto"/>
            <w:vAlign w:val="top"/>
          </w:tcPr>
          <w:p w14:paraId="0320F66E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  <w:shd w:val="clear" w:color="auto" w:fill="auto"/>
            <w:vAlign w:val="top"/>
          </w:tcPr>
          <w:p w14:paraId="76E7ED73">
            <w:pPr>
              <w:pStyle w:val="27"/>
              <w:spacing w:before="230" w:line="237" w:lineRule="auto"/>
              <w:ind w:left="10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spacing w:val="-1"/>
              </w:rPr>
              <w:t>2025.1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80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4F8570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FB96D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55060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曲靖供电局110kV变电站电力监控系统网络安全态势感知系统建设-项目阶段性总结报告（YNTD-ITSS-0904）</w:t>
          </w:r>
          <w:r>
            <w:tab/>
          </w:r>
          <w:r>
            <w:fldChar w:fldCharType="begin"/>
          </w:r>
          <w:r>
            <w:instrText xml:space="preserve"> PAGEREF _Toc26393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7474A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_Toc20224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_Toc20224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AB574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_Toc9640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运维服务概述</w:t>
          </w:r>
          <w:r>
            <w:tab/>
          </w:r>
          <w:r>
            <w:fldChar w:fldCharType="begin"/>
          </w:r>
          <w:r>
            <w:instrText xml:space="preserve"> PAGEREF _Toc9640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0419E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_Toc24265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本阶段主要运维工作内容</w:t>
          </w:r>
          <w:r>
            <w:tab/>
          </w:r>
          <w:r>
            <w:fldChar w:fldCharType="begin"/>
          </w:r>
          <w:r>
            <w:instrText xml:space="preserve"> PAGEREF _Toc24265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643F9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系统监控与日常巡检</w:t>
          </w:r>
          <w:r>
            <w:tab/>
          </w:r>
          <w:r>
            <w:fldChar w:fldCharType="begin"/>
          </w:r>
          <w:r>
            <w:instrText xml:space="preserve"> PAGEREF _Toc903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79E68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_Toc20129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事件响应与故障处理</w:t>
          </w:r>
          <w:r>
            <w:tab/>
          </w:r>
          <w:r>
            <w:fldChar w:fldCharType="begin"/>
          </w:r>
          <w:r>
            <w:instrText xml:space="preserve"> PAGEREF _Toc20129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84C6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_Toc1094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系统维护与优化</w:t>
          </w:r>
          <w:r>
            <w:tab/>
          </w:r>
          <w:r>
            <w:fldChar w:fldCharType="begin"/>
          </w:r>
          <w:r>
            <w:instrText xml:space="preserve"> PAGEREF _Toc1094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35FC5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_Toc5546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知识传递与协作</w:t>
          </w:r>
          <w:r>
            <w:tab/>
          </w:r>
          <w:r>
            <w:fldChar w:fldCharType="begin"/>
          </w:r>
          <w:r>
            <w:instrText xml:space="preserve"> PAGEREF _Toc5546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F384C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运维成果与成效分析</w:t>
          </w:r>
          <w:r>
            <w:tab/>
          </w:r>
          <w:r>
            <w:fldChar w:fldCharType="begin"/>
          </w:r>
          <w:r>
            <w:instrText xml:space="preserve"> PAGEREF _Toc9459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08F40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_Toc23913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系统稳定性得到验证</w:t>
          </w:r>
          <w:r>
            <w:tab/>
          </w:r>
          <w:r>
            <w:fldChar w:fldCharType="begin"/>
          </w:r>
          <w:r>
            <w:instrText xml:space="preserve"> PAGEREF _Toc23913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7C16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_Toc12032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安全监测价值初步显现</w:t>
          </w:r>
          <w:r>
            <w:tab/>
          </w:r>
          <w:r>
            <w:fldChar w:fldCharType="begin"/>
          </w:r>
          <w:r>
            <w:instrText xml:space="preserve"> PAGEREF _Toc12032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7115CD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_Toc32646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运维流程初步固化</w:t>
          </w:r>
          <w:r>
            <w:tab/>
          </w:r>
          <w:r>
            <w:fldChar w:fldCharType="begin"/>
          </w:r>
          <w:r>
            <w:instrText xml:space="preserve"> PAGEREF _Toc32646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B72EBB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_Toc23433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遇到的问题与改进措施</w:t>
          </w:r>
          <w:r>
            <w:tab/>
          </w:r>
          <w:r>
            <w:fldChar w:fldCharType="begin"/>
          </w:r>
          <w:r>
            <w:instrText xml:space="preserve"> PAGEREF _Toc23433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BD6DC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下一阶段运维工作计划建议</w:t>
          </w:r>
          <w:r>
            <w:tab/>
          </w:r>
          <w:r>
            <w:fldChar w:fldCharType="begin"/>
          </w:r>
          <w:r>
            <w:instrText xml:space="preserve"> PAGEREF _Toc18028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F2B4F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_Toc4587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结论</w:t>
          </w:r>
          <w:r>
            <w:tab/>
          </w:r>
          <w:r>
            <w:fldChar w:fldCharType="begin"/>
          </w:r>
          <w:r>
            <w:instrText xml:space="preserve"> PAGEREF _Toc4587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B30018">
          <w:r>
            <w:fldChar w:fldCharType="end"/>
          </w:r>
        </w:p>
      </w:sdtContent>
    </w:sdt>
    <w:p w14:paraId="28B987C4"/>
    <w:p w14:paraId="0FAA1F62">
      <w:pPr>
        <w:rPr>
          <w:rFonts w:hint="eastAsia"/>
        </w:rPr>
      </w:pPr>
      <w:r>
        <w:rPr>
          <w:rFonts w:hint="eastAsia"/>
        </w:rPr>
        <w:br w:type="page"/>
      </w:r>
    </w:p>
    <w:p w14:paraId="02A10D1E">
      <w:pPr>
        <w:pStyle w:val="29"/>
        <w:bidi w:val="0"/>
        <w:rPr>
          <w:rFonts w:hint="eastAsia"/>
        </w:rPr>
      </w:pPr>
      <w:bookmarkStart w:id="3" w:name="_Toc9640"/>
      <w:r>
        <w:rPr>
          <w:rFonts w:hint="eastAsia"/>
        </w:rPr>
        <w:t>运维服务概述</w:t>
      </w:r>
      <w:bookmarkEnd w:id="3"/>
    </w:p>
    <w:p w14:paraId="3FE1FF44">
      <w:pPr>
        <w:pStyle w:val="30"/>
        <w:bidi w:val="0"/>
        <w:rPr>
          <w:rFonts w:hint="eastAsia"/>
        </w:rPr>
      </w:pPr>
      <w:r>
        <w:rPr>
          <w:rFonts w:hint="eastAsia"/>
        </w:rPr>
        <w:t>自曲靖供电局110kV变电站电力监控系统网络安全态势感知系统（以下简称“系统”）于2025年10月31日完成项目终验并正式交付以来，我方（云南中恒与云南腾电联合服务团队）依据运维服务协议，为该系统提供了为期两个月的首期运维保障服务。</w:t>
      </w:r>
    </w:p>
    <w:p w14:paraId="3ABA14DD">
      <w:pPr>
        <w:pStyle w:val="30"/>
        <w:bidi w:val="0"/>
        <w:rPr>
          <w:rFonts w:hint="eastAsia"/>
        </w:rPr>
      </w:pPr>
      <w:r>
        <w:rPr>
          <w:rFonts w:hint="eastAsia"/>
        </w:rPr>
        <w:t>本阶段运维工作的核心目标是：确保系统从“项目交付”向“稳定运营”平稳过渡，保障系统7x24小时稳定运行，有效发挥网络安全监测与预警效能，并初步建立常态化的运维协作机制。本报告旨在对本阶段运维服务工作进行全面回顾、总结与评估。</w:t>
      </w:r>
    </w:p>
    <w:p w14:paraId="63071649">
      <w:pPr>
        <w:pStyle w:val="29"/>
        <w:bidi w:val="0"/>
        <w:rPr>
          <w:rFonts w:hint="eastAsia"/>
        </w:rPr>
      </w:pPr>
      <w:bookmarkStart w:id="4" w:name="_Toc24265"/>
      <w:r>
        <w:rPr>
          <w:rFonts w:hint="eastAsia"/>
        </w:rPr>
        <w:t>本阶段主要运维工作内容</w:t>
      </w:r>
      <w:bookmarkEnd w:id="4"/>
    </w:p>
    <w:p w14:paraId="16614ACF">
      <w:pPr>
        <w:pStyle w:val="31"/>
        <w:bidi w:val="0"/>
        <w:rPr>
          <w:rFonts w:hint="eastAsia"/>
        </w:rPr>
      </w:pPr>
      <w:bookmarkStart w:id="5" w:name="_Toc903"/>
      <w:r>
        <w:rPr>
          <w:rFonts w:hint="eastAsia"/>
        </w:rPr>
        <w:t>系统监控与日常巡检</w:t>
      </w:r>
      <w:bookmarkEnd w:id="5"/>
    </w:p>
    <w:p w14:paraId="29C23BC6">
      <w:pPr>
        <w:pStyle w:val="30"/>
        <w:bidi w:val="0"/>
        <w:rPr>
          <w:rFonts w:hint="eastAsia"/>
        </w:rPr>
      </w:pPr>
      <w:r>
        <w:rPr>
          <w:rFonts w:hint="eastAsia"/>
        </w:rPr>
        <w:t>实施情况： 建立了每日、每周两级巡检制度。每日通过平台自监控模块检查核心服务进程、数据采集流量、存储空间及CPU/内存使用率；每周进行深度巡检，包括日志完整性分析、规则库更新状态核查及备份任务验证。</w:t>
      </w:r>
    </w:p>
    <w:p w14:paraId="309C0C92">
      <w:pPr>
        <w:pStyle w:val="30"/>
        <w:bidi w:val="0"/>
        <w:rPr>
          <w:rFonts w:hint="eastAsia"/>
        </w:rPr>
      </w:pPr>
      <w:r>
        <w:rPr>
          <w:rFonts w:hint="eastAsia"/>
        </w:rPr>
        <w:t>关键数据： 本阶段累计执行日常巡检62次，周度深度巡检9次，生成巡检报告71份。系统核心服务可用性持续保持在99.95% 以上。</w:t>
      </w:r>
    </w:p>
    <w:p w14:paraId="1275418E">
      <w:pPr>
        <w:pStyle w:val="31"/>
        <w:bidi w:val="0"/>
        <w:rPr>
          <w:rFonts w:hint="eastAsia"/>
        </w:rPr>
      </w:pPr>
      <w:bookmarkStart w:id="6" w:name="_Toc20129"/>
      <w:r>
        <w:rPr>
          <w:rFonts w:hint="eastAsia"/>
        </w:rPr>
        <w:t>事件响应与故障处理</w:t>
      </w:r>
      <w:bookmarkEnd w:id="6"/>
    </w:p>
    <w:p w14:paraId="2913B64B">
      <w:pPr>
        <w:pStyle w:val="30"/>
        <w:bidi w:val="0"/>
        <w:rPr>
          <w:rFonts w:hint="eastAsia"/>
        </w:rPr>
      </w:pPr>
      <w:r>
        <w:rPr>
          <w:rFonts w:hint="eastAsia"/>
        </w:rPr>
        <w:t>实施情况： 提供7x24小时应急响应通道。共接收并处理各类告警及事件单15起，其中：</w:t>
      </w:r>
    </w:p>
    <w:p w14:paraId="460102EF">
      <w:pPr>
        <w:pStyle w:val="30"/>
        <w:bidi w:val="0"/>
        <w:rPr>
          <w:rFonts w:hint="eastAsia"/>
        </w:rPr>
      </w:pPr>
      <w:r>
        <w:rPr>
          <w:rFonts w:hint="eastAsia"/>
        </w:rPr>
        <w:t>安全事件告警： 8起（经分析，7起为误报或低风险扫描行为，1起为内部策略违规访问，已协助闭环处置）。</w:t>
      </w:r>
    </w:p>
    <w:p w14:paraId="12648221">
      <w:pPr>
        <w:pStyle w:val="30"/>
        <w:bidi w:val="0"/>
        <w:rPr>
          <w:rFonts w:hint="eastAsia"/>
        </w:rPr>
      </w:pPr>
      <w:r>
        <w:rPr>
          <w:rFonts w:hint="eastAsia"/>
        </w:rPr>
        <w:t>系统性能告警： 5起（主要为特定时段数据峰值导致的分析延迟，通过优化队列策略已解决）。</w:t>
      </w:r>
    </w:p>
    <w:p w14:paraId="11A67864">
      <w:pPr>
        <w:pStyle w:val="30"/>
        <w:bidi w:val="0"/>
        <w:rPr>
          <w:rFonts w:hint="eastAsia"/>
        </w:rPr>
      </w:pPr>
      <w:r>
        <w:rPr>
          <w:rFonts w:hint="eastAsia"/>
        </w:rPr>
        <w:t>采集异常： 2起（1起为网络波动导致，1起为探针配置漂移，均已快速恢复）。</w:t>
      </w:r>
    </w:p>
    <w:p w14:paraId="030119B3">
      <w:pPr>
        <w:pStyle w:val="30"/>
        <w:bidi w:val="0"/>
        <w:rPr>
          <w:rFonts w:hint="eastAsia"/>
        </w:rPr>
      </w:pPr>
      <w:r>
        <w:rPr>
          <w:rFonts w:hint="eastAsia"/>
        </w:rPr>
        <w:t>关键指标： 所有事件均实现100%响应，严重及以上事件（如有）的解决时间满足SLA要求（&lt;4小时）。平均事件解决时长（MTTR）为 2.1小时。</w:t>
      </w:r>
    </w:p>
    <w:p w14:paraId="19533414">
      <w:pPr>
        <w:pStyle w:val="31"/>
        <w:bidi w:val="0"/>
        <w:rPr>
          <w:rFonts w:hint="eastAsia"/>
        </w:rPr>
      </w:pPr>
      <w:bookmarkStart w:id="7" w:name="_Toc1094"/>
      <w:r>
        <w:rPr>
          <w:rFonts w:hint="eastAsia"/>
        </w:rPr>
        <w:t>系统维护与优化</w:t>
      </w:r>
      <w:bookmarkEnd w:id="7"/>
    </w:p>
    <w:p w14:paraId="66BD5A6F">
      <w:pPr>
        <w:pStyle w:val="40"/>
        <w:bidi w:val="0"/>
        <w:rPr>
          <w:rFonts w:hint="eastAsia"/>
        </w:rPr>
      </w:pPr>
      <w:r>
        <w:rPr>
          <w:rFonts w:hint="eastAsia"/>
        </w:rPr>
        <w:t>实施情况：</w:t>
      </w:r>
    </w:p>
    <w:p w14:paraId="7C2EDAFB">
      <w:pPr>
        <w:pStyle w:val="40"/>
        <w:bidi w:val="0"/>
        <w:rPr>
          <w:rFonts w:hint="eastAsia"/>
        </w:rPr>
      </w:pPr>
      <w:r>
        <w:rPr>
          <w:rFonts w:hint="eastAsia"/>
        </w:rPr>
        <w:t>规则与模型优化： 根据初期运行产生的告警数据，协同甲方安全分析人员，对3条产生高频误报的检测规则进行了阈值调优，误报率下降约40%。</w:t>
      </w:r>
    </w:p>
    <w:p w14:paraId="327CB3BE">
      <w:pPr>
        <w:pStyle w:val="40"/>
        <w:bidi w:val="0"/>
        <w:rPr>
          <w:rFonts w:hint="eastAsia"/>
        </w:rPr>
      </w:pPr>
      <w:r>
        <w:rPr>
          <w:rFonts w:hint="eastAsia"/>
        </w:rPr>
        <w:t>性能调优： 针对试运行期间发现的特定复杂查询响应较慢的问题，对数据库索引进行了优化，相关场景查询效率提升约60%。</w:t>
      </w:r>
    </w:p>
    <w:p w14:paraId="5959CFE1">
      <w:pPr>
        <w:pStyle w:val="40"/>
        <w:bidi w:val="0"/>
        <w:rPr>
          <w:rFonts w:hint="eastAsia"/>
        </w:rPr>
      </w:pPr>
      <w:r>
        <w:rPr>
          <w:rFonts w:hint="eastAsia"/>
        </w:rPr>
        <w:t>补丁与更新： 在甲方批准的维护窗口内，完成了态势感知平台一次小版本补丁更新，修复了已知的次要缺陷。</w:t>
      </w:r>
    </w:p>
    <w:p w14:paraId="37B8D3DB">
      <w:pPr>
        <w:pStyle w:val="31"/>
        <w:bidi w:val="0"/>
        <w:rPr>
          <w:rFonts w:hint="eastAsia"/>
        </w:rPr>
      </w:pPr>
      <w:bookmarkStart w:id="8" w:name="_Toc5546"/>
      <w:r>
        <w:rPr>
          <w:rFonts w:hint="eastAsia"/>
        </w:rPr>
        <w:t>知识传递与协作</w:t>
      </w:r>
      <w:bookmarkEnd w:id="8"/>
    </w:p>
    <w:p w14:paraId="06BD848F">
      <w:pPr>
        <w:pStyle w:val="40"/>
        <w:bidi w:val="0"/>
        <w:rPr>
          <w:rFonts w:hint="eastAsia"/>
        </w:rPr>
      </w:pPr>
      <w:r>
        <w:rPr>
          <w:rFonts w:hint="eastAsia"/>
        </w:rPr>
        <w:t>实施情况： 组织了2次专题培训，内容分别为“平台日常运维操作进阶”和“典型安全事件分析案例复盘”。同时，通过日常事件处置的“实战带教”，持续向甲方运维团队传递经验。</w:t>
      </w:r>
    </w:p>
    <w:p w14:paraId="475D768F">
      <w:pPr>
        <w:pStyle w:val="40"/>
        <w:bidi w:val="0"/>
        <w:rPr>
          <w:rFonts w:hint="eastAsia"/>
        </w:rPr>
      </w:pPr>
      <w:r>
        <w:rPr>
          <w:rFonts w:hint="eastAsia"/>
        </w:rPr>
        <w:t>协作机制： 建立了“运维协作群”作为日常沟通主渠道，并坚持每周进行一次运维周会，同步状态、对齐问题、规划工作，运行顺畅。</w:t>
      </w:r>
    </w:p>
    <w:p w14:paraId="6AEFEA99">
      <w:pPr>
        <w:pStyle w:val="29"/>
        <w:bidi w:val="0"/>
        <w:rPr>
          <w:rFonts w:hint="eastAsia"/>
        </w:rPr>
      </w:pPr>
      <w:bookmarkStart w:id="9" w:name="_Toc9459"/>
      <w:r>
        <w:rPr>
          <w:rFonts w:hint="eastAsia"/>
        </w:rPr>
        <w:t>运维成果与成效分析</w:t>
      </w:r>
      <w:bookmarkEnd w:id="9"/>
    </w:p>
    <w:p w14:paraId="093FC57C">
      <w:pPr>
        <w:pStyle w:val="31"/>
        <w:bidi w:val="0"/>
        <w:rPr>
          <w:rFonts w:hint="eastAsia"/>
        </w:rPr>
      </w:pPr>
      <w:bookmarkStart w:id="10" w:name="_Toc23913"/>
      <w:r>
        <w:rPr>
          <w:rFonts w:hint="eastAsia"/>
        </w:rPr>
        <w:t>系统稳定性得到验证</w:t>
      </w:r>
      <w:bookmarkEnd w:id="10"/>
    </w:p>
    <w:p w14:paraId="2677DF2C">
      <w:pPr>
        <w:pStyle w:val="30"/>
        <w:bidi w:val="0"/>
        <w:rPr>
          <w:rFonts w:hint="eastAsia"/>
        </w:rPr>
      </w:pPr>
      <w:r>
        <w:rPr>
          <w:rFonts w:hint="eastAsia"/>
        </w:rPr>
        <w:t>经过两个月的连续运行，系统硬件、软件及架构层面均未出现重大故障，高可用机制在计划内重启测试中切换成功，验证了前期建设与扩容成果的可靠性。</w:t>
      </w:r>
    </w:p>
    <w:p w14:paraId="2E23B966">
      <w:pPr>
        <w:pStyle w:val="31"/>
        <w:bidi w:val="0"/>
        <w:rPr>
          <w:rFonts w:hint="eastAsia"/>
        </w:rPr>
      </w:pPr>
      <w:bookmarkStart w:id="11" w:name="_Toc12032"/>
      <w:r>
        <w:rPr>
          <w:rFonts w:hint="eastAsia"/>
        </w:rPr>
        <w:t>安全监测价值初步显现</w:t>
      </w:r>
      <w:bookmarkEnd w:id="11"/>
    </w:p>
    <w:p w14:paraId="00A15F68">
      <w:pPr>
        <w:pStyle w:val="30"/>
        <w:bidi w:val="0"/>
        <w:rPr>
          <w:rFonts w:hint="eastAsia"/>
        </w:rPr>
      </w:pPr>
      <w:r>
        <w:rPr>
          <w:rFonts w:hint="eastAsia"/>
        </w:rPr>
        <w:t>系统累计采集并分析安全日志超</w:t>
      </w:r>
      <w:r>
        <w:rPr>
          <w:rFonts w:hint="eastAsia"/>
          <w:lang w:val="en-US" w:eastAsia="zh-CN"/>
        </w:rPr>
        <w:t>千</w:t>
      </w:r>
      <w:r>
        <w:rPr>
          <w:rFonts w:hint="eastAsia"/>
        </w:rPr>
        <w:t>条，初步构建了变电站监控网络的安全基线。成功识别并协助处置1起内部策略违规事件，证明了系统在发现“违规”和“异常”方面的能力，安全价值开始体现。</w:t>
      </w:r>
    </w:p>
    <w:p w14:paraId="163D99E2">
      <w:pPr>
        <w:pStyle w:val="31"/>
        <w:bidi w:val="0"/>
        <w:rPr>
          <w:rFonts w:hint="eastAsia"/>
        </w:rPr>
      </w:pPr>
      <w:bookmarkStart w:id="12" w:name="_Toc32646"/>
      <w:r>
        <w:rPr>
          <w:rFonts w:hint="eastAsia"/>
        </w:rPr>
        <w:t>运维流程初步固化</w:t>
      </w:r>
      <w:bookmarkEnd w:id="12"/>
    </w:p>
    <w:p w14:paraId="064A796D">
      <w:pPr>
        <w:pStyle w:val="30"/>
        <w:bidi w:val="0"/>
        <w:rPr>
          <w:rFonts w:hint="eastAsia"/>
        </w:rPr>
      </w:pPr>
      <w:r>
        <w:rPr>
          <w:rFonts w:hint="eastAsia"/>
        </w:rPr>
        <w:t>双方团队共同磨合，形成了从“事件发现-&gt;通报确认-&gt;联合分析-&gt;处置闭环-&gt;报告归档”的初步协同流程，为后续长期自主运维与托管服务相结合的模式奠定了基础。</w:t>
      </w:r>
    </w:p>
    <w:p w14:paraId="37DEDD51">
      <w:pPr>
        <w:pStyle w:val="29"/>
        <w:bidi w:val="0"/>
        <w:rPr>
          <w:rFonts w:hint="eastAsia"/>
        </w:rPr>
      </w:pPr>
      <w:bookmarkStart w:id="13" w:name="_Toc23433"/>
      <w:r>
        <w:rPr>
          <w:rFonts w:hint="eastAsia"/>
        </w:rPr>
        <w:t>遇到的问题与改进措施</w:t>
      </w:r>
      <w:bookmarkEnd w:id="13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3"/>
        <w:gridCol w:w="1627"/>
        <w:gridCol w:w="2092"/>
        <w:gridCol w:w="2131"/>
        <w:gridCol w:w="2225"/>
      </w:tblGrid>
      <w:tr w14:paraId="25DA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4FC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93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2EC4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原因分析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4CC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已采取的改进措施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82B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后续建议</w:t>
            </w:r>
          </w:p>
        </w:tc>
      </w:tr>
      <w:tr w14:paraId="1D3C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DE4A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55A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部分威胁告警规则误报率偏高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774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初期规则阈值基于通用场景设定，未完全贴合本地网络实际流量模式。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2F4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结合本地流量白名单和业务特征，对相关规则进行了参数调优。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935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建议建立定期的规则评审与优化机制（如每季度一次），持续打磨检测精准度。</w:t>
            </w:r>
          </w:p>
        </w:tc>
      </w:tr>
      <w:tr w14:paraId="2ED3C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813B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DF6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甲方运维人员对深度分析功能使用不熟练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B9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项目培训偏重基础操作，实战分析经验需积累。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55C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通过案例复盘进行针对性带教，并提供了常见分析场景的“操作手册”。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9404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计划下一阶段开展“威胁狩猎”专项培训，提升主动发现能力。</w:t>
            </w:r>
          </w:p>
        </w:tc>
      </w:tr>
      <w:tr w14:paraId="319A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4234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413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运维数据（如报表）未能完全对接甲方管理需求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71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初期报表模板为通用格式。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108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已收集甲方管理层的具体报表需求，正在定制开发2张管理视图。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CA30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建议建立常态化的需求反馈渠道，使运维输出更好地服务于管理决策。</w:t>
            </w:r>
          </w:p>
        </w:tc>
      </w:tr>
    </w:tbl>
    <w:p w14:paraId="5ACBD6C8">
      <w:pPr>
        <w:pStyle w:val="29"/>
        <w:bidi w:val="0"/>
        <w:rPr>
          <w:rFonts w:hint="eastAsia"/>
        </w:rPr>
      </w:pPr>
      <w:bookmarkStart w:id="14" w:name="_Toc18028"/>
      <w:r>
        <w:rPr>
          <w:rFonts w:hint="eastAsia"/>
        </w:rPr>
        <w:t>下一阶段运维工作计划建议</w:t>
      </w:r>
      <w:bookmarkEnd w:id="14"/>
    </w:p>
    <w:p w14:paraId="4E6B0204">
      <w:pPr>
        <w:pStyle w:val="30"/>
        <w:bidi w:val="0"/>
        <w:rPr>
          <w:rFonts w:hint="eastAsia"/>
        </w:rPr>
      </w:pPr>
      <w:r>
        <w:rPr>
          <w:rFonts w:hint="eastAsia"/>
        </w:rPr>
        <w:t>基于本阶段总结，对下一阶段（2026年第一季度）运维工作提出以下计划建议：</w:t>
      </w:r>
    </w:p>
    <w:p w14:paraId="08E8FE86">
      <w:pPr>
        <w:pStyle w:val="30"/>
        <w:bidi w:val="0"/>
        <w:rPr>
          <w:rFonts w:hint="eastAsia"/>
        </w:rPr>
      </w:pPr>
      <w:r>
        <w:rPr>
          <w:rFonts w:hint="eastAsia"/>
        </w:rPr>
        <w:t>深化主动运维： 从“保障稳定”向“赋能业务”延伸。重点开展资产脆弱性关联分析，将态势感知数据与漏洞扫描结果结合，输出更具针对性的风险修复建议。</w:t>
      </w:r>
    </w:p>
    <w:p w14:paraId="44398130">
      <w:pPr>
        <w:pStyle w:val="30"/>
        <w:bidi w:val="0"/>
        <w:rPr>
          <w:rFonts w:hint="eastAsia"/>
        </w:rPr>
      </w:pPr>
      <w:r>
        <w:rPr>
          <w:rFonts w:hint="eastAsia"/>
        </w:rPr>
        <w:t>开展专项演练： 计划在2026年Q1组织一次小范围的网络安全监测与响应桌面推演，检验并优化应急预案和协同流程。</w:t>
      </w:r>
    </w:p>
    <w:p w14:paraId="326752E6">
      <w:pPr>
        <w:pStyle w:val="30"/>
        <w:bidi w:val="0"/>
        <w:rPr>
          <w:rFonts w:hint="eastAsia"/>
        </w:rPr>
      </w:pPr>
      <w:r>
        <w:rPr>
          <w:rFonts w:hint="eastAsia"/>
        </w:rPr>
        <w:t>完善知识库： 系统化梳理本阶段遇到的事件及解决方案，初步构建该系统的“本地化知识库”，降低对核心人员的依赖。</w:t>
      </w:r>
    </w:p>
    <w:p w14:paraId="75B12446">
      <w:pPr>
        <w:pStyle w:val="30"/>
        <w:bidi w:val="0"/>
        <w:rPr>
          <w:rFonts w:hint="eastAsia"/>
        </w:rPr>
      </w:pPr>
      <w:r>
        <w:rPr>
          <w:rFonts w:hint="eastAsia"/>
        </w:rPr>
        <w:t>性能容量评估： 对系统运行至第一季度的性能与容量数据进行趋势分析，评估现有资源对未来半年业务增长的支撑能力，必要时提前规划调整。</w:t>
      </w:r>
    </w:p>
    <w:p w14:paraId="68982EF4">
      <w:pPr>
        <w:pStyle w:val="29"/>
        <w:bidi w:val="0"/>
        <w:rPr>
          <w:rFonts w:hint="eastAsia"/>
        </w:rPr>
      </w:pPr>
      <w:bookmarkStart w:id="15" w:name="_Toc4587"/>
      <w:r>
        <w:rPr>
          <w:rFonts w:hint="eastAsia"/>
        </w:rPr>
        <w:t>结论</w:t>
      </w:r>
      <w:bookmarkEnd w:id="15"/>
    </w:p>
    <w:p w14:paraId="3B09C08F">
      <w:pPr>
        <w:pStyle w:val="30"/>
        <w:bidi w:val="0"/>
        <w:rPr>
          <w:rFonts w:hint="eastAsia"/>
        </w:rPr>
      </w:pPr>
      <w:r>
        <w:rPr>
          <w:rFonts w:hint="eastAsia"/>
        </w:rPr>
        <w:t>总体而言，本阶段运维服务达成了保障系统平稳过渡、稳定运行的核心目标。系统运行稳定，监测功能有效，初步建立了高效的运维协同机制。我方团队展现出专业的技术能力和积极的协作态度。</w:t>
      </w:r>
    </w:p>
    <w:p w14:paraId="28529F5E">
      <w:pPr>
        <w:pStyle w:val="30"/>
        <w:bidi w:val="0"/>
      </w:pPr>
      <w:r>
        <w:rPr>
          <w:rFonts w:hint="eastAsia"/>
        </w:rPr>
        <w:t>对于运行中暴露的误报优化、人员能力深化等预期内的问题，已通过有效协作进行了改进。下一阶段，运维工作重心将从“保稳定”逐步转向“促深化”和“提价值”，以充分发挥系统在曲靖供电局网络安全体系中的核心作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1A715C"/>
    <w:rsid w:val="00F66F31"/>
    <w:rsid w:val="02385327"/>
    <w:rsid w:val="03E07A24"/>
    <w:rsid w:val="0438160E"/>
    <w:rsid w:val="044E5ED3"/>
    <w:rsid w:val="05B95683"/>
    <w:rsid w:val="06B07B82"/>
    <w:rsid w:val="0A482F82"/>
    <w:rsid w:val="0AA90B70"/>
    <w:rsid w:val="0D4903E8"/>
    <w:rsid w:val="0DCA3D1B"/>
    <w:rsid w:val="158C5316"/>
    <w:rsid w:val="18A312F5"/>
    <w:rsid w:val="1BC577D4"/>
    <w:rsid w:val="1EB30AFC"/>
    <w:rsid w:val="1FA0658E"/>
    <w:rsid w:val="1FC72770"/>
    <w:rsid w:val="231134BB"/>
    <w:rsid w:val="25113A8A"/>
    <w:rsid w:val="27614B78"/>
    <w:rsid w:val="280542B6"/>
    <w:rsid w:val="2919129E"/>
    <w:rsid w:val="29B03871"/>
    <w:rsid w:val="315A0567"/>
    <w:rsid w:val="31ED3189"/>
    <w:rsid w:val="330C5891"/>
    <w:rsid w:val="33A342A9"/>
    <w:rsid w:val="3E171CB9"/>
    <w:rsid w:val="3F0666C8"/>
    <w:rsid w:val="46DA7D28"/>
    <w:rsid w:val="479003E6"/>
    <w:rsid w:val="48934632"/>
    <w:rsid w:val="491A715C"/>
    <w:rsid w:val="4B11183E"/>
    <w:rsid w:val="4C9444D5"/>
    <w:rsid w:val="4DF96CE5"/>
    <w:rsid w:val="4E1A6C5C"/>
    <w:rsid w:val="4FD23F33"/>
    <w:rsid w:val="54A56347"/>
    <w:rsid w:val="570404A9"/>
    <w:rsid w:val="58B54151"/>
    <w:rsid w:val="653B778C"/>
    <w:rsid w:val="66A45E09"/>
    <w:rsid w:val="68840010"/>
    <w:rsid w:val="70441100"/>
    <w:rsid w:val="70C71D41"/>
    <w:rsid w:val="70E5602A"/>
    <w:rsid w:val="71B01957"/>
    <w:rsid w:val="72900762"/>
    <w:rsid w:val="745E5245"/>
    <w:rsid w:val="74CD6F79"/>
    <w:rsid w:val="7A720B56"/>
    <w:rsid w:val="7F3D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2352</Words>
  <Characters>2525</Characters>
  <Lines>0</Lines>
  <Paragraphs>0</Paragraphs>
  <TotalTime>0</TotalTime>
  <ScaleCrop>false</ScaleCrop>
  <LinksUpToDate>false</LinksUpToDate>
  <CharactersWithSpaces>2604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2025-12-12T05:28:00Z</dcterms:created>
  <dc:creator>郝宇</dc:creator>
  <cp:lastModifiedBy>郝宇</cp:lastModifiedBy>
  <dcterms:modified xsi:type="dcterms:W3CDTF">2025-12-23T19:45:46Z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86D88245EFDC4F8CBCC62B97C8E7A2D5_11</vt:lpwstr>
  </property>
  <property fmtid="{D5CDD505-2E9C-101B-9397-08002B2CF9AE}" pid="4" name="KSOTemplateDocerSaveRecord">
    <vt:lpwstr>eyJoZGlkIjoiMDY5NmFjMmM4ZTljMGJiZDAxN2JmYTc0NGI0NmFiNDgiLCJ1c2VySWQiOiIxMDc1MzgyOSJ9</vt:lpwstr>
  </property>
</Properties>
</file>