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32608"/>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8290"/>
      <w:r>
        <w:rPr>
          <w:rFonts w:hint="eastAsia"/>
          <w:lang w:val="en-US" w:eastAsia="zh-CN"/>
        </w:rPr>
        <w:t>客户满意度调查制度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4296"/>
      <w:r>
        <w:rPr>
          <w:rFonts w:hint="eastAsia"/>
          <w:lang w:val="en-US" w:eastAsia="zh-CN"/>
        </w:rPr>
        <w:t>（YNTD-ITSS-0405）</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30598"/>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吴杰</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2026"/>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43B0C64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C5E59A3">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_Toc32608 </w:instrText>
          </w:r>
          <w:r>
            <w:fldChar w:fldCharType="separate"/>
          </w:r>
          <w:r>
            <w:rPr>
              <w:rFonts w:hint="eastAsia"/>
              <w:lang w:val="en-US" w:eastAsia="zh-CN"/>
            </w:rPr>
            <w:t>云南腾电科技有限公司</w:t>
          </w:r>
          <w:r>
            <w:tab/>
          </w:r>
          <w:r>
            <w:fldChar w:fldCharType="begin"/>
          </w:r>
          <w:r>
            <w:instrText xml:space="preserve"> PAGEREF _Toc32608 \h </w:instrText>
          </w:r>
          <w:r>
            <w:fldChar w:fldCharType="separate"/>
          </w:r>
          <w:r>
            <w:t>1</w:t>
          </w:r>
          <w:r>
            <w:fldChar w:fldCharType="end"/>
          </w:r>
          <w:r>
            <w:fldChar w:fldCharType="end"/>
          </w:r>
        </w:p>
        <w:p w14:paraId="748B0311">
          <w:pPr>
            <w:pStyle w:val="16"/>
            <w:tabs>
              <w:tab w:val="right" w:leader="dot" w:pos="8306"/>
            </w:tabs>
          </w:pPr>
          <w:r>
            <w:fldChar w:fldCharType="begin"/>
          </w:r>
          <w:r>
            <w:instrText xml:space="preserve"> HYPERLINK \l _Toc18290 </w:instrText>
          </w:r>
          <w:r>
            <w:fldChar w:fldCharType="separate"/>
          </w:r>
          <w:r>
            <w:rPr>
              <w:rFonts w:hint="eastAsia"/>
              <w:lang w:val="en-US" w:eastAsia="zh-CN"/>
            </w:rPr>
            <w:t>客户满意度调查制度</w:t>
          </w:r>
          <w:r>
            <w:tab/>
          </w:r>
          <w:r>
            <w:fldChar w:fldCharType="begin"/>
          </w:r>
          <w:r>
            <w:instrText xml:space="preserve"> PAGEREF _Toc18290 \h </w:instrText>
          </w:r>
          <w:r>
            <w:fldChar w:fldCharType="separate"/>
          </w:r>
          <w:r>
            <w:t>1</w:t>
          </w:r>
          <w:r>
            <w:fldChar w:fldCharType="end"/>
          </w:r>
          <w:r>
            <w:fldChar w:fldCharType="end"/>
          </w:r>
        </w:p>
        <w:p w14:paraId="7DE756D8">
          <w:pPr>
            <w:pStyle w:val="16"/>
            <w:tabs>
              <w:tab w:val="right" w:leader="dot" w:pos="8306"/>
            </w:tabs>
          </w:pPr>
          <w:r>
            <w:fldChar w:fldCharType="begin"/>
          </w:r>
          <w:r>
            <w:instrText xml:space="preserve"> HYPERLINK \l _Toc14296 </w:instrText>
          </w:r>
          <w:r>
            <w:fldChar w:fldCharType="separate"/>
          </w:r>
          <w:r>
            <w:rPr>
              <w:rFonts w:hint="eastAsia"/>
              <w:lang w:val="en-US" w:eastAsia="zh-CN"/>
            </w:rPr>
            <w:t>（YNTD-ITSS-0405）</w:t>
          </w:r>
          <w:r>
            <w:tab/>
          </w:r>
          <w:r>
            <w:fldChar w:fldCharType="begin"/>
          </w:r>
          <w:r>
            <w:instrText xml:space="preserve"> PAGEREF _Toc14296 \h </w:instrText>
          </w:r>
          <w:r>
            <w:fldChar w:fldCharType="separate"/>
          </w:r>
          <w:r>
            <w:t>1</w:t>
          </w:r>
          <w:r>
            <w:fldChar w:fldCharType="end"/>
          </w:r>
          <w:r>
            <w:fldChar w:fldCharType="end"/>
          </w:r>
        </w:p>
        <w:p w14:paraId="1A278E20">
          <w:pPr>
            <w:pStyle w:val="16"/>
            <w:tabs>
              <w:tab w:val="right" w:leader="dot" w:pos="8306"/>
            </w:tabs>
          </w:pPr>
          <w:r>
            <w:fldChar w:fldCharType="begin"/>
          </w:r>
          <w:r>
            <w:instrText xml:space="preserve"> HYPERLINK \l _Toc30598 </w:instrText>
          </w:r>
          <w:r>
            <w:fldChar w:fldCharType="separate"/>
          </w:r>
          <w:r>
            <w:rPr>
              <w:rFonts w:ascii="宋体" w:hAnsi="宋体" w:eastAsia="宋体" w:cs="宋体"/>
              <w:bCs/>
              <w:spacing w:val="-4"/>
              <w:szCs w:val="30"/>
            </w:rPr>
            <w:t>文件编制和变更履历</w:t>
          </w:r>
          <w:r>
            <w:tab/>
          </w:r>
          <w:r>
            <w:fldChar w:fldCharType="begin"/>
          </w:r>
          <w:r>
            <w:instrText xml:space="preserve"> PAGEREF _Toc30598 \h </w:instrText>
          </w:r>
          <w:r>
            <w:fldChar w:fldCharType="separate"/>
          </w:r>
          <w:r>
            <w:t>2</w:t>
          </w:r>
          <w:r>
            <w:fldChar w:fldCharType="end"/>
          </w:r>
          <w:r>
            <w:fldChar w:fldCharType="end"/>
          </w:r>
        </w:p>
        <w:p w14:paraId="3DE1207A">
          <w:pPr>
            <w:pStyle w:val="16"/>
            <w:tabs>
              <w:tab w:val="right" w:leader="dot" w:pos="8306"/>
            </w:tabs>
          </w:pPr>
          <w:r>
            <w:fldChar w:fldCharType="begin"/>
          </w:r>
          <w:r>
            <w:instrText xml:space="preserve"> HYPERLINK \l _Toc1487 </w:instrText>
          </w:r>
          <w:r>
            <w:fldChar w:fldCharType="separate"/>
          </w:r>
          <w:r>
            <w:rPr>
              <w:rFonts w:hint="default"/>
              <w:lang w:val="en-US" w:eastAsia="zh-CN"/>
            </w:rPr>
            <w:t>1. 目的</w:t>
          </w:r>
          <w:r>
            <w:tab/>
          </w:r>
          <w:r>
            <w:fldChar w:fldCharType="begin"/>
          </w:r>
          <w:r>
            <w:instrText xml:space="preserve"> PAGEREF _Toc1487 \h </w:instrText>
          </w:r>
          <w:r>
            <w:fldChar w:fldCharType="separate"/>
          </w:r>
          <w:r>
            <w:t>4</w:t>
          </w:r>
          <w:r>
            <w:fldChar w:fldCharType="end"/>
          </w:r>
          <w:r>
            <w:fldChar w:fldCharType="end"/>
          </w:r>
        </w:p>
        <w:p w14:paraId="1A7F44AE">
          <w:pPr>
            <w:pStyle w:val="16"/>
            <w:tabs>
              <w:tab w:val="right" w:leader="dot" w:pos="8306"/>
            </w:tabs>
          </w:pPr>
          <w:r>
            <w:fldChar w:fldCharType="begin"/>
          </w:r>
          <w:r>
            <w:instrText xml:space="preserve"> HYPERLINK \l _Toc13100 </w:instrText>
          </w:r>
          <w:r>
            <w:fldChar w:fldCharType="separate"/>
          </w:r>
          <w:r>
            <w:rPr>
              <w:rFonts w:hint="default"/>
              <w:lang w:val="en-US" w:eastAsia="zh-CN"/>
            </w:rPr>
            <w:t>2. 适用范围</w:t>
          </w:r>
          <w:r>
            <w:tab/>
          </w:r>
          <w:r>
            <w:fldChar w:fldCharType="begin"/>
          </w:r>
          <w:r>
            <w:instrText xml:space="preserve"> PAGEREF _Toc13100 \h </w:instrText>
          </w:r>
          <w:r>
            <w:fldChar w:fldCharType="separate"/>
          </w:r>
          <w:r>
            <w:t>4</w:t>
          </w:r>
          <w:r>
            <w:fldChar w:fldCharType="end"/>
          </w:r>
          <w:r>
            <w:fldChar w:fldCharType="end"/>
          </w:r>
        </w:p>
        <w:p w14:paraId="6D4AFC69">
          <w:pPr>
            <w:pStyle w:val="16"/>
            <w:tabs>
              <w:tab w:val="right" w:leader="dot" w:pos="8306"/>
            </w:tabs>
          </w:pPr>
          <w:r>
            <w:fldChar w:fldCharType="begin"/>
          </w:r>
          <w:r>
            <w:instrText xml:space="preserve"> HYPERLINK \l _Toc8664 </w:instrText>
          </w:r>
          <w:r>
            <w:fldChar w:fldCharType="separate"/>
          </w:r>
          <w:r>
            <w:rPr>
              <w:rFonts w:hint="default"/>
              <w:lang w:val="en-US" w:eastAsia="zh-CN"/>
            </w:rPr>
            <w:t>3. 职责</w:t>
          </w:r>
          <w:r>
            <w:tab/>
          </w:r>
          <w:r>
            <w:fldChar w:fldCharType="begin"/>
          </w:r>
          <w:r>
            <w:instrText xml:space="preserve"> PAGEREF _Toc8664 \h </w:instrText>
          </w:r>
          <w:r>
            <w:fldChar w:fldCharType="separate"/>
          </w:r>
          <w:r>
            <w:t>4</w:t>
          </w:r>
          <w:r>
            <w:fldChar w:fldCharType="end"/>
          </w:r>
          <w:r>
            <w:fldChar w:fldCharType="end"/>
          </w:r>
        </w:p>
        <w:p w14:paraId="42FA5D7B">
          <w:pPr>
            <w:pStyle w:val="17"/>
            <w:tabs>
              <w:tab w:val="right" w:leader="dot" w:pos="8306"/>
            </w:tabs>
          </w:pPr>
          <w:r>
            <w:fldChar w:fldCharType="begin"/>
          </w:r>
          <w:r>
            <w:instrText xml:space="preserve"> HYPERLINK \l _Toc13111 </w:instrText>
          </w:r>
          <w:r>
            <w:fldChar w:fldCharType="separate"/>
          </w:r>
          <w:r>
            <w:rPr>
              <w:rFonts w:hint="default"/>
              <w:lang w:val="en-US" w:eastAsia="zh-CN"/>
            </w:rPr>
            <w:t xml:space="preserve">3.1. </w:t>
          </w:r>
          <w:r>
            <w:rPr>
              <w:rFonts w:hint="eastAsia"/>
              <w:lang w:val="en-US" w:eastAsia="zh-CN"/>
            </w:rPr>
            <w:t>质量部</w:t>
          </w:r>
          <w:r>
            <w:rPr>
              <w:rFonts w:hint="default"/>
              <w:lang w:val="en-US" w:eastAsia="zh-CN"/>
            </w:rPr>
            <w:t>经理</w:t>
          </w:r>
          <w:r>
            <w:tab/>
          </w:r>
          <w:r>
            <w:fldChar w:fldCharType="begin"/>
          </w:r>
          <w:r>
            <w:instrText xml:space="preserve"> PAGEREF _Toc13111 \h </w:instrText>
          </w:r>
          <w:r>
            <w:fldChar w:fldCharType="separate"/>
          </w:r>
          <w:r>
            <w:t>4</w:t>
          </w:r>
          <w:r>
            <w:fldChar w:fldCharType="end"/>
          </w:r>
          <w:r>
            <w:fldChar w:fldCharType="end"/>
          </w:r>
        </w:p>
        <w:p w14:paraId="4BA226FD">
          <w:pPr>
            <w:pStyle w:val="17"/>
            <w:tabs>
              <w:tab w:val="right" w:leader="dot" w:pos="8306"/>
            </w:tabs>
          </w:pPr>
          <w:r>
            <w:fldChar w:fldCharType="begin"/>
          </w:r>
          <w:r>
            <w:instrText xml:space="preserve"> HYPERLINK \l _Toc25060 </w:instrText>
          </w:r>
          <w:r>
            <w:fldChar w:fldCharType="separate"/>
          </w:r>
          <w:r>
            <w:rPr>
              <w:rFonts w:hint="default"/>
              <w:lang w:val="en-US" w:eastAsia="zh-CN"/>
            </w:rPr>
            <w:t>3.2. 质量</w:t>
          </w:r>
          <w:r>
            <w:rPr>
              <w:rFonts w:hint="eastAsia"/>
              <w:lang w:val="en-US" w:eastAsia="zh-CN"/>
            </w:rPr>
            <w:t>专员</w:t>
          </w:r>
          <w:r>
            <w:tab/>
          </w:r>
          <w:r>
            <w:fldChar w:fldCharType="begin"/>
          </w:r>
          <w:r>
            <w:instrText xml:space="preserve"> PAGEREF _Toc25060 \h </w:instrText>
          </w:r>
          <w:r>
            <w:fldChar w:fldCharType="separate"/>
          </w:r>
          <w:r>
            <w:t>4</w:t>
          </w:r>
          <w:r>
            <w:fldChar w:fldCharType="end"/>
          </w:r>
          <w:r>
            <w:fldChar w:fldCharType="end"/>
          </w:r>
        </w:p>
        <w:p w14:paraId="23DB4BCE">
          <w:pPr>
            <w:pStyle w:val="17"/>
            <w:tabs>
              <w:tab w:val="right" w:leader="dot" w:pos="8306"/>
            </w:tabs>
          </w:pPr>
          <w:r>
            <w:fldChar w:fldCharType="begin"/>
          </w:r>
          <w:r>
            <w:instrText xml:space="preserve"> HYPERLINK \l _Toc31920 </w:instrText>
          </w:r>
          <w:r>
            <w:fldChar w:fldCharType="separate"/>
          </w:r>
          <w:r>
            <w:rPr>
              <w:rFonts w:hint="default"/>
              <w:lang w:val="en-US" w:eastAsia="zh-CN"/>
            </w:rPr>
            <w:t xml:space="preserve">3.3. </w:t>
          </w:r>
          <w:r>
            <w:rPr>
              <w:rFonts w:hint="eastAsia"/>
              <w:lang w:val="en-US" w:eastAsia="zh-CN"/>
            </w:rPr>
            <w:t>服务台专员</w:t>
          </w:r>
          <w:r>
            <w:tab/>
          </w:r>
          <w:r>
            <w:fldChar w:fldCharType="begin"/>
          </w:r>
          <w:r>
            <w:instrText xml:space="preserve"> PAGEREF _Toc31920 \h </w:instrText>
          </w:r>
          <w:r>
            <w:fldChar w:fldCharType="separate"/>
          </w:r>
          <w:r>
            <w:t>4</w:t>
          </w:r>
          <w:r>
            <w:fldChar w:fldCharType="end"/>
          </w:r>
          <w:r>
            <w:fldChar w:fldCharType="end"/>
          </w:r>
        </w:p>
        <w:p w14:paraId="1E621FB6">
          <w:pPr>
            <w:pStyle w:val="17"/>
            <w:tabs>
              <w:tab w:val="right" w:leader="dot" w:pos="8306"/>
            </w:tabs>
          </w:pPr>
          <w:r>
            <w:fldChar w:fldCharType="begin"/>
          </w:r>
          <w:r>
            <w:instrText xml:space="preserve"> HYPERLINK \l _Toc2629 </w:instrText>
          </w:r>
          <w:r>
            <w:fldChar w:fldCharType="separate"/>
          </w:r>
          <w:r>
            <w:rPr>
              <w:rFonts w:hint="default"/>
              <w:lang w:val="en-US" w:eastAsia="zh-CN"/>
            </w:rPr>
            <w:t>3.4. 其他</w:t>
          </w:r>
          <w:r>
            <w:rPr>
              <w:rFonts w:hint="eastAsia"/>
              <w:lang w:val="en-US" w:eastAsia="zh-CN"/>
            </w:rPr>
            <w:t>运维</w:t>
          </w:r>
          <w:r>
            <w:rPr>
              <w:rFonts w:hint="default"/>
              <w:lang w:val="en-US" w:eastAsia="zh-CN"/>
            </w:rPr>
            <w:t>相关部门</w:t>
          </w:r>
          <w:r>
            <w:tab/>
          </w:r>
          <w:r>
            <w:fldChar w:fldCharType="begin"/>
          </w:r>
          <w:r>
            <w:instrText xml:space="preserve"> PAGEREF _Toc2629 \h </w:instrText>
          </w:r>
          <w:r>
            <w:fldChar w:fldCharType="separate"/>
          </w:r>
          <w:r>
            <w:t>4</w:t>
          </w:r>
          <w:r>
            <w:fldChar w:fldCharType="end"/>
          </w:r>
          <w:r>
            <w:fldChar w:fldCharType="end"/>
          </w:r>
        </w:p>
        <w:p w14:paraId="62F71AE7">
          <w:pPr>
            <w:pStyle w:val="16"/>
            <w:tabs>
              <w:tab w:val="right" w:leader="dot" w:pos="8306"/>
            </w:tabs>
          </w:pPr>
          <w:r>
            <w:fldChar w:fldCharType="begin"/>
          </w:r>
          <w:r>
            <w:instrText xml:space="preserve"> HYPERLINK \l _Toc4167 </w:instrText>
          </w:r>
          <w:r>
            <w:fldChar w:fldCharType="separate"/>
          </w:r>
          <w:r>
            <w:rPr>
              <w:rFonts w:hint="default"/>
              <w:lang w:val="en-US" w:eastAsia="zh-CN"/>
            </w:rPr>
            <w:t>4. 客户满意度调查所遵守的原则</w:t>
          </w:r>
          <w:r>
            <w:tab/>
          </w:r>
          <w:r>
            <w:fldChar w:fldCharType="begin"/>
          </w:r>
          <w:r>
            <w:instrText xml:space="preserve"> PAGEREF _Toc4167 \h </w:instrText>
          </w:r>
          <w:r>
            <w:fldChar w:fldCharType="separate"/>
          </w:r>
          <w:r>
            <w:t>5</w:t>
          </w:r>
          <w:r>
            <w:fldChar w:fldCharType="end"/>
          </w:r>
          <w:r>
            <w:fldChar w:fldCharType="end"/>
          </w:r>
        </w:p>
        <w:p w14:paraId="028FFA1B">
          <w:pPr>
            <w:pStyle w:val="17"/>
            <w:tabs>
              <w:tab w:val="right" w:leader="dot" w:pos="8306"/>
            </w:tabs>
          </w:pPr>
          <w:r>
            <w:fldChar w:fldCharType="begin"/>
          </w:r>
          <w:r>
            <w:instrText xml:space="preserve"> HYPERLINK \l _Toc22511 </w:instrText>
          </w:r>
          <w:r>
            <w:fldChar w:fldCharType="separate"/>
          </w:r>
          <w:r>
            <w:rPr>
              <w:rFonts w:hint="default"/>
              <w:lang w:val="en-US" w:eastAsia="zh-CN"/>
            </w:rPr>
            <w:t>4.1. 调查时机</w:t>
          </w:r>
          <w:r>
            <w:tab/>
          </w:r>
          <w:r>
            <w:fldChar w:fldCharType="begin"/>
          </w:r>
          <w:r>
            <w:instrText xml:space="preserve"> PAGEREF _Toc22511 \h </w:instrText>
          </w:r>
          <w:r>
            <w:fldChar w:fldCharType="separate"/>
          </w:r>
          <w:r>
            <w:t>5</w:t>
          </w:r>
          <w:r>
            <w:fldChar w:fldCharType="end"/>
          </w:r>
          <w:r>
            <w:fldChar w:fldCharType="end"/>
          </w:r>
        </w:p>
        <w:p w14:paraId="40456877">
          <w:pPr>
            <w:pStyle w:val="17"/>
            <w:tabs>
              <w:tab w:val="right" w:leader="dot" w:pos="8306"/>
            </w:tabs>
          </w:pPr>
          <w:r>
            <w:fldChar w:fldCharType="begin"/>
          </w:r>
          <w:r>
            <w:instrText xml:space="preserve"> HYPERLINK \l _Toc543 </w:instrText>
          </w:r>
          <w:r>
            <w:fldChar w:fldCharType="separate"/>
          </w:r>
          <w:r>
            <w:rPr>
              <w:rFonts w:hint="default"/>
              <w:lang w:val="en-US" w:eastAsia="zh-CN"/>
            </w:rPr>
            <w:t>4.2. 调查的对象</w:t>
          </w:r>
          <w:r>
            <w:tab/>
          </w:r>
          <w:r>
            <w:fldChar w:fldCharType="begin"/>
          </w:r>
          <w:r>
            <w:instrText xml:space="preserve"> PAGEREF _Toc543 \h </w:instrText>
          </w:r>
          <w:r>
            <w:fldChar w:fldCharType="separate"/>
          </w:r>
          <w:r>
            <w:t>5</w:t>
          </w:r>
          <w:r>
            <w:fldChar w:fldCharType="end"/>
          </w:r>
          <w:r>
            <w:fldChar w:fldCharType="end"/>
          </w:r>
        </w:p>
        <w:p w14:paraId="67F83912">
          <w:pPr>
            <w:pStyle w:val="17"/>
            <w:tabs>
              <w:tab w:val="right" w:leader="dot" w:pos="8306"/>
            </w:tabs>
          </w:pPr>
          <w:r>
            <w:fldChar w:fldCharType="begin"/>
          </w:r>
          <w:r>
            <w:instrText xml:space="preserve"> HYPERLINK \l _Toc5515 </w:instrText>
          </w:r>
          <w:r>
            <w:fldChar w:fldCharType="separate"/>
          </w:r>
          <w:r>
            <w:rPr>
              <w:rFonts w:hint="default"/>
              <w:lang w:val="en-US" w:eastAsia="zh-CN"/>
            </w:rPr>
            <w:t>4.3. 调查内容、形式及计算方法</w:t>
          </w:r>
          <w:r>
            <w:tab/>
          </w:r>
          <w:r>
            <w:fldChar w:fldCharType="begin"/>
          </w:r>
          <w:r>
            <w:instrText xml:space="preserve"> PAGEREF _Toc5515 \h </w:instrText>
          </w:r>
          <w:r>
            <w:fldChar w:fldCharType="separate"/>
          </w:r>
          <w:r>
            <w:t>5</w:t>
          </w:r>
          <w:r>
            <w:fldChar w:fldCharType="end"/>
          </w:r>
          <w:r>
            <w:fldChar w:fldCharType="end"/>
          </w:r>
        </w:p>
        <w:p w14:paraId="72EF3A2E">
          <w:pPr>
            <w:pStyle w:val="17"/>
            <w:tabs>
              <w:tab w:val="right" w:leader="dot" w:pos="8306"/>
            </w:tabs>
          </w:pPr>
          <w:r>
            <w:fldChar w:fldCharType="begin"/>
          </w:r>
          <w:r>
            <w:instrText xml:space="preserve"> HYPERLINK \l _Toc9474 </w:instrText>
          </w:r>
          <w:r>
            <w:fldChar w:fldCharType="separate"/>
          </w:r>
          <w:r>
            <w:rPr>
              <w:rFonts w:hint="default"/>
              <w:lang w:val="en-US" w:eastAsia="zh-CN"/>
            </w:rPr>
            <w:t>4.4. 满意度调查结果、报告及分析</w:t>
          </w:r>
          <w:r>
            <w:tab/>
          </w:r>
          <w:r>
            <w:fldChar w:fldCharType="begin"/>
          </w:r>
          <w:r>
            <w:instrText xml:space="preserve"> PAGEREF _Toc9474 \h </w:instrText>
          </w:r>
          <w:r>
            <w:fldChar w:fldCharType="separate"/>
          </w:r>
          <w:r>
            <w:t>6</w:t>
          </w:r>
          <w:r>
            <w:fldChar w:fldCharType="end"/>
          </w:r>
          <w:r>
            <w:fldChar w:fldCharType="end"/>
          </w:r>
        </w:p>
        <w:p w14:paraId="0D419106">
          <w:pPr>
            <w:pStyle w:val="16"/>
            <w:tabs>
              <w:tab w:val="right" w:leader="dot" w:pos="8306"/>
            </w:tabs>
          </w:pPr>
          <w:r>
            <w:fldChar w:fldCharType="begin"/>
          </w:r>
          <w:r>
            <w:instrText xml:space="preserve"> HYPERLINK \l _Toc23128 </w:instrText>
          </w:r>
          <w:r>
            <w:fldChar w:fldCharType="separate"/>
          </w:r>
          <w:r>
            <w:rPr>
              <w:rFonts w:hint="default"/>
              <w:lang w:val="en-US" w:eastAsia="zh-CN"/>
            </w:rPr>
            <w:t xml:space="preserve">5. </w:t>
          </w:r>
          <w:r>
            <w:rPr>
              <w:rFonts w:hint="eastAsia"/>
              <w:lang w:val="en-US" w:eastAsia="zh-CN"/>
            </w:rPr>
            <w:t>客户满意度调查流程</w:t>
          </w:r>
          <w:r>
            <w:tab/>
          </w:r>
          <w:r>
            <w:fldChar w:fldCharType="begin"/>
          </w:r>
          <w:r>
            <w:instrText xml:space="preserve"> PAGEREF _Toc23128 \h </w:instrText>
          </w:r>
          <w:r>
            <w:fldChar w:fldCharType="separate"/>
          </w:r>
          <w:r>
            <w:t>6</w:t>
          </w:r>
          <w:r>
            <w:fldChar w:fldCharType="end"/>
          </w:r>
          <w:r>
            <w:fldChar w:fldCharType="end"/>
          </w:r>
        </w:p>
        <w:p w14:paraId="75B5499C">
          <w:pPr>
            <w:pStyle w:val="16"/>
            <w:tabs>
              <w:tab w:val="right" w:leader="dot" w:pos="8306"/>
            </w:tabs>
          </w:pPr>
          <w:r>
            <w:fldChar w:fldCharType="begin"/>
          </w:r>
          <w:r>
            <w:instrText xml:space="preserve"> HYPERLINK \l _Toc3150 </w:instrText>
          </w:r>
          <w:r>
            <w:fldChar w:fldCharType="separate"/>
          </w:r>
          <w:r>
            <w:rPr>
              <w:rFonts w:hint="default"/>
            </w:rPr>
            <w:t xml:space="preserve">6. </w:t>
          </w:r>
          <w:r>
            <w:t>服务改进</w:t>
          </w:r>
          <w:r>
            <w:tab/>
          </w:r>
          <w:r>
            <w:fldChar w:fldCharType="begin"/>
          </w:r>
          <w:r>
            <w:instrText xml:space="preserve"> PAGEREF _Toc3150 \h </w:instrText>
          </w:r>
          <w:r>
            <w:fldChar w:fldCharType="separate"/>
          </w:r>
          <w:r>
            <w:t>7</w:t>
          </w:r>
          <w:r>
            <w:fldChar w:fldCharType="end"/>
          </w:r>
          <w:r>
            <w:fldChar w:fldCharType="end"/>
          </w:r>
        </w:p>
        <w:p w14:paraId="5E58226E">
          <w:pPr>
            <w:pStyle w:val="16"/>
            <w:tabs>
              <w:tab w:val="right" w:leader="dot" w:pos="8306"/>
            </w:tabs>
          </w:pPr>
          <w:r>
            <w:fldChar w:fldCharType="begin"/>
          </w:r>
          <w:r>
            <w:instrText xml:space="preserve"> HYPERLINK \l _Toc18680 </w:instrText>
          </w:r>
          <w: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_Toc18680 \h </w:instrText>
          </w:r>
          <w:r>
            <w:fldChar w:fldCharType="separate"/>
          </w:r>
          <w:r>
            <w:t>7</w:t>
          </w:r>
          <w:r>
            <w:fldChar w:fldCharType="end"/>
          </w:r>
          <w:r>
            <w:fldChar w:fldCharType="end"/>
          </w:r>
        </w:p>
        <w:p w14:paraId="543F42E1">
          <w:r>
            <w:fldChar w:fldCharType="end"/>
          </w:r>
        </w:p>
      </w:sdtContent>
    </w:sdt>
    <w:p w14:paraId="5EF8C67C"/>
    <w:p w14:paraId="017F8661">
      <w:pPr>
        <w:rPr>
          <w:rFonts w:hint="default"/>
          <w:lang w:val="en-US" w:eastAsia="zh-CN"/>
        </w:rPr>
      </w:pPr>
      <w:r>
        <w:rPr>
          <w:rFonts w:hint="default"/>
          <w:lang w:val="en-US" w:eastAsia="zh-CN"/>
        </w:rPr>
        <w:br w:type="page"/>
      </w:r>
    </w:p>
    <w:p w14:paraId="2F0412D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487"/>
      <w:r>
        <w:rPr>
          <w:rFonts w:hint="default"/>
          <w:lang w:val="en-US" w:eastAsia="zh-CN"/>
        </w:rPr>
        <w:t>目的</w:t>
      </w:r>
      <w:bookmarkEnd w:id="4"/>
    </w:p>
    <w:p w14:paraId="6E80A2A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通过对顾客满意度的调查，了解用户对公司产品和服务的评价及期望，不断改进和提高公司产品质量和服务质量，确保顾客满意度不断提升。</w:t>
      </w:r>
    </w:p>
    <w:p w14:paraId="0120EA7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通过客户提出的意见和建议，找出工作中存在的不足，以便更好的服务客户。</w:t>
      </w:r>
    </w:p>
    <w:p w14:paraId="3FC3545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通过客户的监督，提高员工的服务意识和服务水平，增加客户满意度。</w:t>
      </w:r>
    </w:p>
    <w:p w14:paraId="72AB4E9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了解为客户解决问题的能力，并在此基础上持续增加客户对服务的满意度，以便提高公司的整体形象。</w:t>
      </w:r>
    </w:p>
    <w:p w14:paraId="61B0D54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为员工服务质量的评估提供科学的事实依据。</w:t>
      </w:r>
    </w:p>
    <w:p w14:paraId="6970DCF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3100"/>
      <w:r>
        <w:rPr>
          <w:rFonts w:hint="default"/>
          <w:lang w:val="en-US" w:eastAsia="zh-CN"/>
        </w:rPr>
        <w:t>适用范围</w:t>
      </w:r>
      <w:bookmarkEnd w:id="5"/>
    </w:p>
    <w:p w14:paraId="7AA903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适用于本公司所提供运维服务客户的满意度调查和分析。</w:t>
      </w:r>
    </w:p>
    <w:p w14:paraId="1EC235C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8664"/>
      <w:r>
        <w:rPr>
          <w:rFonts w:hint="default"/>
          <w:lang w:val="en-US" w:eastAsia="zh-CN"/>
        </w:rPr>
        <w:t>职责</w:t>
      </w:r>
      <w:bookmarkEnd w:id="6"/>
    </w:p>
    <w:p w14:paraId="6EC77D8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111"/>
      <w:r>
        <w:rPr>
          <w:rFonts w:hint="eastAsia"/>
          <w:lang w:val="en-US" w:eastAsia="zh-CN"/>
        </w:rPr>
        <w:t>质量部</w:t>
      </w:r>
      <w:r>
        <w:rPr>
          <w:rFonts w:hint="default"/>
          <w:lang w:val="en-US" w:eastAsia="zh-CN"/>
        </w:rPr>
        <w:t>经理</w:t>
      </w:r>
      <w:bookmarkEnd w:id="7"/>
    </w:p>
    <w:p w14:paraId="0D97B7D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负责审批客户满意度调查制度；</w:t>
      </w:r>
    </w:p>
    <w:p w14:paraId="683AFC7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整体指导、协调和管理客户满意度调查工作；</w:t>
      </w:r>
    </w:p>
    <w:p w14:paraId="7A96029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审批满意度调查分析报告。</w:t>
      </w:r>
    </w:p>
    <w:p w14:paraId="2A6B86E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5060"/>
      <w:r>
        <w:rPr>
          <w:rFonts w:hint="default"/>
          <w:lang w:val="en-US" w:eastAsia="zh-CN"/>
        </w:rPr>
        <w:t>质量</w:t>
      </w:r>
      <w:r>
        <w:rPr>
          <w:rFonts w:hint="eastAsia"/>
          <w:lang w:val="en-US" w:eastAsia="zh-CN"/>
        </w:rPr>
        <w:t>专员</w:t>
      </w:r>
      <w:bookmarkEnd w:id="8"/>
    </w:p>
    <w:p w14:paraId="566584F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负责制定客户满意度调查制度；</w:t>
      </w:r>
    </w:p>
    <w:p w14:paraId="477E804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负责调查结果分析、编制客户满意度调查分析报告；</w:t>
      </w:r>
    </w:p>
    <w:p w14:paraId="55B42A5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根据满意度调查结果及顾客投诉，组织相关部门落实改进措施及责任部门；</w:t>
      </w:r>
    </w:p>
    <w:p w14:paraId="49D63B1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负责满意度调查结果中相关问题改进的跟进并及时反馈给客户。</w:t>
      </w:r>
    </w:p>
    <w:p w14:paraId="0EF7881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1920"/>
      <w:r>
        <w:rPr>
          <w:rFonts w:hint="eastAsia"/>
          <w:lang w:val="en-US" w:eastAsia="zh-CN"/>
        </w:rPr>
        <w:t>服务台专员</w:t>
      </w:r>
      <w:bookmarkEnd w:id="9"/>
    </w:p>
    <w:p w14:paraId="35D063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负责客户满意度调查工作的实施、收集客户反馈并进行初步分析。</w:t>
      </w:r>
    </w:p>
    <w:p w14:paraId="66A3B0E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629"/>
      <w:r>
        <w:rPr>
          <w:rFonts w:hint="default"/>
          <w:lang w:val="en-US" w:eastAsia="zh-CN"/>
        </w:rPr>
        <w:t>其他</w:t>
      </w:r>
      <w:r>
        <w:rPr>
          <w:rFonts w:hint="eastAsia"/>
          <w:lang w:val="en-US" w:eastAsia="zh-CN"/>
        </w:rPr>
        <w:t>运维</w:t>
      </w:r>
      <w:r>
        <w:rPr>
          <w:rFonts w:hint="default"/>
          <w:lang w:val="en-US" w:eastAsia="zh-CN"/>
        </w:rPr>
        <w:t>相关部门</w:t>
      </w:r>
      <w:bookmarkEnd w:id="10"/>
    </w:p>
    <w:p w14:paraId="197819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负责本部门职责范围内相关问题的改进工作；对满意度调查及改进过程相关工作提供支持和协助。</w:t>
      </w:r>
    </w:p>
    <w:p w14:paraId="040A398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4167"/>
      <w:r>
        <w:rPr>
          <w:rFonts w:hint="default"/>
          <w:lang w:val="en-US" w:eastAsia="zh-CN"/>
        </w:rPr>
        <w:t>客户满意度调查所遵守的原则</w:t>
      </w:r>
      <w:bookmarkEnd w:id="11"/>
    </w:p>
    <w:p w14:paraId="68D1166C">
      <w:pPr>
        <w:pStyle w:val="30"/>
        <w:bidi w:val="0"/>
        <w:rPr>
          <w:rFonts w:hint="default"/>
          <w:lang w:val="en-US" w:eastAsia="zh-CN"/>
        </w:rPr>
      </w:pPr>
      <w:bookmarkStart w:id="12" w:name="_Toc22511"/>
      <w:r>
        <w:rPr>
          <w:rFonts w:hint="default"/>
          <w:lang w:val="en-US" w:eastAsia="zh-CN"/>
        </w:rPr>
        <w:t>调查时机</w:t>
      </w:r>
      <w:bookmarkEnd w:id="12"/>
    </w:p>
    <w:p w14:paraId="6014A4F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每年至少对公司级客户组织一次满意度调查工作；</w:t>
      </w:r>
    </w:p>
    <w:p w14:paraId="562F928A">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项目级客户在项目验收后对其关键人员进行一次满意度调查；</w:t>
      </w:r>
    </w:p>
    <w:p w14:paraId="4DB7E619">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每个事件关闭后每周一进行一次电话回访；</w:t>
      </w:r>
    </w:p>
    <w:p w14:paraId="78C8412A">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对于客户不满意的项目以及单项调查内容不满意的项目在次月进行二次调查。</w:t>
      </w:r>
    </w:p>
    <w:p w14:paraId="674882EB">
      <w:pPr>
        <w:pStyle w:val="30"/>
        <w:bidi w:val="0"/>
        <w:rPr>
          <w:rFonts w:hint="default"/>
          <w:lang w:val="en-US" w:eastAsia="zh-CN"/>
        </w:rPr>
      </w:pPr>
      <w:bookmarkStart w:id="13" w:name="_Toc543"/>
      <w:r>
        <w:rPr>
          <w:rFonts w:hint="default"/>
          <w:lang w:val="en-US" w:eastAsia="zh-CN"/>
        </w:rPr>
        <w:t>调查的对象</w:t>
      </w:r>
      <w:bookmarkEnd w:id="13"/>
    </w:p>
    <w:p w14:paraId="4C6C39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对运维服务类项目的服务客户或用户进行客户满意度调查。</w:t>
      </w:r>
    </w:p>
    <w:p w14:paraId="3AEFB378">
      <w:pPr>
        <w:pStyle w:val="30"/>
        <w:bidi w:val="0"/>
        <w:rPr>
          <w:rFonts w:hint="default"/>
          <w:lang w:val="en-US" w:eastAsia="zh-CN"/>
        </w:rPr>
      </w:pPr>
      <w:bookmarkStart w:id="14" w:name="_Toc5515"/>
      <w:r>
        <w:rPr>
          <w:rFonts w:hint="default"/>
          <w:lang w:val="en-US" w:eastAsia="zh-CN"/>
        </w:rPr>
        <w:t>调查内容、形式及计算方法</w:t>
      </w:r>
      <w:bookmarkEnd w:id="14"/>
    </w:p>
    <w:p w14:paraId="2A7682CB">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公司级和项目级客户的调查内容包括：项目质量、人员能力、工作规范、运维安全等</w:t>
      </w:r>
    </w:p>
    <w:p w14:paraId="7EADBBE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调查形式采取上门访问、电话访问、发放调查表等。</w:t>
      </w:r>
    </w:p>
    <w:tbl>
      <w:tblPr>
        <w:tblStyle w:val="26"/>
        <w:tblW w:w="8478" w:type="dxa"/>
        <w:tblInd w:w="63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30"/>
        <w:gridCol w:w="991"/>
        <w:gridCol w:w="993"/>
        <w:gridCol w:w="1132"/>
        <w:gridCol w:w="1418"/>
        <w:gridCol w:w="1133"/>
        <w:gridCol w:w="1281"/>
      </w:tblGrid>
      <w:tr w14:paraId="0F075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4" w:hRule="atLeast"/>
        </w:trPr>
        <w:tc>
          <w:tcPr>
            <w:tcW w:w="1530" w:type="dxa"/>
            <w:vMerge w:val="restart"/>
            <w:tcBorders>
              <w:bottom w:val="nil"/>
            </w:tcBorders>
          </w:tcPr>
          <w:p w14:paraId="5D17A3D6">
            <w:pPr>
              <w:spacing w:line="355" w:lineRule="auto"/>
              <w:rPr>
                <w:rFonts w:ascii="Arial"/>
                <w:sz w:val="21"/>
              </w:rPr>
            </w:pPr>
          </w:p>
          <w:p w14:paraId="3A56B8D9">
            <w:pPr>
              <w:spacing w:line="356" w:lineRule="auto"/>
              <w:rPr>
                <w:rFonts w:ascii="Arial"/>
                <w:sz w:val="21"/>
              </w:rPr>
            </w:pPr>
          </w:p>
          <w:p w14:paraId="52F2D87A">
            <w:pPr>
              <w:spacing w:before="91" w:line="219" w:lineRule="auto"/>
              <w:ind w:left="219"/>
              <w:rPr>
                <w:rFonts w:ascii="仿宋" w:hAnsi="仿宋" w:eastAsia="仿宋" w:cs="仿宋"/>
                <w:sz w:val="28"/>
                <w:szCs w:val="28"/>
              </w:rPr>
            </w:pPr>
            <w:r>
              <w:rPr>
                <w:rFonts w:ascii="仿宋" w:hAnsi="仿宋" w:eastAsia="仿宋" w:cs="仿宋"/>
                <w:spacing w:val="-3"/>
                <w:sz w:val="28"/>
                <w:szCs w:val="28"/>
              </w:rPr>
              <w:t>调查指标</w:t>
            </w:r>
          </w:p>
        </w:tc>
        <w:tc>
          <w:tcPr>
            <w:tcW w:w="991" w:type="dxa"/>
          </w:tcPr>
          <w:p w14:paraId="118DF96E">
            <w:pPr>
              <w:spacing w:before="177" w:line="219" w:lineRule="auto"/>
              <w:ind w:left="239"/>
              <w:rPr>
                <w:rFonts w:ascii="仿宋" w:hAnsi="仿宋" w:eastAsia="仿宋" w:cs="仿宋"/>
                <w:sz w:val="28"/>
                <w:szCs w:val="28"/>
              </w:rPr>
            </w:pPr>
            <w:bookmarkStart w:id="15" w:name="bookmark19"/>
            <w:bookmarkEnd w:id="15"/>
            <w:r>
              <w:rPr>
                <w:rFonts w:ascii="仿宋" w:hAnsi="仿宋" w:eastAsia="仿宋" w:cs="仿宋"/>
                <w:spacing w:val="-7"/>
                <w:sz w:val="28"/>
                <w:szCs w:val="28"/>
              </w:rPr>
              <w:t>非常</w:t>
            </w:r>
          </w:p>
          <w:p w14:paraId="4EF7C605">
            <w:pPr>
              <w:bidi w:val="0"/>
              <w:rPr>
                <w:rFonts w:ascii="仿宋" w:hAnsi="仿宋" w:eastAsia="仿宋" w:cs="仿宋"/>
                <w:szCs w:val="28"/>
              </w:rPr>
            </w:pPr>
            <w:bookmarkStart w:id="16" w:name="bookmark20"/>
            <w:bookmarkEnd w:id="16"/>
            <w:r>
              <w:t>满意</w:t>
            </w:r>
          </w:p>
        </w:tc>
        <w:tc>
          <w:tcPr>
            <w:tcW w:w="993" w:type="dxa"/>
          </w:tcPr>
          <w:p w14:paraId="059E6701">
            <w:pPr>
              <w:spacing w:line="396" w:lineRule="auto"/>
              <w:rPr>
                <w:rFonts w:ascii="Arial"/>
                <w:sz w:val="21"/>
              </w:rPr>
            </w:pPr>
          </w:p>
          <w:p w14:paraId="31689156">
            <w:pPr>
              <w:spacing w:before="91" w:line="219" w:lineRule="auto"/>
              <w:ind w:left="234"/>
              <w:rPr>
                <w:rFonts w:ascii="仿宋" w:hAnsi="仿宋" w:eastAsia="仿宋" w:cs="仿宋"/>
                <w:sz w:val="28"/>
                <w:szCs w:val="28"/>
              </w:rPr>
            </w:pPr>
            <w:r>
              <w:rPr>
                <w:rFonts w:ascii="仿宋" w:hAnsi="仿宋" w:eastAsia="仿宋" w:cs="仿宋"/>
                <w:spacing w:val="-5"/>
                <w:sz w:val="28"/>
                <w:szCs w:val="28"/>
              </w:rPr>
              <w:t>满意</w:t>
            </w:r>
          </w:p>
        </w:tc>
        <w:tc>
          <w:tcPr>
            <w:tcW w:w="1132" w:type="dxa"/>
          </w:tcPr>
          <w:p w14:paraId="671CDC20">
            <w:pPr>
              <w:spacing w:line="396" w:lineRule="auto"/>
              <w:rPr>
                <w:rFonts w:ascii="Arial"/>
                <w:sz w:val="21"/>
              </w:rPr>
            </w:pPr>
          </w:p>
          <w:p w14:paraId="7A004269">
            <w:pPr>
              <w:spacing w:before="91" w:line="221" w:lineRule="auto"/>
              <w:ind w:left="306"/>
              <w:rPr>
                <w:rFonts w:ascii="仿宋" w:hAnsi="仿宋" w:eastAsia="仿宋" w:cs="仿宋"/>
                <w:sz w:val="28"/>
                <w:szCs w:val="28"/>
              </w:rPr>
            </w:pPr>
            <w:r>
              <w:rPr>
                <w:rFonts w:ascii="仿宋" w:hAnsi="仿宋" w:eastAsia="仿宋" w:cs="仿宋"/>
                <w:spacing w:val="-11"/>
                <w:sz w:val="28"/>
                <w:szCs w:val="28"/>
              </w:rPr>
              <w:t>一般</w:t>
            </w:r>
          </w:p>
        </w:tc>
        <w:tc>
          <w:tcPr>
            <w:tcW w:w="1418" w:type="dxa"/>
          </w:tcPr>
          <w:p w14:paraId="56FC93BD">
            <w:pPr>
              <w:spacing w:line="396" w:lineRule="auto"/>
              <w:rPr>
                <w:rFonts w:ascii="Arial"/>
                <w:sz w:val="21"/>
              </w:rPr>
            </w:pPr>
          </w:p>
          <w:p w14:paraId="28E55C2F">
            <w:pPr>
              <w:spacing w:before="91" w:line="219" w:lineRule="auto"/>
              <w:ind w:left="311"/>
              <w:rPr>
                <w:rFonts w:ascii="仿宋" w:hAnsi="仿宋" w:eastAsia="仿宋" w:cs="仿宋"/>
                <w:sz w:val="28"/>
                <w:szCs w:val="28"/>
              </w:rPr>
            </w:pPr>
            <w:r>
              <w:rPr>
                <w:rFonts w:ascii="仿宋" w:hAnsi="仿宋" w:eastAsia="仿宋" w:cs="仿宋"/>
                <w:spacing w:val="-6"/>
                <w:sz w:val="28"/>
                <w:szCs w:val="28"/>
              </w:rPr>
              <w:t>不满意</w:t>
            </w:r>
          </w:p>
        </w:tc>
        <w:tc>
          <w:tcPr>
            <w:tcW w:w="1133" w:type="dxa"/>
          </w:tcPr>
          <w:p w14:paraId="11BD10A2">
            <w:pPr>
              <w:spacing w:before="179" w:line="351" w:lineRule="auto"/>
              <w:ind w:left="304" w:right="140" w:hanging="131"/>
              <w:rPr>
                <w:rFonts w:ascii="仿宋" w:hAnsi="仿宋" w:eastAsia="仿宋" w:cs="仿宋"/>
                <w:sz w:val="28"/>
                <w:szCs w:val="28"/>
              </w:rPr>
            </w:pPr>
            <w:r>
              <w:rPr>
                <w:rFonts w:ascii="仿宋" w:hAnsi="仿宋" w:eastAsia="仿宋" w:cs="仿宋"/>
                <w:spacing w:val="-9"/>
                <w:sz w:val="28"/>
                <w:szCs w:val="28"/>
              </w:rPr>
              <w:t>非常不</w:t>
            </w:r>
            <w:r>
              <w:rPr>
                <w:rFonts w:ascii="仿宋" w:hAnsi="仿宋" w:eastAsia="仿宋" w:cs="仿宋"/>
                <w:spacing w:val="-5"/>
                <w:sz w:val="28"/>
                <w:szCs w:val="28"/>
              </w:rPr>
              <w:t>满意</w:t>
            </w:r>
          </w:p>
        </w:tc>
        <w:tc>
          <w:tcPr>
            <w:tcW w:w="1281" w:type="dxa"/>
          </w:tcPr>
          <w:p w14:paraId="09CC5B23">
            <w:pPr>
              <w:spacing w:line="397" w:lineRule="auto"/>
              <w:rPr>
                <w:rFonts w:ascii="Arial"/>
                <w:sz w:val="21"/>
              </w:rPr>
            </w:pPr>
          </w:p>
          <w:p w14:paraId="437E1D7B">
            <w:pPr>
              <w:spacing w:before="91" w:line="220" w:lineRule="auto"/>
              <w:ind w:left="245"/>
              <w:rPr>
                <w:rFonts w:ascii="仿宋" w:hAnsi="仿宋" w:eastAsia="仿宋" w:cs="仿宋"/>
                <w:sz w:val="28"/>
                <w:szCs w:val="28"/>
              </w:rPr>
            </w:pPr>
            <w:r>
              <w:rPr>
                <w:rFonts w:ascii="仿宋" w:hAnsi="仿宋" w:eastAsia="仿宋" w:cs="仿宋"/>
                <w:spacing w:val="-6"/>
                <w:sz w:val="28"/>
                <w:szCs w:val="28"/>
              </w:rPr>
              <w:t>不适用</w:t>
            </w:r>
          </w:p>
        </w:tc>
      </w:tr>
      <w:tr w14:paraId="6B02B5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1530" w:type="dxa"/>
            <w:vMerge w:val="continue"/>
            <w:tcBorders>
              <w:top w:val="nil"/>
            </w:tcBorders>
          </w:tcPr>
          <w:p w14:paraId="47BF8436">
            <w:pPr>
              <w:rPr>
                <w:rFonts w:ascii="Arial"/>
                <w:sz w:val="21"/>
              </w:rPr>
            </w:pPr>
          </w:p>
        </w:tc>
        <w:tc>
          <w:tcPr>
            <w:tcW w:w="991" w:type="dxa"/>
          </w:tcPr>
          <w:p w14:paraId="5547C2A5">
            <w:pPr>
              <w:spacing w:before="177" w:line="220" w:lineRule="auto"/>
              <w:ind w:left="261"/>
              <w:rPr>
                <w:rFonts w:ascii="仿宋" w:hAnsi="仿宋" w:eastAsia="仿宋" w:cs="仿宋"/>
                <w:sz w:val="28"/>
                <w:szCs w:val="28"/>
              </w:rPr>
            </w:pPr>
            <w:r>
              <w:rPr>
                <w:rFonts w:hint="eastAsia" w:ascii="仿宋" w:hAnsi="仿宋" w:eastAsia="仿宋" w:cs="仿宋"/>
                <w:spacing w:val="-8"/>
                <w:sz w:val="28"/>
                <w:szCs w:val="28"/>
                <w:lang w:val="en-US" w:eastAsia="zh-CN"/>
              </w:rPr>
              <w:t>10</w:t>
            </w:r>
            <w:r>
              <w:rPr>
                <w:rFonts w:ascii="仿宋" w:hAnsi="仿宋" w:eastAsia="仿宋" w:cs="仿宋"/>
                <w:spacing w:val="-8"/>
                <w:sz w:val="28"/>
                <w:szCs w:val="28"/>
              </w:rPr>
              <w:t>分</w:t>
            </w:r>
          </w:p>
        </w:tc>
        <w:tc>
          <w:tcPr>
            <w:tcW w:w="993" w:type="dxa"/>
          </w:tcPr>
          <w:p w14:paraId="0A6A4D34">
            <w:pPr>
              <w:spacing w:before="177" w:line="220" w:lineRule="auto"/>
              <w:ind w:left="257"/>
              <w:rPr>
                <w:rFonts w:ascii="仿宋" w:hAnsi="仿宋" w:eastAsia="仿宋" w:cs="仿宋"/>
                <w:sz w:val="28"/>
                <w:szCs w:val="28"/>
              </w:rPr>
            </w:pPr>
            <w:r>
              <w:rPr>
                <w:rFonts w:hint="eastAsia" w:ascii="仿宋" w:hAnsi="仿宋" w:eastAsia="仿宋" w:cs="仿宋"/>
                <w:spacing w:val="-50"/>
                <w:sz w:val="28"/>
                <w:szCs w:val="28"/>
                <w:lang w:val="en-US" w:eastAsia="zh-CN"/>
              </w:rPr>
              <w:t>9-8</w:t>
            </w:r>
            <w:r>
              <w:rPr>
                <w:rFonts w:ascii="仿宋" w:hAnsi="仿宋" w:eastAsia="仿宋" w:cs="仿宋"/>
                <w:spacing w:val="-50"/>
                <w:sz w:val="28"/>
                <w:szCs w:val="28"/>
              </w:rPr>
              <w:t xml:space="preserve"> </w:t>
            </w:r>
            <w:r>
              <w:rPr>
                <w:rFonts w:ascii="仿宋" w:hAnsi="仿宋" w:eastAsia="仿宋" w:cs="仿宋"/>
                <w:spacing w:val="-5"/>
                <w:sz w:val="28"/>
                <w:szCs w:val="28"/>
              </w:rPr>
              <w:t>分</w:t>
            </w:r>
          </w:p>
        </w:tc>
        <w:tc>
          <w:tcPr>
            <w:tcW w:w="1132" w:type="dxa"/>
          </w:tcPr>
          <w:p w14:paraId="2D31A7E1">
            <w:pPr>
              <w:spacing w:before="177" w:line="220" w:lineRule="auto"/>
              <w:ind w:left="334"/>
              <w:rPr>
                <w:rFonts w:ascii="仿宋" w:hAnsi="仿宋" w:eastAsia="仿宋" w:cs="仿宋"/>
                <w:sz w:val="28"/>
                <w:szCs w:val="28"/>
              </w:rPr>
            </w:pPr>
            <w:r>
              <w:rPr>
                <w:rFonts w:hint="eastAsia" w:ascii="仿宋" w:hAnsi="仿宋" w:eastAsia="仿宋" w:cs="仿宋"/>
                <w:spacing w:val="-50"/>
                <w:sz w:val="28"/>
                <w:szCs w:val="28"/>
                <w:lang w:val="en-US" w:eastAsia="zh-CN"/>
              </w:rPr>
              <w:t>7-6</w:t>
            </w:r>
            <w:r>
              <w:rPr>
                <w:rFonts w:ascii="仿宋" w:hAnsi="仿宋" w:eastAsia="仿宋" w:cs="仿宋"/>
                <w:spacing w:val="-50"/>
                <w:sz w:val="28"/>
                <w:szCs w:val="28"/>
              </w:rPr>
              <w:t xml:space="preserve"> </w:t>
            </w:r>
            <w:r>
              <w:rPr>
                <w:rFonts w:ascii="仿宋" w:hAnsi="仿宋" w:eastAsia="仿宋" w:cs="仿宋"/>
                <w:spacing w:val="-8"/>
                <w:sz w:val="28"/>
                <w:szCs w:val="28"/>
              </w:rPr>
              <w:t>分</w:t>
            </w:r>
          </w:p>
        </w:tc>
        <w:tc>
          <w:tcPr>
            <w:tcW w:w="1418" w:type="dxa"/>
          </w:tcPr>
          <w:p w14:paraId="1964ECDF">
            <w:pPr>
              <w:spacing w:before="177" w:line="220" w:lineRule="auto"/>
              <w:ind w:left="475"/>
              <w:rPr>
                <w:rFonts w:ascii="仿宋" w:hAnsi="仿宋" w:eastAsia="仿宋" w:cs="仿宋"/>
                <w:sz w:val="28"/>
                <w:szCs w:val="28"/>
              </w:rPr>
            </w:pPr>
            <w:r>
              <w:rPr>
                <w:rFonts w:hint="eastAsia" w:ascii="仿宋" w:hAnsi="仿宋" w:eastAsia="仿宋" w:cs="仿宋"/>
                <w:spacing w:val="-50"/>
                <w:sz w:val="28"/>
                <w:szCs w:val="28"/>
                <w:lang w:val="en-US" w:eastAsia="zh-CN"/>
              </w:rPr>
              <w:t>5-4</w:t>
            </w:r>
            <w:r>
              <w:rPr>
                <w:rFonts w:ascii="仿宋" w:hAnsi="仿宋" w:eastAsia="仿宋" w:cs="仿宋"/>
                <w:spacing w:val="-50"/>
                <w:sz w:val="28"/>
                <w:szCs w:val="28"/>
              </w:rPr>
              <w:t xml:space="preserve"> </w:t>
            </w:r>
            <w:r>
              <w:rPr>
                <w:rFonts w:ascii="仿宋" w:hAnsi="仿宋" w:eastAsia="仿宋" w:cs="仿宋"/>
                <w:spacing w:val="-7"/>
                <w:sz w:val="28"/>
                <w:szCs w:val="28"/>
              </w:rPr>
              <w:t>分</w:t>
            </w:r>
          </w:p>
        </w:tc>
        <w:tc>
          <w:tcPr>
            <w:tcW w:w="1133" w:type="dxa"/>
          </w:tcPr>
          <w:p w14:paraId="4831D5C4">
            <w:pPr>
              <w:spacing w:before="177" w:line="220" w:lineRule="auto"/>
              <w:ind w:left="351"/>
              <w:rPr>
                <w:rFonts w:ascii="仿宋" w:hAnsi="仿宋" w:eastAsia="仿宋" w:cs="仿宋"/>
                <w:sz w:val="28"/>
                <w:szCs w:val="28"/>
              </w:rPr>
            </w:pPr>
            <w:r>
              <w:rPr>
                <w:rFonts w:hint="eastAsia" w:ascii="仿宋" w:hAnsi="仿宋" w:eastAsia="仿宋" w:cs="仿宋"/>
                <w:spacing w:val="-49"/>
                <w:sz w:val="28"/>
                <w:szCs w:val="28"/>
                <w:lang w:val="en-US" w:eastAsia="zh-CN"/>
              </w:rPr>
              <w:t>3-0</w:t>
            </w:r>
            <w:r>
              <w:rPr>
                <w:rFonts w:ascii="仿宋" w:hAnsi="仿宋" w:eastAsia="仿宋" w:cs="仿宋"/>
                <w:spacing w:val="-49"/>
                <w:sz w:val="28"/>
                <w:szCs w:val="28"/>
              </w:rPr>
              <w:t xml:space="preserve"> </w:t>
            </w:r>
            <w:r>
              <w:rPr>
                <w:rFonts w:ascii="仿宋" w:hAnsi="仿宋" w:eastAsia="仿宋" w:cs="仿宋"/>
                <w:spacing w:val="-16"/>
                <w:sz w:val="28"/>
                <w:szCs w:val="28"/>
              </w:rPr>
              <w:t>分</w:t>
            </w:r>
          </w:p>
        </w:tc>
        <w:tc>
          <w:tcPr>
            <w:tcW w:w="1281" w:type="dxa"/>
          </w:tcPr>
          <w:p w14:paraId="788AA649">
            <w:pPr>
              <w:spacing w:before="231" w:line="177" w:lineRule="auto"/>
              <w:ind w:left="577"/>
              <w:rPr>
                <w:rFonts w:ascii="仿宋" w:hAnsi="仿宋" w:eastAsia="仿宋" w:cs="仿宋"/>
                <w:sz w:val="28"/>
                <w:szCs w:val="28"/>
              </w:rPr>
            </w:pPr>
            <w:r>
              <w:rPr>
                <w:rFonts w:ascii="仿宋" w:hAnsi="仿宋" w:eastAsia="仿宋" w:cs="仿宋"/>
                <w:sz w:val="28"/>
                <w:szCs w:val="28"/>
              </w:rPr>
              <w:t>X</w:t>
            </w:r>
          </w:p>
        </w:tc>
      </w:tr>
    </w:tbl>
    <w:p w14:paraId="7E795114">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ascii="仿宋" w:hAnsi="仿宋" w:eastAsia="仿宋" w:cs="仿宋"/>
          <w:spacing w:val="-1"/>
          <w:sz w:val="28"/>
          <w:szCs w:val="28"/>
        </w:rPr>
        <w:t>计算方法</w:t>
      </w:r>
      <w:r>
        <w:rPr>
          <w:rFonts w:hint="eastAsia" w:ascii="仿宋" w:hAnsi="仿宋" w:eastAsia="仿宋" w:cs="仿宋"/>
          <w:spacing w:val="-1"/>
          <w:sz w:val="28"/>
          <w:szCs w:val="28"/>
          <w:lang w:eastAsia="zh-CN"/>
        </w:rPr>
        <w:t>：</w:t>
      </w:r>
      <w:r>
        <w:rPr>
          <w:rFonts w:hint="eastAsia" w:ascii="仿宋" w:hAnsi="仿宋" w:eastAsia="仿宋" w:cs="仿宋"/>
          <w:spacing w:val="-1"/>
          <w:sz w:val="28"/>
          <w:szCs w:val="28"/>
          <w:lang w:val="en-US" w:eastAsia="zh-CN"/>
        </w:rPr>
        <w:t>各项得分之和</w:t>
      </w:r>
    </w:p>
    <w:tbl>
      <w:tblPr>
        <w:tblStyle w:val="26"/>
        <w:tblW w:w="8789" w:type="dxa"/>
        <w:tblInd w:w="3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57"/>
        <w:gridCol w:w="4489"/>
        <w:gridCol w:w="1443"/>
      </w:tblGrid>
      <w:tr w14:paraId="0EA13D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857" w:type="dxa"/>
          </w:tcPr>
          <w:p w14:paraId="548E33D3">
            <w:pPr>
              <w:spacing w:before="180" w:line="219" w:lineRule="auto"/>
              <w:ind w:left="0" w:leftChars="0" w:right="0" w:rightChars="0" w:firstLine="0" w:firstLineChars="0"/>
              <w:jc w:val="center"/>
              <w:rPr>
                <w:rFonts w:ascii="仿宋" w:hAnsi="仿宋" w:eastAsia="仿宋" w:cs="仿宋"/>
                <w:sz w:val="28"/>
                <w:szCs w:val="28"/>
              </w:rPr>
            </w:pPr>
            <w:r>
              <w:rPr>
                <w:rFonts w:ascii="仿宋" w:hAnsi="仿宋" w:eastAsia="仿宋" w:cs="仿宋"/>
                <w:b/>
                <w:bCs/>
                <w:spacing w:val="-20"/>
                <w:sz w:val="28"/>
                <w:szCs w:val="28"/>
              </w:rPr>
              <w:t>目标</w:t>
            </w:r>
          </w:p>
        </w:tc>
        <w:tc>
          <w:tcPr>
            <w:tcW w:w="4489" w:type="dxa"/>
          </w:tcPr>
          <w:p w14:paraId="4D2EE1A5">
            <w:pPr>
              <w:spacing w:before="180" w:line="218" w:lineRule="auto"/>
              <w:ind w:left="1157"/>
              <w:rPr>
                <w:rFonts w:ascii="仿宋" w:hAnsi="仿宋" w:eastAsia="仿宋" w:cs="仿宋"/>
                <w:sz w:val="28"/>
                <w:szCs w:val="28"/>
              </w:rPr>
            </w:pPr>
            <w:r>
              <w:rPr>
                <w:rFonts w:ascii="仿宋" w:hAnsi="仿宋" w:eastAsia="仿宋" w:cs="仿宋"/>
                <w:b/>
                <w:bCs/>
                <w:spacing w:val="-7"/>
                <w:sz w:val="28"/>
                <w:szCs w:val="28"/>
              </w:rPr>
              <w:t>计算方法</w:t>
            </w:r>
          </w:p>
        </w:tc>
        <w:tc>
          <w:tcPr>
            <w:tcW w:w="1443" w:type="dxa"/>
          </w:tcPr>
          <w:p w14:paraId="346B5D88">
            <w:pPr>
              <w:spacing w:before="180" w:line="219" w:lineRule="auto"/>
              <w:ind w:left="0" w:leftChars="0" w:right="0" w:rightChars="0" w:firstLine="0" w:firstLineChars="0"/>
              <w:jc w:val="center"/>
              <w:rPr>
                <w:rFonts w:ascii="仿宋" w:hAnsi="仿宋" w:eastAsia="仿宋" w:cs="仿宋"/>
                <w:sz w:val="28"/>
                <w:szCs w:val="28"/>
              </w:rPr>
            </w:pPr>
            <w:r>
              <w:rPr>
                <w:rFonts w:ascii="仿宋" w:hAnsi="仿宋" w:eastAsia="仿宋" w:cs="仿宋"/>
                <w:b/>
                <w:bCs/>
                <w:spacing w:val="-7"/>
                <w:sz w:val="28"/>
                <w:szCs w:val="28"/>
              </w:rPr>
              <w:t>考核频次</w:t>
            </w:r>
          </w:p>
        </w:tc>
      </w:tr>
      <w:tr w14:paraId="2FDF70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2857" w:type="dxa"/>
          </w:tcPr>
          <w:p w14:paraId="17E5DCC9">
            <w:pPr>
              <w:spacing w:before="91" w:line="219" w:lineRule="auto"/>
              <w:jc w:val="both"/>
              <w:rPr>
                <w:rFonts w:hint="default" w:ascii="仿宋" w:hAnsi="仿宋" w:eastAsia="仿宋" w:cs="仿宋"/>
                <w:sz w:val="28"/>
                <w:szCs w:val="28"/>
                <w:lang w:val="en-US" w:eastAsia="zh-CN"/>
              </w:rPr>
            </w:pPr>
            <w:r>
              <w:rPr>
                <w:rFonts w:ascii="仿宋" w:hAnsi="仿宋" w:eastAsia="仿宋" w:cs="仿宋"/>
                <w:spacing w:val="-2"/>
                <w:sz w:val="28"/>
                <w:szCs w:val="28"/>
              </w:rPr>
              <w:t>客户评价满意率≥9</w:t>
            </w:r>
            <w:r>
              <w:rPr>
                <w:rFonts w:hint="eastAsia" w:ascii="仿宋" w:hAnsi="仿宋" w:eastAsia="仿宋" w:cs="仿宋"/>
                <w:spacing w:val="-2"/>
                <w:sz w:val="28"/>
                <w:szCs w:val="28"/>
                <w:lang w:val="en-US" w:eastAsia="zh-CN"/>
              </w:rPr>
              <w:t>5分</w:t>
            </w:r>
          </w:p>
        </w:tc>
        <w:tc>
          <w:tcPr>
            <w:tcW w:w="4489" w:type="dxa"/>
          </w:tcPr>
          <w:p w14:paraId="4FE0764E">
            <w:pPr>
              <w:spacing w:before="176" w:line="352" w:lineRule="auto"/>
              <w:ind w:left="1159" w:right="231" w:hanging="908"/>
              <w:rPr>
                <w:rFonts w:hint="default" w:ascii="仿宋" w:hAnsi="仿宋" w:eastAsia="仿宋" w:cs="仿宋"/>
                <w:sz w:val="28"/>
                <w:szCs w:val="28"/>
                <w:lang w:val="en-US"/>
              </w:rPr>
            </w:pPr>
            <w:r>
              <w:rPr>
                <w:spacing w:val="-3"/>
                <w:sz w:val="24"/>
                <w:szCs w:val="24"/>
              </w:rPr>
              <w:t>∑各调查项</w:t>
            </w:r>
            <w:r>
              <w:rPr>
                <w:rFonts w:hint="eastAsia"/>
                <w:spacing w:val="-3"/>
                <w:sz w:val="24"/>
                <w:szCs w:val="24"/>
                <w:lang w:val="en-US" w:eastAsia="zh-CN"/>
              </w:rPr>
              <w:t>得分/调查问卷总数</w:t>
            </w:r>
          </w:p>
        </w:tc>
        <w:tc>
          <w:tcPr>
            <w:tcW w:w="1443" w:type="dxa"/>
          </w:tcPr>
          <w:p w14:paraId="77FEC8D9">
            <w:pPr>
              <w:spacing w:before="91" w:line="219" w:lineRule="auto"/>
              <w:ind w:left="0" w:leftChars="0" w:right="0" w:rightChars="0" w:firstLine="0" w:firstLineChars="0"/>
              <w:jc w:val="center"/>
              <w:rPr>
                <w:rFonts w:ascii="仿宋" w:hAnsi="仿宋" w:eastAsia="仿宋" w:cs="仿宋"/>
                <w:sz w:val="28"/>
                <w:szCs w:val="28"/>
              </w:rPr>
            </w:pPr>
            <w:r>
              <w:rPr>
                <w:rFonts w:ascii="仿宋" w:hAnsi="仿宋" w:eastAsia="仿宋" w:cs="仿宋"/>
                <w:spacing w:val="-6"/>
                <w:sz w:val="28"/>
                <w:szCs w:val="28"/>
              </w:rPr>
              <w:t>年度</w:t>
            </w:r>
          </w:p>
        </w:tc>
      </w:tr>
    </w:tbl>
    <w:p w14:paraId="11584063">
      <w:pPr>
        <w:pStyle w:val="30"/>
        <w:bidi w:val="0"/>
        <w:rPr>
          <w:rFonts w:hint="default"/>
          <w:lang w:val="en-US" w:eastAsia="zh-CN"/>
        </w:rPr>
      </w:pPr>
      <w:bookmarkStart w:id="17" w:name="_Toc9474"/>
      <w:r>
        <w:rPr>
          <w:rFonts w:hint="default"/>
          <w:lang w:val="en-US" w:eastAsia="zh-CN"/>
        </w:rPr>
        <w:t>满意度调查结果、报告及分析</w:t>
      </w:r>
      <w:bookmarkEnd w:id="17"/>
    </w:p>
    <w:p w14:paraId="642D6C4D">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服务台根据每次满意度调查表行成初步分析。</w:t>
      </w:r>
    </w:p>
    <w:p w14:paraId="4B360692">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质量部</w:t>
      </w:r>
      <w:r>
        <w:rPr>
          <w:rFonts w:hint="default"/>
          <w:lang w:val="en-US" w:eastAsia="zh-CN"/>
        </w:rPr>
        <w:t>根据服务台提供的项目满意度调查表对客户所反映的问题进行分析、总结、改进、落实，并形成《满意度调查分析报告》。</w:t>
      </w:r>
    </w:p>
    <w:p w14:paraId="0B3383F4">
      <w:pPr>
        <w:pStyle w:val="28"/>
        <w:bidi w:val="0"/>
        <w:rPr>
          <w:rFonts w:hint="default"/>
          <w:lang w:val="en-US" w:eastAsia="zh-CN"/>
        </w:rPr>
      </w:pPr>
      <w:bookmarkStart w:id="18" w:name="_Toc23128"/>
      <w:r>
        <w:rPr>
          <w:rFonts w:hint="eastAsia"/>
          <w:lang w:val="en-US" w:eastAsia="zh-CN"/>
        </w:rPr>
        <w:t>客户满意度调查流程</w:t>
      </w:r>
      <w:bookmarkEnd w:id="18"/>
    </w:p>
    <w:p w14:paraId="0344062E">
      <w:pPr>
        <w:pStyle w:val="29"/>
        <w:rPr>
          <w:rFonts w:hint="default"/>
          <w:lang w:val="en-US" w:eastAsia="zh-CN"/>
        </w:rPr>
      </w:pPr>
      <w:r>
        <w:rPr>
          <w:rFonts w:hint="default"/>
          <w:lang w:val="en-US" w:eastAsia="zh-CN"/>
        </w:rPr>
        <w:object>
          <v:shape id="_x0000_i1025" o:spt="75" type="#_x0000_t75" style="height:516.6pt;width:415.2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p>
    <w:p w14:paraId="7BA78B7F">
      <w:pPr>
        <w:pStyle w:val="28"/>
        <w:bidi w:val="0"/>
      </w:pPr>
      <w:bookmarkStart w:id="19" w:name="_Toc3150"/>
      <w:r>
        <w:t>服务改进</w:t>
      </w:r>
      <w:bookmarkEnd w:id="19"/>
    </w:p>
    <w:p w14:paraId="201B1B0F">
      <w:pPr>
        <w:pStyle w:val="29"/>
        <w:numPr>
          <w:ilvl w:val="0"/>
          <w:numId w:val="8"/>
        </w:numPr>
        <w:ind w:left="425" w:leftChars="0" w:hanging="425"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将《客户满意度调查结果及分析报告》发送给相关部门，如</w:t>
      </w:r>
      <w:r>
        <w:rPr>
          <w:rFonts w:hint="eastAsia" w:ascii="Segoe UI" w:hAnsi="Segoe UI" w:eastAsia="宋体" w:cs="Segoe UI"/>
          <w:i w:val="0"/>
          <w:iCs w:val="0"/>
          <w:caps w:val="0"/>
          <w:color w:val="0F1115"/>
          <w:spacing w:val="0"/>
          <w:sz w:val="19"/>
          <w:szCs w:val="19"/>
          <w:shd w:val="clear" w:fill="FFFFFF"/>
          <w:lang w:val="en-US" w:eastAsia="zh-CN"/>
        </w:rPr>
        <w:t>运维部、质量部、研发部、人力部</w:t>
      </w:r>
    </w:p>
    <w:p w14:paraId="0853C31E">
      <w:pPr>
        <w:pStyle w:val="29"/>
        <w:numPr>
          <w:ilvl w:val="0"/>
          <w:numId w:val="8"/>
        </w:numPr>
        <w:ind w:left="425" w:leftChars="0" w:hanging="425" w:firstLineChars="0"/>
        <w:rPr>
          <w:rFonts w:hint="default"/>
          <w:lang w:val="en-US" w:eastAsia="zh-CN"/>
        </w:rPr>
      </w:pPr>
      <w:r>
        <w:rPr>
          <w:rFonts w:hint="default" w:ascii="Segoe UI" w:hAnsi="Segoe UI" w:eastAsia="Segoe UI" w:cs="Segoe UI"/>
          <w:i w:val="0"/>
          <w:iCs w:val="0"/>
          <w:caps w:val="0"/>
          <w:color w:val="0F1115"/>
          <w:spacing w:val="0"/>
          <w:sz w:val="19"/>
          <w:szCs w:val="19"/>
          <w:shd w:val="clear" w:fill="FFFFFF"/>
        </w:rPr>
        <w:t>召开客户满意度服务改进会议，讨论改进措施；</w:t>
      </w:r>
    </w:p>
    <w:p w14:paraId="370C049E">
      <w:pPr>
        <w:pStyle w:val="29"/>
        <w:numPr>
          <w:ilvl w:val="0"/>
          <w:numId w:val="8"/>
        </w:numPr>
        <w:ind w:left="425" w:leftChars="0" w:hanging="425" w:firstLineChars="0"/>
        <w:rPr>
          <w:rFonts w:hint="default"/>
          <w:lang w:val="en-US" w:eastAsia="zh-CN"/>
        </w:rPr>
      </w:pPr>
      <w:r>
        <w:rPr>
          <w:rFonts w:hint="default" w:ascii="Segoe UI" w:hAnsi="Segoe UI" w:eastAsia="Segoe UI" w:cs="Segoe UI"/>
          <w:i w:val="0"/>
          <w:iCs w:val="0"/>
          <w:caps w:val="0"/>
          <w:color w:val="0F1115"/>
          <w:spacing w:val="0"/>
          <w:sz w:val="19"/>
          <w:szCs w:val="19"/>
          <w:shd w:val="clear" w:fill="FFFFFF"/>
        </w:rPr>
        <w:t>各相关部门负责人部署落实改进措施。</w:t>
      </w:r>
    </w:p>
    <w:p w14:paraId="380F9C82">
      <w:pPr>
        <w:pStyle w:val="28"/>
        <w:bidi w:val="0"/>
        <w:rPr>
          <w:rFonts w:hint="default"/>
          <w:lang w:val="en-US" w:eastAsia="zh-CN"/>
        </w:rPr>
      </w:pPr>
      <w:bookmarkStart w:id="20" w:name="_Toc18680"/>
      <w:r>
        <w:rPr>
          <w:rFonts w:hint="eastAsia"/>
          <w:lang w:val="en-US" w:eastAsia="zh-CN"/>
        </w:rPr>
        <w:t>KPI指标</w:t>
      </w:r>
      <w:bookmarkEnd w:id="20"/>
    </w:p>
    <w:tbl>
      <w:tblPr>
        <w:tblStyle w:val="26"/>
        <w:tblW w:w="888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52"/>
        <w:gridCol w:w="4397"/>
        <w:gridCol w:w="1037"/>
        <w:gridCol w:w="1500"/>
      </w:tblGrid>
      <w:tr w14:paraId="1CC543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4" w:hRule="atLeast"/>
        </w:trPr>
        <w:tc>
          <w:tcPr>
            <w:tcW w:w="1952" w:type="dxa"/>
            <w:shd w:val="clear" w:color="auto" w:fill="C0C0C0"/>
          </w:tcPr>
          <w:p w14:paraId="7F1D0B66">
            <w:pPr>
              <w:spacing w:line="397" w:lineRule="auto"/>
              <w:rPr>
                <w:rFonts w:ascii="Arial"/>
                <w:sz w:val="21"/>
              </w:rPr>
            </w:pPr>
          </w:p>
          <w:p w14:paraId="44353407">
            <w:pPr>
              <w:spacing w:before="91" w:line="217" w:lineRule="auto"/>
              <w:ind w:left="544"/>
              <w:rPr>
                <w:rFonts w:ascii="仿宋" w:hAnsi="仿宋" w:eastAsia="仿宋" w:cs="仿宋"/>
                <w:sz w:val="28"/>
                <w:szCs w:val="28"/>
              </w:rPr>
            </w:pPr>
            <w:r>
              <w:rPr>
                <w:rFonts w:ascii="仿宋" w:hAnsi="仿宋" w:eastAsia="仿宋" w:cs="仿宋"/>
                <w:b/>
                <w:bCs/>
                <w:spacing w:val="-7"/>
                <w:sz w:val="28"/>
                <w:szCs w:val="28"/>
              </w:rPr>
              <w:t>指标名称</w:t>
            </w:r>
          </w:p>
        </w:tc>
        <w:tc>
          <w:tcPr>
            <w:tcW w:w="4397" w:type="dxa"/>
            <w:shd w:val="clear" w:color="auto" w:fill="C0C0C0"/>
          </w:tcPr>
          <w:p w14:paraId="50522D66">
            <w:pPr>
              <w:spacing w:line="396" w:lineRule="auto"/>
              <w:rPr>
                <w:rFonts w:ascii="Arial"/>
                <w:sz w:val="21"/>
              </w:rPr>
            </w:pPr>
          </w:p>
          <w:p w14:paraId="0AB56800">
            <w:pPr>
              <w:spacing w:before="91" w:line="218" w:lineRule="auto"/>
              <w:ind w:left="1712"/>
              <w:rPr>
                <w:rFonts w:ascii="仿宋" w:hAnsi="仿宋" w:eastAsia="仿宋" w:cs="仿宋"/>
                <w:sz w:val="28"/>
                <w:szCs w:val="28"/>
              </w:rPr>
            </w:pPr>
            <w:r>
              <w:rPr>
                <w:rFonts w:ascii="仿宋" w:hAnsi="仿宋" w:eastAsia="仿宋" w:cs="仿宋"/>
                <w:b/>
                <w:bCs/>
                <w:spacing w:val="-7"/>
                <w:sz w:val="28"/>
                <w:szCs w:val="28"/>
              </w:rPr>
              <w:t>计算公式</w:t>
            </w:r>
          </w:p>
        </w:tc>
        <w:tc>
          <w:tcPr>
            <w:tcW w:w="1037" w:type="dxa"/>
            <w:shd w:val="clear" w:color="auto" w:fill="C0C0C0"/>
          </w:tcPr>
          <w:p w14:paraId="03E251F1">
            <w:pPr>
              <w:spacing w:before="177" w:line="219" w:lineRule="auto"/>
              <w:ind w:left="256"/>
              <w:rPr>
                <w:rFonts w:ascii="仿宋" w:hAnsi="仿宋" w:eastAsia="仿宋" w:cs="仿宋"/>
                <w:sz w:val="28"/>
                <w:szCs w:val="28"/>
              </w:rPr>
            </w:pPr>
            <w:r>
              <w:rPr>
                <w:rFonts w:ascii="仿宋" w:hAnsi="仿宋" w:eastAsia="仿宋" w:cs="仿宋"/>
                <w:b/>
                <w:bCs/>
                <w:spacing w:val="-8"/>
                <w:sz w:val="28"/>
                <w:szCs w:val="28"/>
              </w:rPr>
              <w:t>考核</w:t>
            </w:r>
          </w:p>
          <w:p w14:paraId="018459F1">
            <w:pPr>
              <w:spacing w:before="291" w:line="219" w:lineRule="auto"/>
              <w:ind w:left="260"/>
              <w:rPr>
                <w:rFonts w:ascii="仿宋" w:hAnsi="仿宋" w:eastAsia="仿宋" w:cs="仿宋"/>
                <w:sz w:val="28"/>
                <w:szCs w:val="28"/>
              </w:rPr>
            </w:pPr>
            <w:r>
              <w:rPr>
                <w:rFonts w:ascii="仿宋" w:hAnsi="仿宋" w:eastAsia="仿宋" w:cs="仿宋"/>
                <w:b/>
                <w:bCs/>
                <w:spacing w:val="-9"/>
                <w:sz w:val="28"/>
                <w:szCs w:val="28"/>
              </w:rPr>
              <w:t>要求</w:t>
            </w:r>
          </w:p>
        </w:tc>
        <w:tc>
          <w:tcPr>
            <w:tcW w:w="1500" w:type="dxa"/>
            <w:shd w:val="clear" w:color="auto" w:fill="C0C0C0"/>
          </w:tcPr>
          <w:p w14:paraId="0707A784">
            <w:pPr>
              <w:spacing w:before="179" w:line="351" w:lineRule="auto"/>
              <w:ind w:left="447" w:right="148" w:hanging="279"/>
              <w:rPr>
                <w:rFonts w:ascii="仿宋" w:hAnsi="仿宋" w:eastAsia="仿宋" w:cs="仿宋"/>
                <w:sz w:val="28"/>
                <w:szCs w:val="28"/>
              </w:rPr>
            </w:pPr>
            <w:r>
              <w:rPr>
                <w:rFonts w:ascii="仿宋" w:hAnsi="仿宋" w:eastAsia="仿宋" w:cs="仿宋"/>
                <w:b/>
                <w:bCs/>
                <w:spacing w:val="-9"/>
                <w:sz w:val="28"/>
                <w:szCs w:val="28"/>
              </w:rPr>
              <w:t>考核周</w:t>
            </w:r>
            <w:r>
              <w:rPr>
                <w:rFonts w:ascii="仿宋" w:hAnsi="仿宋" w:eastAsia="仿宋" w:cs="仿宋"/>
                <w:b/>
                <w:bCs/>
                <w:spacing w:val="-3"/>
                <w:sz w:val="28"/>
                <w:szCs w:val="28"/>
              </w:rPr>
              <w:t>期</w:t>
            </w:r>
          </w:p>
        </w:tc>
      </w:tr>
      <w:tr w14:paraId="340162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952" w:type="dxa"/>
          </w:tcPr>
          <w:p w14:paraId="35049F79">
            <w:pPr>
              <w:spacing w:before="176" w:line="219" w:lineRule="auto"/>
              <w:ind w:left="412"/>
              <w:rPr>
                <w:rFonts w:ascii="仿宋" w:hAnsi="仿宋" w:eastAsia="仿宋" w:cs="仿宋"/>
                <w:sz w:val="28"/>
                <w:szCs w:val="28"/>
              </w:rPr>
            </w:pPr>
            <w:r>
              <w:rPr>
                <w:rFonts w:ascii="仿宋" w:hAnsi="仿宋" w:eastAsia="仿宋" w:cs="仿宋"/>
                <w:spacing w:val="-4"/>
                <w:sz w:val="28"/>
                <w:szCs w:val="28"/>
              </w:rPr>
              <w:t>客户满意度</w:t>
            </w:r>
          </w:p>
        </w:tc>
        <w:tc>
          <w:tcPr>
            <w:tcW w:w="4397" w:type="dxa"/>
          </w:tcPr>
          <w:p w14:paraId="5C1FE59F">
            <w:pPr>
              <w:spacing w:before="176" w:line="219" w:lineRule="auto"/>
              <w:ind w:left="147"/>
              <w:rPr>
                <w:rFonts w:hint="default" w:ascii="仿宋" w:hAnsi="仿宋" w:eastAsia="仿宋" w:cs="仿宋"/>
                <w:sz w:val="28"/>
                <w:szCs w:val="28"/>
                <w:lang w:val="en-US"/>
              </w:rPr>
            </w:pPr>
            <w:r>
              <w:rPr>
                <w:spacing w:val="-3"/>
                <w:sz w:val="24"/>
                <w:szCs w:val="24"/>
              </w:rPr>
              <w:t>∑各调查项</w:t>
            </w:r>
            <w:r>
              <w:rPr>
                <w:rFonts w:hint="eastAsia"/>
                <w:spacing w:val="-3"/>
                <w:sz w:val="24"/>
                <w:szCs w:val="24"/>
                <w:lang w:val="en-US" w:eastAsia="zh-CN"/>
              </w:rPr>
              <w:t>得分/调查问卷总数</w:t>
            </w:r>
          </w:p>
        </w:tc>
        <w:tc>
          <w:tcPr>
            <w:tcW w:w="1037" w:type="dxa"/>
          </w:tcPr>
          <w:p w14:paraId="7F4A927E">
            <w:pPr>
              <w:spacing w:before="177" w:line="237" w:lineRule="auto"/>
              <w:ind w:left="205"/>
              <w:rPr>
                <w:rFonts w:hint="default" w:ascii="仿宋" w:hAnsi="仿宋" w:eastAsia="仿宋" w:cs="仿宋"/>
                <w:sz w:val="28"/>
                <w:szCs w:val="28"/>
                <w:lang w:val="en-US" w:eastAsia="zh-CN"/>
              </w:rPr>
            </w:pPr>
            <w:r>
              <w:rPr>
                <w:rFonts w:ascii="仿宋" w:hAnsi="仿宋" w:eastAsia="仿宋" w:cs="仿宋"/>
                <w:spacing w:val="-10"/>
                <w:sz w:val="28"/>
                <w:szCs w:val="28"/>
              </w:rPr>
              <w:t>≥9</w:t>
            </w:r>
            <w:r>
              <w:rPr>
                <w:rFonts w:hint="eastAsia" w:ascii="仿宋" w:hAnsi="仿宋" w:eastAsia="仿宋" w:cs="仿宋"/>
                <w:spacing w:val="-10"/>
                <w:sz w:val="28"/>
                <w:szCs w:val="28"/>
                <w:lang w:val="en-US" w:eastAsia="zh-CN"/>
              </w:rPr>
              <w:t>5分</w:t>
            </w:r>
          </w:p>
        </w:tc>
        <w:tc>
          <w:tcPr>
            <w:tcW w:w="1500" w:type="dxa"/>
          </w:tcPr>
          <w:p w14:paraId="69315EF4">
            <w:pPr>
              <w:spacing w:before="176" w:line="219" w:lineRule="auto"/>
              <w:ind w:left="314"/>
              <w:rPr>
                <w:rFonts w:ascii="仿宋" w:hAnsi="仿宋" w:eastAsia="仿宋" w:cs="仿宋"/>
                <w:sz w:val="28"/>
                <w:szCs w:val="28"/>
              </w:rPr>
            </w:pPr>
            <w:r>
              <w:rPr>
                <w:rFonts w:ascii="仿宋" w:hAnsi="仿宋" w:eastAsia="仿宋" w:cs="仿宋"/>
                <w:spacing w:val="-6"/>
                <w:sz w:val="28"/>
                <w:szCs w:val="28"/>
              </w:rPr>
              <w:t>年度</w:t>
            </w:r>
          </w:p>
        </w:tc>
      </w:tr>
    </w:tbl>
    <w:p w14:paraId="24A4C51E">
      <w:pPr>
        <w:pStyle w:val="29"/>
        <w:rPr>
          <w:rFonts w:hint="default"/>
          <w:lang w:val="en-US" w:eastAsia="zh-CN"/>
        </w:rPr>
      </w:pPr>
      <w:bookmarkStart w:id="21" w:name="_GoBack"/>
      <w:bookmarkEnd w:id="2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674C6B7"/>
    <w:multiLevelType w:val="singleLevel"/>
    <w:tmpl w:val="9674C6B7"/>
    <w:lvl w:ilvl="0" w:tentative="0">
      <w:start w:val="1"/>
      <w:numFmt w:val="decimal"/>
      <w:lvlText w:val="%1."/>
      <w:lvlJc w:val="left"/>
      <w:pPr>
        <w:ind w:left="425" w:hanging="425"/>
      </w:pPr>
      <w:rPr>
        <w:rFonts w:hint="default"/>
      </w:rPr>
    </w:lvl>
  </w:abstractNum>
  <w:abstractNum w:abstractNumId="2">
    <w:nsid w:val="AB299066"/>
    <w:multiLevelType w:val="singleLevel"/>
    <w:tmpl w:val="AB299066"/>
    <w:lvl w:ilvl="0" w:tentative="0">
      <w:start w:val="1"/>
      <w:numFmt w:val="decimal"/>
      <w:lvlText w:val="%1."/>
      <w:lvlJc w:val="left"/>
      <w:pPr>
        <w:ind w:left="425" w:hanging="425"/>
      </w:pPr>
      <w:rPr>
        <w:rFonts w:hint="default"/>
      </w:rPr>
    </w:lvl>
  </w:abstractNum>
  <w:abstractNum w:abstractNumId="3">
    <w:nsid w:val="CDA5F013"/>
    <w:multiLevelType w:val="singleLevel"/>
    <w:tmpl w:val="CDA5F013"/>
    <w:lvl w:ilvl="0" w:tentative="0">
      <w:start w:val="1"/>
      <w:numFmt w:val="decimal"/>
      <w:lvlText w:val="%1."/>
      <w:lvlJc w:val="left"/>
      <w:pPr>
        <w:ind w:left="425" w:hanging="425"/>
      </w:pPr>
      <w:rPr>
        <w:rFonts w:hint="default"/>
      </w:rPr>
    </w:lvl>
  </w:abstractNum>
  <w:abstractNum w:abstractNumId="4">
    <w:nsid w:val="D4287EF9"/>
    <w:multiLevelType w:val="singleLevel"/>
    <w:tmpl w:val="D4287EF9"/>
    <w:lvl w:ilvl="0" w:tentative="0">
      <w:start w:val="1"/>
      <w:numFmt w:val="decimal"/>
      <w:lvlText w:val="%1."/>
      <w:lvlJc w:val="left"/>
      <w:pPr>
        <w:ind w:left="425" w:hanging="425"/>
      </w:pPr>
      <w:rPr>
        <w:rFonts w:hint="default"/>
      </w:rPr>
    </w:lvl>
  </w:abstractNum>
  <w:abstractNum w:abstractNumId="5">
    <w:nsid w:val="E6F28340"/>
    <w:multiLevelType w:val="singleLevel"/>
    <w:tmpl w:val="E6F28340"/>
    <w:lvl w:ilvl="0" w:tentative="0">
      <w:start w:val="1"/>
      <w:numFmt w:val="decimal"/>
      <w:lvlText w:val="%1."/>
      <w:lvlJc w:val="left"/>
      <w:pPr>
        <w:ind w:left="425" w:hanging="425"/>
      </w:pPr>
      <w:rPr>
        <w:rFonts w:hint="default"/>
      </w:rPr>
    </w:lvl>
  </w:abstractNum>
  <w:abstractNum w:abstractNumId="6">
    <w:nsid w:val="2F65FAA8"/>
    <w:multiLevelType w:val="singleLevel"/>
    <w:tmpl w:val="2F65FAA8"/>
    <w:lvl w:ilvl="0" w:tentative="0">
      <w:start w:val="1"/>
      <w:numFmt w:val="decimal"/>
      <w:lvlText w:val="%1."/>
      <w:lvlJc w:val="left"/>
      <w:pPr>
        <w:ind w:left="425" w:hanging="425"/>
      </w:pPr>
      <w:rPr>
        <w:rFonts w:hint="default"/>
      </w:rPr>
    </w:lvl>
  </w:abstractNum>
  <w:abstractNum w:abstractNumId="7">
    <w:nsid w:val="63B771B3"/>
    <w:multiLevelType w:val="singleLevel"/>
    <w:tmpl w:val="63B771B3"/>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4"/>
  </w:num>
  <w:num w:numId="4">
    <w:abstractNumId w:val="2"/>
  </w:num>
  <w:num w:numId="5">
    <w:abstractNumId w:val="1"/>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21CE"/>
    <w:rsid w:val="00247D20"/>
    <w:rsid w:val="00813BDB"/>
    <w:rsid w:val="00C84172"/>
    <w:rsid w:val="00FE5DE6"/>
    <w:rsid w:val="01115B19"/>
    <w:rsid w:val="0117719B"/>
    <w:rsid w:val="01232ED2"/>
    <w:rsid w:val="01F561BC"/>
    <w:rsid w:val="02217FDE"/>
    <w:rsid w:val="025C5D80"/>
    <w:rsid w:val="025F37F9"/>
    <w:rsid w:val="027A149C"/>
    <w:rsid w:val="028440C8"/>
    <w:rsid w:val="02B0310F"/>
    <w:rsid w:val="02EB73E1"/>
    <w:rsid w:val="03431E67"/>
    <w:rsid w:val="041D47D5"/>
    <w:rsid w:val="044F0706"/>
    <w:rsid w:val="0466617C"/>
    <w:rsid w:val="053242B0"/>
    <w:rsid w:val="05524952"/>
    <w:rsid w:val="0553766A"/>
    <w:rsid w:val="05B41169"/>
    <w:rsid w:val="05B95683"/>
    <w:rsid w:val="05D13AC9"/>
    <w:rsid w:val="06363CF6"/>
    <w:rsid w:val="06F061D0"/>
    <w:rsid w:val="07C97778"/>
    <w:rsid w:val="08C37623"/>
    <w:rsid w:val="08CE78BD"/>
    <w:rsid w:val="090D12BC"/>
    <w:rsid w:val="09524F20"/>
    <w:rsid w:val="097E5D15"/>
    <w:rsid w:val="097F55EA"/>
    <w:rsid w:val="09824EAB"/>
    <w:rsid w:val="09E3201C"/>
    <w:rsid w:val="09E57B43"/>
    <w:rsid w:val="0A177422"/>
    <w:rsid w:val="0A2902B6"/>
    <w:rsid w:val="0A2F0DBE"/>
    <w:rsid w:val="0B667E81"/>
    <w:rsid w:val="0B7F4B2F"/>
    <w:rsid w:val="0C352456"/>
    <w:rsid w:val="0CA23AC9"/>
    <w:rsid w:val="0CA937E0"/>
    <w:rsid w:val="0CEE4F60"/>
    <w:rsid w:val="0DCD1019"/>
    <w:rsid w:val="0E4B1F3E"/>
    <w:rsid w:val="0E6F3E7F"/>
    <w:rsid w:val="0E7B2823"/>
    <w:rsid w:val="0F0245DB"/>
    <w:rsid w:val="0F8C0A60"/>
    <w:rsid w:val="0FCD552D"/>
    <w:rsid w:val="102A4C6C"/>
    <w:rsid w:val="10A2678D"/>
    <w:rsid w:val="10EC17B7"/>
    <w:rsid w:val="10FD3DC3"/>
    <w:rsid w:val="11072A94"/>
    <w:rsid w:val="112C6057"/>
    <w:rsid w:val="11412AE7"/>
    <w:rsid w:val="115A28E4"/>
    <w:rsid w:val="11743EDB"/>
    <w:rsid w:val="123E44FA"/>
    <w:rsid w:val="128E7347"/>
    <w:rsid w:val="12A52565"/>
    <w:rsid w:val="13540457"/>
    <w:rsid w:val="13AD4FA0"/>
    <w:rsid w:val="13E7683E"/>
    <w:rsid w:val="140E5EE8"/>
    <w:rsid w:val="14740441"/>
    <w:rsid w:val="149D101A"/>
    <w:rsid w:val="14A423A8"/>
    <w:rsid w:val="14A95C11"/>
    <w:rsid w:val="14E74C9B"/>
    <w:rsid w:val="151E466B"/>
    <w:rsid w:val="1534197E"/>
    <w:rsid w:val="157A28AF"/>
    <w:rsid w:val="15C745A0"/>
    <w:rsid w:val="16306010"/>
    <w:rsid w:val="16436C21"/>
    <w:rsid w:val="16BB1304"/>
    <w:rsid w:val="170D692B"/>
    <w:rsid w:val="171E6442"/>
    <w:rsid w:val="17936E30"/>
    <w:rsid w:val="179761F4"/>
    <w:rsid w:val="17BB219E"/>
    <w:rsid w:val="17EE4066"/>
    <w:rsid w:val="181141F9"/>
    <w:rsid w:val="184C03FD"/>
    <w:rsid w:val="186D58D3"/>
    <w:rsid w:val="19F618F8"/>
    <w:rsid w:val="1A0A7151"/>
    <w:rsid w:val="1A6F22D2"/>
    <w:rsid w:val="1A943AF7"/>
    <w:rsid w:val="1A9A6727"/>
    <w:rsid w:val="1AC11F06"/>
    <w:rsid w:val="1B177D78"/>
    <w:rsid w:val="1B636A3F"/>
    <w:rsid w:val="1C4C39E7"/>
    <w:rsid w:val="1C80194D"/>
    <w:rsid w:val="1C9A47BD"/>
    <w:rsid w:val="1CA47DEB"/>
    <w:rsid w:val="1CD777BF"/>
    <w:rsid w:val="1CFA34AD"/>
    <w:rsid w:val="1D9B4896"/>
    <w:rsid w:val="1E566E09"/>
    <w:rsid w:val="1E85324A"/>
    <w:rsid w:val="1EA700D7"/>
    <w:rsid w:val="1EC5443A"/>
    <w:rsid w:val="1EF74B09"/>
    <w:rsid w:val="1F775289"/>
    <w:rsid w:val="20054643"/>
    <w:rsid w:val="200D2936"/>
    <w:rsid w:val="201C62F8"/>
    <w:rsid w:val="20411092"/>
    <w:rsid w:val="20D72EFF"/>
    <w:rsid w:val="20F070A1"/>
    <w:rsid w:val="215238B8"/>
    <w:rsid w:val="21696E53"/>
    <w:rsid w:val="21CF315A"/>
    <w:rsid w:val="22AD4B1E"/>
    <w:rsid w:val="23492A98"/>
    <w:rsid w:val="23753F08"/>
    <w:rsid w:val="237948B6"/>
    <w:rsid w:val="23B720F8"/>
    <w:rsid w:val="23DF51AB"/>
    <w:rsid w:val="24286B52"/>
    <w:rsid w:val="242E1C8E"/>
    <w:rsid w:val="24316771"/>
    <w:rsid w:val="2446022B"/>
    <w:rsid w:val="2480073C"/>
    <w:rsid w:val="24A361D8"/>
    <w:rsid w:val="24B51776"/>
    <w:rsid w:val="251763AC"/>
    <w:rsid w:val="25F9498E"/>
    <w:rsid w:val="263151E3"/>
    <w:rsid w:val="26976211"/>
    <w:rsid w:val="27800A4E"/>
    <w:rsid w:val="27E77427"/>
    <w:rsid w:val="27FA6A57"/>
    <w:rsid w:val="283E4B96"/>
    <w:rsid w:val="2907571B"/>
    <w:rsid w:val="295F4405"/>
    <w:rsid w:val="29752839"/>
    <w:rsid w:val="29BA649E"/>
    <w:rsid w:val="2A726D79"/>
    <w:rsid w:val="2ADE10FF"/>
    <w:rsid w:val="2B7D22D9"/>
    <w:rsid w:val="2BE3076A"/>
    <w:rsid w:val="2C7E7C57"/>
    <w:rsid w:val="2C92725E"/>
    <w:rsid w:val="2CE455E0"/>
    <w:rsid w:val="2D2F0F51"/>
    <w:rsid w:val="2E0E6DB8"/>
    <w:rsid w:val="2E160B93"/>
    <w:rsid w:val="2E3D6201"/>
    <w:rsid w:val="2E60513A"/>
    <w:rsid w:val="2E6E3CFB"/>
    <w:rsid w:val="2EAC037F"/>
    <w:rsid w:val="2EC678FB"/>
    <w:rsid w:val="2F2B1BEC"/>
    <w:rsid w:val="2F511653"/>
    <w:rsid w:val="2FC260AC"/>
    <w:rsid w:val="2FD00080"/>
    <w:rsid w:val="3034062C"/>
    <w:rsid w:val="304B42F4"/>
    <w:rsid w:val="305A62E5"/>
    <w:rsid w:val="309F019C"/>
    <w:rsid w:val="30A05CC2"/>
    <w:rsid w:val="30C776F3"/>
    <w:rsid w:val="30E06864"/>
    <w:rsid w:val="30F73B34"/>
    <w:rsid w:val="30FA6C7D"/>
    <w:rsid w:val="311D52E5"/>
    <w:rsid w:val="316136A3"/>
    <w:rsid w:val="325C4224"/>
    <w:rsid w:val="327D275F"/>
    <w:rsid w:val="32D22AAA"/>
    <w:rsid w:val="33C80FA0"/>
    <w:rsid w:val="33DC5263"/>
    <w:rsid w:val="33EA3CCF"/>
    <w:rsid w:val="33FE78CF"/>
    <w:rsid w:val="34580D8D"/>
    <w:rsid w:val="34B00BC9"/>
    <w:rsid w:val="351C000D"/>
    <w:rsid w:val="35244234"/>
    <w:rsid w:val="353B6B36"/>
    <w:rsid w:val="35847960"/>
    <w:rsid w:val="36237179"/>
    <w:rsid w:val="36687282"/>
    <w:rsid w:val="36A04C6E"/>
    <w:rsid w:val="36A26B39"/>
    <w:rsid w:val="36B52BBF"/>
    <w:rsid w:val="36E20DE2"/>
    <w:rsid w:val="37211741"/>
    <w:rsid w:val="37272C99"/>
    <w:rsid w:val="37BC7885"/>
    <w:rsid w:val="37CE1367"/>
    <w:rsid w:val="37D050DF"/>
    <w:rsid w:val="37D42FEF"/>
    <w:rsid w:val="37E52224"/>
    <w:rsid w:val="38084878"/>
    <w:rsid w:val="39D07993"/>
    <w:rsid w:val="3A777A93"/>
    <w:rsid w:val="3ADE7B13"/>
    <w:rsid w:val="3BF81334"/>
    <w:rsid w:val="3C0D4B53"/>
    <w:rsid w:val="3C495460"/>
    <w:rsid w:val="3CB46D7D"/>
    <w:rsid w:val="3D006466"/>
    <w:rsid w:val="3DD11BB1"/>
    <w:rsid w:val="3E0B0C1F"/>
    <w:rsid w:val="3E31180A"/>
    <w:rsid w:val="3E636CAD"/>
    <w:rsid w:val="3E95498C"/>
    <w:rsid w:val="3EA57C42"/>
    <w:rsid w:val="407451A1"/>
    <w:rsid w:val="408E3D89"/>
    <w:rsid w:val="408F46DB"/>
    <w:rsid w:val="411249BA"/>
    <w:rsid w:val="4134048C"/>
    <w:rsid w:val="41517290"/>
    <w:rsid w:val="41611082"/>
    <w:rsid w:val="417411D1"/>
    <w:rsid w:val="41923405"/>
    <w:rsid w:val="41DA59C1"/>
    <w:rsid w:val="42237A68"/>
    <w:rsid w:val="42644DA1"/>
    <w:rsid w:val="42BF718B"/>
    <w:rsid w:val="43105D77"/>
    <w:rsid w:val="434322EE"/>
    <w:rsid w:val="435C09AC"/>
    <w:rsid w:val="43AD2714"/>
    <w:rsid w:val="441D16AC"/>
    <w:rsid w:val="442C5D93"/>
    <w:rsid w:val="446A7E74"/>
    <w:rsid w:val="44BA6EFA"/>
    <w:rsid w:val="45476FB4"/>
    <w:rsid w:val="454F599C"/>
    <w:rsid w:val="45644E54"/>
    <w:rsid w:val="45C21D6F"/>
    <w:rsid w:val="4669507C"/>
    <w:rsid w:val="47460F19"/>
    <w:rsid w:val="47705F96"/>
    <w:rsid w:val="477C28E3"/>
    <w:rsid w:val="477F61D9"/>
    <w:rsid w:val="481E234E"/>
    <w:rsid w:val="48425B85"/>
    <w:rsid w:val="48A560A8"/>
    <w:rsid w:val="48C0399E"/>
    <w:rsid w:val="48F52D8D"/>
    <w:rsid w:val="49042E3A"/>
    <w:rsid w:val="49221512"/>
    <w:rsid w:val="49757894"/>
    <w:rsid w:val="49B02AEE"/>
    <w:rsid w:val="4A2F1827"/>
    <w:rsid w:val="4B1F2A17"/>
    <w:rsid w:val="4B3726F6"/>
    <w:rsid w:val="4B3D2633"/>
    <w:rsid w:val="4B5670C1"/>
    <w:rsid w:val="4B83098E"/>
    <w:rsid w:val="4BDE7972"/>
    <w:rsid w:val="4BF379E9"/>
    <w:rsid w:val="4C0849EF"/>
    <w:rsid w:val="4C0C793F"/>
    <w:rsid w:val="4C3E6663"/>
    <w:rsid w:val="4CD01739"/>
    <w:rsid w:val="4D147203"/>
    <w:rsid w:val="4D495A2D"/>
    <w:rsid w:val="4DC31516"/>
    <w:rsid w:val="4E6A1991"/>
    <w:rsid w:val="4EB11255"/>
    <w:rsid w:val="4EBD41B7"/>
    <w:rsid w:val="4ED1072C"/>
    <w:rsid w:val="4F3501F1"/>
    <w:rsid w:val="4F3D2C02"/>
    <w:rsid w:val="4FFC486B"/>
    <w:rsid w:val="50830AE8"/>
    <w:rsid w:val="50AF18DD"/>
    <w:rsid w:val="50E27F05"/>
    <w:rsid w:val="51343ECB"/>
    <w:rsid w:val="51502B40"/>
    <w:rsid w:val="51CE66DB"/>
    <w:rsid w:val="526754B2"/>
    <w:rsid w:val="530879CB"/>
    <w:rsid w:val="53185E60"/>
    <w:rsid w:val="53B316E5"/>
    <w:rsid w:val="53D307BE"/>
    <w:rsid w:val="54492DC1"/>
    <w:rsid w:val="54EC75A4"/>
    <w:rsid w:val="552A3C28"/>
    <w:rsid w:val="552E2FF3"/>
    <w:rsid w:val="55780E38"/>
    <w:rsid w:val="565D002E"/>
    <w:rsid w:val="56665134"/>
    <w:rsid w:val="566D0271"/>
    <w:rsid w:val="56876E58"/>
    <w:rsid w:val="56E147BB"/>
    <w:rsid w:val="56EC58D0"/>
    <w:rsid w:val="571921A6"/>
    <w:rsid w:val="584E7C2E"/>
    <w:rsid w:val="58733B38"/>
    <w:rsid w:val="5894789F"/>
    <w:rsid w:val="58B205D5"/>
    <w:rsid w:val="58B32187"/>
    <w:rsid w:val="58B7499B"/>
    <w:rsid w:val="58D41A42"/>
    <w:rsid w:val="58F26E18"/>
    <w:rsid w:val="59260BAB"/>
    <w:rsid w:val="59977B9A"/>
    <w:rsid w:val="5A386DE8"/>
    <w:rsid w:val="5A5F4374"/>
    <w:rsid w:val="5A647BDD"/>
    <w:rsid w:val="5AA1498D"/>
    <w:rsid w:val="5AB86683"/>
    <w:rsid w:val="5AC62645"/>
    <w:rsid w:val="5AC71F19"/>
    <w:rsid w:val="5ADC3C17"/>
    <w:rsid w:val="5AF2343A"/>
    <w:rsid w:val="5B767BC7"/>
    <w:rsid w:val="5C1318BA"/>
    <w:rsid w:val="5C25339C"/>
    <w:rsid w:val="5C366DE5"/>
    <w:rsid w:val="5C441A74"/>
    <w:rsid w:val="5D235B2D"/>
    <w:rsid w:val="5DBA4BC4"/>
    <w:rsid w:val="5E3033B1"/>
    <w:rsid w:val="5E8B1BDC"/>
    <w:rsid w:val="5EA42C9D"/>
    <w:rsid w:val="5EF61933"/>
    <w:rsid w:val="5F0B4ACB"/>
    <w:rsid w:val="5F3729F3"/>
    <w:rsid w:val="5FB26F83"/>
    <w:rsid w:val="5FFD2BC5"/>
    <w:rsid w:val="60001B6F"/>
    <w:rsid w:val="60C457EE"/>
    <w:rsid w:val="60DA29A7"/>
    <w:rsid w:val="60E92BEA"/>
    <w:rsid w:val="60FF41BB"/>
    <w:rsid w:val="617C1CB0"/>
    <w:rsid w:val="61C13B66"/>
    <w:rsid w:val="628F77C1"/>
    <w:rsid w:val="633C17DD"/>
    <w:rsid w:val="6381535B"/>
    <w:rsid w:val="639332E1"/>
    <w:rsid w:val="63EF49BB"/>
    <w:rsid w:val="63FE69AC"/>
    <w:rsid w:val="64E75692"/>
    <w:rsid w:val="64FC354F"/>
    <w:rsid w:val="65081D5E"/>
    <w:rsid w:val="65120B64"/>
    <w:rsid w:val="652C7705"/>
    <w:rsid w:val="65387F11"/>
    <w:rsid w:val="6582733D"/>
    <w:rsid w:val="65D11E9E"/>
    <w:rsid w:val="66320C06"/>
    <w:rsid w:val="66707909"/>
    <w:rsid w:val="66AA6977"/>
    <w:rsid w:val="66B934EE"/>
    <w:rsid w:val="6744501E"/>
    <w:rsid w:val="67511E0E"/>
    <w:rsid w:val="67630B2B"/>
    <w:rsid w:val="67780823"/>
    <w:rsid w:val="681C38A5"/>
    <w:rsid w:val="681F3395"/>
    <w:rsid w:val="68386205"/>
    <w:rsid w:val="68C53F3C"/>
    <w:rsid w:val="68ED228A"/>
    <w:rsid w:val="692073C4"/>
    <w:rsid w:val="69341E28"/>
    <w:rsid w:val="69D56401"/>
    <w:rsid w:val="6A116D0D"/>
    <w:rsid w:val="6A2D7FEB"/>
    <w:rsid w:val="6A975464"/>
    <w:rsid w:val="6AAB2282"/>
    <w:rsid w:val="6B1C3BBC"/>
    <w:rsid w:val="6B340F05"/>
    <w:rsid w:val="6B735ED1"/>
    <w:rsid w:val="6B895985"/>
    <w:rsid w:val="6C4A2D9F"/>
    <w:rsid w:val="6CAD5413"/>
    <w:rsid w:val="6CD97FB6"/>
    <w:rsid w:val="6CDE737B"/>
    <w:rsid w:val="6CE652AF"/>
    <w:rsid w:val="6CF22E26"/>
    <w:rsid w:val="6D013069"/>
    <w:rsid w:val="6D2D20B0"/>
    <w:rsid w:val="6E535B46"/>
    <w:rsid w:val="6E8421A4"/>
    <w:rsid w:val="6EAE0FCF"/>
    <w:rsid w:val="6EB63269"/>
    <w:rsid w:val="6ED36C87"/>
    <w:rsid w:val="6EDA1DC4"/>
    <w:rsid w:val="6EDD6355"/>
    <w:rsid w:val="6F7C0E99"/>
    <w:rsid w:val="6FFE5F86"/>
    <w:rsid w:val="70545BA6"/>
    <w:rsid w:val="70765B1C"/>
    <w:rsid w:val="707B3132"/>
    <w:rsid w:val="71494FDF"/>
    <w:rsid w:val="71751495"/>
    <w:rsid w:val="71C629E6"/>
    <w:rsid w:val="71D5612C"/>
    <w:rsid w:val="72181581"/>
    <w:rsid w:val="72EA5653"/>
    <w:rsid w:val="72F316A6"/>
    <w:rsid w:val="73081ADA"/>
    <w:rsid w:val="737F73DD"/>
    <w:rsid w:val="73FC458A"/>
    <w:rsid w:val="74542618"/>
    <w:rsid w:val="749033F2"/>
    <w:rsid w:val="749649DF"/>
    <w:rsid w:val="749F4396"/>
    <w:rsid w:val="75481873"/>
    <w:rsid w:val="755F5B8A"/>
    <w:rsid w:val="75AC01D2"/>
    <w:rsid w:val="75D63A4F"/>
    <w:rsid w:val="767F7A6D"/>
    <w:rsid w:val="76BB072D"/>
    <w:rsid w:val="76BD26F7"/>
    <w:rsid w:val="76DF266D"/>
    <w:rsid w:val="77456248"/>
    <w:rsid w:val="77930BD1"/>
    <w:rsid w:val="78542BE7"/>
    <w:rsid w:val="786170B2"/>
    <w:rsid w:val="78AE7E54"/>
    <w:rsid w:val="78FB5758"/>
    <w:rsid w:val="79314CD6"/>
    <w:rsid w:val="7A8D418E"/>
    <w:rsid w:val="7A951295"/>
    <w:rsid w:val="7B187F43"/>
    <w:rsid w:val="7B4927AB"/>
    <w:rsid w:val="7B9F38BF"/>
    <w:rsid w:val="7BAA1AC9"/>
    <w:rsid w:val="7C1F350C"/>
    <w:rsid w:val="7C330D65"/>
    <w:rsid w:val="7C457D32"/>
    <w:rsid w:val="7C4B4301"/>
    <w:rsid w:val="7C5C02BC"/>
    <w:rsid w:val="7C8D2B6B"/>
    <w:rsid w:val="7CB67090"/>
    <w:rsid w:val="7D23702C"/>
    <w:rsid w:val="7D741635"/>
    <w:rsid w:val="7DBF0B02"/>
    <w:rsid w:val="7DCC6DCE"/>
    <w:rsid w:val="7DE40387"/>
    <w:rsid w:val="7DEE72E6"/>
    <w:rsid w:val="7DF34C50"/>
    <w:rsid w:val="7E953F59"/>
    <w:rsid w:val="7EA366EB"/>
    <w:rsid w:val="7EE43B13"/>
    <w:rsid w:val="7EFB3DBC"/>
    <w:rsid w:val="7F326585"/>
    <w:rsid w:val="7F536501"/>
    <w:rsid w:val="7F6E0A32"/>
    <w:rsid w:val="7FA34F2A"/>
    <w:rsid w:val="7FD665D7"/>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1258</Words>
  <Characters>1384</Characters>
  <Lines>0</Lines>
  <Paragraphs>0</Paragraphs>
  <TotalTime>11</TotalTime>
  <ScaleCrop>false</ScaleCrop>
  <LinksUpToDate>false</LinksUpToDate>
  <CharactersWithSpaces>1536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2025-12-24T07:39:17Z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