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69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3264"/>
      <w:r>
        <w:rPr>
          <w:rFonts w:hint="eastAsia"/>
          <w:lang w:val="en-US" w:eastAsia="zh-CN"/>
        </w:rPr>
        <w:t>事件管理制度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051"/>
      <w:r>
        <w:rPr>
          <w:rFonts w:hint="eastAsia"/>
          <w:lang w:val="en-US" w:eastAsia="zh-CN"/>
        </w:rPr>
        <w:t>（YNTD-ITSS-0601）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4617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600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13756FF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0AE65F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678CE6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_Toc23264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_Toc23264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A2A58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_Toc29051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（YNTD-ITSS-0601）</w:t>
          </w:r>
          <w:r>
            <w:tab/>
          </w:r>
          <w:r>
            <w:fldChar w:fldCharType="begin"/>
          </w:r>
          <w:r>
            <w:instrText xml:space="preserve"> PAGEREF _Toc29051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6AE77C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_Toc24617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_Toc24617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60BD73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_Toc30545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_Toc30545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7C0FC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_Toc22575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适应范围</w:t>
          </w:r>
          <w:r>
            <w:tab/>
          </w:r>
          <w:r>
            <w:fldChar w:fldCharType="begin"/>
          </w:r>
          <w:r>
            <w:instrText xml:space="preserve"> PAGEREF _Toc22575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E42EA4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_Toc4803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_Toc4803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2C8F2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_Toc6896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_Toc6896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C618C0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_Toc11357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3.2. 项目经理</w:t>
          </w:r>
          <w:r>
            <w:tab/>
          </w:r>
          <w:r>
            <w:fldChar w:fldCharType="begin"/>
          </w:r>
          <w:r>
            <w:instrText xml:space="preserve"> PAGEREF _Toc11357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54ADA2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_Toc17700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工程师</w:t>
          </w:r>
          <w:r>
            <w:tab/>
          </w:r>
          <w:r>
            <w:fldChar w:fldCharType="begin"/>
          </w:r>
          <w:r>
            <w:instrText xml:space="preserve"> PAGEREF _Toc17700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D2DED3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_Toc29397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事件管理流程</w:t>
          </w:r>
          <w:r>
            <w:tab/>
          </w:r>
          <w:r>
            <w:fldChar w:fldCharType="begin"/>
          </w:r>
          <w:r>
            <w:instrText xml:space="preserve"> PAGEREF _Toc29397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6F6FAF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_Toc9250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事件登记</w:t>
          </w:r>
          <w:r>
            <w:tab/>
          </w:r>
          <w:r>
            <w:fldChar w:fldCharType="begin"/>
          </w:r>
          <w:r>
            <w:instrText xml:space="preserve"> PAGEREF _Toc9250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3A300B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_Toc14798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提出服务请求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347450D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_Toc12796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创建并记录事件基本信息：</w:t>
          </w:r>
          <w:r>
            <w:tab/>
          </w:r>
          <w:r>
            <w:fldChar w:fldCharType="begin"/>
          </w:r>
          <w:r>
            <w:instrText xml:space="preserve"> PAGEREF _Toc12796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9DB10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_Toc15374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接受和筛选</w:t>
          </w:r>
          <w:r>
            <w:tab/>
          </w:r>
          <w:r>
            <w:fldChar w:fldCharType="begin"/>
          </w:r>
          <w:r>
            <w:instrText xml:space="preserve"> PAGEREF _Toc15374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155DA72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事件派单</w:t>
          </w:r>
          <w:r>
            <w:tab/>
          </w:r>
          <w:r>
            <w:fldChar w:fldCharType="begin"/>
          </w:r>
          <w:r>
            <w:instrText xml:space="preserve"> PAGEREF _Toc11127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49D1C36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_Toc17422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4.2.1. 事件分类</w:t>
          </w:r>
          <w:r>
            <w:tab/>
          </w:r>
          <w:r>
            <w:fldChar w:fldCharType="begin"/>
          </w:r>
          <w:r>
            <w:instrText xml:space="preserve"> PAGEREF _Toc17422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E4BA82E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_Toc22218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4.2.2. 事件分级</w:t>
          </w:r>
          <w:r>
            <w:tab/>
          </w:r>
          <w:r>
            <w:fldChar w:fldCharType="begin"/>
          </w:r>
          <w:r>
            <w:instrText xml:space="preserve"> PAGEREF _Toc22218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62EBEA3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_Toc5697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4.2.3. 初步支持</w:t>
          </w:r>
          <w:r>
            <w:tab/>
          </w:r>
          <w:r>
            <w:fldChar w:fldCharType="begin"/>
          </w:r>
          <w:r>
            <w:instrText xml:space="preserve"> PAGEREF _Toc5697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E04F3A9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4.2.4. 管理升级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9471E6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_Toc4763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 事件处理</w:t>
          </w:r>
          <w:r>
            <w:tab/>
          </w:r>
          <w:r>
            <w:fldChar w:fldCharType="begin"/>
          </w:r>
          <w:r>
            <w:instrText xml:space="preserve"> PAGEREF _Toc4763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79EB8A3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_Toc11104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4.3.1. 解决和恢复</w:t>
          </w:r>
          <w:r>
            <w:tab/>
          </w:r>
          <w:r>
            <w:fldChar w:fldCharType="begin"/>
          </w:r>
          <w:r>
            <w:instrText xml:space="preserve"> PAGEREF _Toc11104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170391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_Toc28424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4.3.2. 联络厂商</w:t>
          </w:r>
          <w:r>
            <w:tab/>
          </w:r>
          <w:r>
            <w:fldChar w:fldCharType="begin"/>
          </w:r>
          <w:r>
            <w:instrText xml:space="preserve"> PAGEREF _Toc28424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DC267F1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_Toc13721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 事件关闭</w:t>
          </w:r>
          <w:r>
            <w:tab/>
          </w:r>
          <w:r>
            <w:fldChar w:fldCharType="begin"/>
          </w:r>
          <w:r>
            <w:instrText xml:space="preserve"> PAGEREF _Toc13721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B189972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_Toc15102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4.4.1. 与客户确认处理结果</w:t>
          </w:r>
          <w:r>
            <w:tab/>
          </w:r>
          <w:r>
            <w:fldChar w:fldCharType="begin"/>
          </w:r>
          <w:r>
            <w:instrText xml:space="preserve"> PAGEREF _Toc15102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1C1434C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_Toc13938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4.4.2. 事件关闭</w:t>
          </w:r>
          <w:r>
            <w:tab/>
          </w:r>
          <w:r>
            <w:fldChar w:fldCharType="begin"/>
          </w:r>
          <w:r>
            <w:instrText xml:space="preserve"> PAGEREF _Toc13938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2FD83AA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_Toc7255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用户确认解决后，在系统中关闭服务单。随后判断是否需</w:t>
          </w:r>
          <w:r>
            <w:tab/>
          </w:r>
          <w:r>
            <w:fldChar w:fldCharType="begin"/>
          </w:r>
          <w:r>
            <w:instrText xml:space="preserve"> PAGEREF _Toc7255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4E4B2ED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_Toc12374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4.4.3. 添加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_Toc12374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89508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_Toc30721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重大事件处理</w:t>
          </w:r>
          <w:r>
            <w:tab/>
          </w:r>
          <w:r>
            <w:fldChar w:fldCharType="begin"/>
          </w:r>
          <w:r>
            <w:instrText xml:space="preserve"> PAGEREF _Toc30721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1DABB56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_Toc22521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5.1. 定义</w:t>
          </w:r>
          <w:r>
            <w:tab/>
          </w:r>
          <w:r>
            <w:fldChar w:fldCharType="begin"/>
          </w:r>
          <w:r>
            <w:instrText xml:space="preserve"> PAGEREF _Toc22521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FE2B89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_Toc3415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分级事件</w:t>
          </w:r>
          <w:r>
            <w:tab/>
          </w:r>
          <w:r>
            <w:fldChar w:fldCharType="begin"/>
          </w:r>
          <w:r>
            <w:instrText xml:space="preserve"> PAGEREF _Toc3415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DD3B0A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_Toc16093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处理问题</w:t>
          </w:r>
          <w:r>
            <w:tab/>
          </w:r>
          <w:r>
            <w:fldChar w:fldCharType="begin"/>
          </w:r>
          <w:r>
            <w:instrText xml:space="preserve"> PAGEREF _Toc16093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5A3599C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事件状态</w:t>
          </w:r>
          <w:r>
            <w:tab/>
          </w:r>
          <w:r>
            <w:fldChar w:fldCharType="begin"/>
          </w:r>
          <w:r>
            <w:instrText xml:space="preserve"> PAGEREF _Toc285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CC7BE1A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事件管理与其他流程的关系</w:t>
          </w:r>
          <w:r>
            <w:tab/>
          </w:r>
          <w:r>
            <w:fldChar w:fldCharType="begin"/>
          </w:r>
          <w:r>
            <w:instrText xml:space="preserve"> PAGEREF _Toc4822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FD40D5D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_Toc32113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C9BAE5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00AAAEB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15413C08">
      <w:pPr>
        <w:pStyle w:val="28"/>
        <w:bidi w:val="0"/>
        <w:rPr>
          <w:rFonts w:hint="default"/>
          <w:lang w:val="en-US" w:eastAsia="zh-CN"/>
        </w:rPr>
      </w:pPr>
      <w:bookmarkStart w:id="4" w:name="_Toc30545"/>
      <w:r>
        <w:rPr>
          <w:rFonts w:hint="default"/>
          <w:lang w:val="en-US" w:eastAsia="zh-CN"/>
        </w:rPr>
        <w:t>目的</w:t>
      </w:r>
      <w:bookmarkEnd w:id="4"/>
    </w:p>
    <w:p w14:paraId="79B25C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为了减少或消除系统干扰因素，确保用户尽快恢复至SLA定义的正常服务级别。</w:t>
      </w:r>
    </w:p>
    <w:p w14:paraId="68379A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规范公司IT服务事件管理活动，提高事件响应和解决速度，保证IT服务可靠性。</w:t>
      </w:r>
    </w:p>
    <w:p w14:paraId="5FA23A91">
      <w:pPr>
        <w:pStyle w:val="28"/>
        <w:bidi w:val="0"/>
        <w:rPr>
          <w:rFonts w:hint="default"/>
          <w:lang w:val="en-US" w:eastAsia="zh-CN"/>
        </w:rPr>
      </w:pPr>
      <w:bookmarkStart w:id="5" w:name="_Toc22575"/>
      <w:r>
        <w:rPr>
          <w:rFonts w:hint="default"/>
          <w:lang w:val="en-US" w:eastAsia="zh-CN"/>
        </w:rPr>
        <w:t>适应范围</w:t>
      </w:r>
      <w:bookmarkEnd w:id="5"/>
    </w:p>
    <w:p w14:paraId="61E35B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范围涵盖运维服务中的操作咨询和故障处理。</w:t>
      </w:r>
    </w:p>
    <w:p w14:paraId="6F562E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主要包括：</w:t>
      </w:r>
    </w:p>
    <w:p w14:paraId="4DCABEE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服务请求和技术咨询：信息系统安装、部署、配置、使用等咨询。</w:t>
      </w:r>
    </w:p>
    <w:p w14:paraId="02503BA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信息系统升级、扩容和改造等技术咨询活动。</w:t>
      </w:r>
    </w:p>
    <w:p w14:paraId="107BBC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故障处理：对软件和硬件故障进行处理。</w:t>
      </w:r>
    </w:p>
    <w:p w14:paraId="60936177">
      <w:pPr>
        <w:pStyle w:val="28"/>
        <w:bidi w:val="0"/>
        <w:rPr>
          <w:rFonts w:hint="default"/>
          <w:lang w:val="en-US" w:eastAsia="zh-CN"/>
        </w:rPr>
      </w:pPr>
      <w:bookmarkStart w:id="6" w:name="_Toc4803"/>
      <w:r>
        <w:rPr>
          <w:rFonts w:hint="default"/>
          <w:lang w:val="en-US" w:eastAsia="zh-CN"/>
        </w:rPr>
        <w:t>角色与职责</w:t>
      </w:r>
      <w:bookmarkEnd w:id="6"/>
    </w:p>
    <w:p w14:paraId="2876D8CC">
      <w:pPr>
        <w:pStyle w:val="30"/>
        <w:bidi w:val="0"/>
        <w:rPr>
          <w:rFonts w:hint="default"/>
          <w:lang w:val="en-US" w:eastAsia="zh-CN"/>
        </w:rPr>
      </w:pPr>
      <w:bookmarkStart w:id="7" w:name="_Toc6896"/>
      <w:r>
        <w:rPr>
          <w:rFonts w:hint="default"/>
          <w:lang w:val="en-US" w:eastAsia="zh-CN"/>
        </w:rPr>
        <w:t>服务台</w:t>
      </w:r>
      <w:bookmarkEnd w:id="7"/>
    </w:p>
    <w:p w14:paraId="001426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受理故障申报，建立服务单。</w:t>
      </w:r>
    </w:p>
    <w:p w14:paraId="1E28A7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在线处理简单故障。</w:t>
      </w:r>
    </w:p>
    <w:p w14:paraId="5420CD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分派不能在线解决的故障。</w:t>
      </w:r>
    </w:p>
    <w:p w14:paraId="2BEB9F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跟踪服务单处理进展。</w:t>
      </w:r>
    </w:p>
    <w:p w14:paraId="7BB169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进行用户回访，收集反馈。</w:t>
      </w:r>
    </w:p>
    <w:p w14:paraId="4E2AE2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汇总监控用户满意度并反馈。</w:t>
      </w:r>
    </w:p>
    <w:p w14:paraId="0C820B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受理用户投诉。</w:t>
      </w:r>
    </w:p>
    <w:p w14:paraId="6B478C49">
      <w:pPr>
        <w:pStyle w:val="30"/>
        <w:bidi w:val="0"/>
        <w:rPr>
          <w:rFonts w:hint="default"/>
          <w:lang w:val="en-US" w:eastAsia="zh-CN"/>
        </w:rPr>
      </w:pPr>
      <w:bookmarkStart w:id="8" w:name="_Toc11357"/>
      <w:r>
        <w:rPr>
          <w:rFonts w:hint="default"/>
          <w:lang w:val="en-US" w:eastAsia="zh-CN"/>
        </w:rPr>
        <w:t>项目经理</w:t>
      </w:r>
      <w:bookmarkEnd w:id="8"/>
    </w:p>
    <w:p w14:paraId="31146E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协调资源调度。</w:t>
      </w:r>
    </w:p>
    <w:p w14:paraId="0BB823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决定事件转岗派单，跟踪进度。</w:t>
      </w:r>
    </w:p>
    <w:p w14:paraId="40DA2F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监控流程效率和效果。</w:t>
      </w:r>
    </w:p>
    <w:p w14:paraId="45D18B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处理本组投诉。</w:t>
      </w:r>
    </w:p>
    <w:p w14:paraId="5BE13C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为改进工作提供建议。</w:t>
      </w:r>
    </w:p>
    <w:p w14:paraId="768482A1">
      <w:pPr>
        <w:pStyle w:val="30"/>
        <w:bidi w:val="0"/>
        <w:rPr>
          <w:rFonts w:hint="default"/>
          <w:lang w:val="en-US" w:eastAsia="zh-CN"/>
        </w:rPr>
      </w:pPr>
      <w:bookmarkStart w:id="9" w:name="_Toc17700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</w:t>
      </w:r>
      <w:bookmarkEnd w:id="9"/>
    </w:p>
    <w:p w14:paraId="3797A5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受理事件，初步分类记录，利用现有资源处理；无法处理时升级。</w:t>
      </w:r>
    </w:p>
    <w:p w14:paraId="610CA9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与服务台联动，提高响应及时率。</w:t>
      </w:r>
    </w:p>
    <w:p w14:paraId="75D7A6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对需技术支持的事件派单并跟踪。</w:t>
      </w:r>
    </w:p>
    <w:p w14:paraId="3EE37A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全程与客户沟通，确保客户知悉进度及结果，直至关闭。</w:t>
      </w:r>
    </w:p>
    <w:p w14:paraId="58C98C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初步解决问题。</w:t>
      </w:r>
    </w:p>
    <w:p w14:paraId="255122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将事件整理更新至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101D44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定期分析事件及处理，优化系统流程及工具。</w:t>
      </w:r>
    </w:p>
    <w:p w14:paraId="69FA65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将应急事件纳入统一事件管理。</w:t>
      </w:r>
    </w:p>
    <w:p w14:paraId="3C0B7C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881EB50">
      <w:pPr>
        <w:pStyle w:val="28"/>
        <w:bidi w:val="0"/>
        <w:rPr>
          <w:rFonts w:hint="default"/>
          <w:lang w:val="en-US" w:eastAsia="zh-CN"/>
        </w:rPr>
      </w:pPr>
      <w:bookmarkStart w:id="10" w:name="_Toc29397"/>
      <w:r>
        <w:rPr>
          <w:rFonts w:hint="default"/>
          <w:lang w:val="en-US" w:eastAsia="zh-CN"/>
        </w:rPr>
        <w:t>事件管理流程</w:t>
      </w:r>
      <w:bookmarkEnd w:id="10"/>
    </w:p>
    <w:p w14:paraId="483102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流程从事件生命周期出发，分解为4个一级过程：事件登记、事件派单、事件处理、事件关闭。</w:t>
      </w:r>
    </w:p>
    <w:p w14:paraId="4124D5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40638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38750" cy="3048000"/>
            <wp:effectExtent l="0" t="0" r="381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1F69">
      <w:pPr>
        <w:pStyle w:val="30"/>
        <w:bidi w:val="0"/>
        <w:rPr>
          <w:rFonts w:hint="default"/>
          <w:lang w:val="en-US" w:eastAsia="zh-CN"/>
        </w:rPr>
      </w:pPr>
      <w:bookmarkStart w:id="11" w:name="_Toc9250"/>
      <w:r>
        <w:rPr>
          <w:rFonts w:hint="default"/>
          <w:lang w:val="en-US" w:eastAsia="zh-CN"/>
        </w:rPr>
        <w:t>事件登记</w:t>
      </w:r>
      <w:bookmarkEnd w:id="11"/>
    </w:p>
    <w:p w14:paraId="6C5E3B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133975" cy="580072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ECE7">
      <w:pPr>
        <w:pStyle w:val="31"/>
        <w:bidi w:val="0"/>
        <w:rPr>
          <w:rFonts w:hint="default"/>
          <w:lang w:val="en-US" w:eastAsia="zh-CN"/>
        </w:rPr>
      </w:pPr>
      <w:bookmarkStart w:id="12" w:name="_Toc14798"/>
      <w:r>
        <w:rPr>
          <w:rFonts w:hint="default"/>
          <w:lang w:val="en-US" w:eastAsia="zh-CN"/>
        </w:rPr>
        <w:t>提出服务请求</w:t>
      </w:r>
      <w:bookmarkEnd w:id="12"/>
    </w:p>
    <w:p w14:paraId="680764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用户提出请求，服务台承接记录。</w:t>
      </w:r>
    </w:p>
    <w:p w14:paraId="66A163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事件来源：用户通过运维平台管理系统提交服务单；通过服务台电话咨询（处理结果每日汇总）。</w:t>
      </w:r>
    </w:p>
    <w:p w14:paraId="2B345F70">
      <w:pPr>
        <w:pStyle w:val="31"/>
        <w:bidi w:val="0"/>
        <w:rPr>
          <w:rFonts w:hint="default"/>
          <w:lang w:val="en-US" w:eastAsia="zh-CN"/>
        </w:rPr>
      </w:pPr>
      <w:bookmarkStart w:id="13" w:name="_Toc12796"/>
      <w:r>
        <w:rPr>
          <w:rFonts w:hint="default"/>
          <w:lang w:val="en-US" w:eastAsia="zh-CN"/>
        </w:rPr>
        <w:t>创建并记录事件基本信息：</w:t>
      </w:r>
      <w:bookmarkEnd w:id="13"/>
    </w:p>
    <w:p w14:paraId="4A5576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服务台在事件记录单中记录申告信息。</w:t>
      </w:r>
    </w:p>
    <w:p w14:paraId="6D2A45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基本信息包括：受理人、渠道、时间、编号、申报人及联系方式、故障地点及联系人、涉及系统、事件内容描述（标题、紧急程度、类型）、受理意见、事件状态。</w:t>
      </w:r>
    </w:p>
    <w:p w14:paraId="355E5C9B">
      <w:pPr>
        <w:pStyle w:val="31"/>
        <w:bidi w:val="0"/>
        <w:rPr>
          <w:rFonts w:hint="default"/>
          <w:lang w:val="en-US" w:eastAsia="zh-CN"/>
        </w:rPr>
      </w:pPr>
      <w:bookmarkStart w:id="14" w:name="_Toc15374"/>
      <w:r>
        <w:rPr>
          <w:rFonts w:hint="default"/>
          <w:lang w:val="en-US" w:eastAsia="zh-CN"/>
        </w:rPr>
        <w:t>接受和筛选</w:t>
      </w:r>
      <w:bookmarkEnd w:id="14"/>
    </w:p>
    <w:p w14:paraId="6EF4EC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服务台判断事件是否在服务范畴内。</w:t>
      </w:r>
    </w:p>
    <w:p w14:paraId="1EB004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不在范围内：告知申报人与项目经理，退回发起人。</w:t>
      </w:r>
    </w:p>
    <w:p w14:paraId="2210EF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客户仍需超范围服务：转至相应模块项目经理协调确认。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720"/>
        <w:gridCol w:w="994"/>
        <w:gridCol w:w="995"/>
        <w:gridCol w:w="3676"/>
        <w:gridCol w:w="1421"/>
      </w:tblGrid>
      <w:tr w14:paraId="4D3CF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3D27B4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720" w:type="dxa"/>
          </w:tcPr>
          <w:p w14:paraId="347716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</w:t>
            </w:r>
          </w:p>
        </w:tc>
        <w:tc>
          <w:tcPr>
            <w:tcW w:w="994" w:type="dxa"/>
          </w:tcPr>
          <w:p w14:paraId="11702E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995" w:type="dxa"/>
          </w:tcPr>
          <w:p w14:paraId="209FFA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影响度</w:t>
            </w:r>
          </w:p>
        </w:tc>
        <w:tc>
          <w:tcPr>
            <w:tcW w:w="3676" w:type="dxa"/>
          </w:tcPr>
          <w:p w14:paraId="03C3A6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421" w:type="dxa"/>
          </w:tcPr>
          <w:p w14:paraId="448E38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处理时间</w:t>
            </w:r>
          </w:p>
        </w:tc>
      </w:tr>
      <w:tr w14:paraId="4929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3455E1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20" w:type="dxa"/>
          </w:tcPr>
          <w:p w14:paraId="307A1B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四级</w:t>
            </w:r>
          </w:p>
        </w:tc>
        <w:tc>
          <w:tcPr>
            <w:tcW w:w="994" w:type="dxa"/>
          </w:tcPr>
          <w:p w14:paraId="2418EC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995" w:type="dxa"/>
          </w:tcPr>
          <w:p w14:paraId="512C91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</w:t>
            </w:r>
          </w:p>
        </w:tc>
        <w:tc>
          <w:tcPr>
            <w:tcW w:w="3676" w:type="dxa"/>
          </w:tcPr>
          <w:p w14:paraId="4B53A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影响度很小的，一般指业务影响度 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很低的服务，有时需要预约时间，与“低”影响度对应。主要涉及咨询类内容。</w:t>
            </w:r>
          </w:p>
        </w:tc>
        <w:tc>
          <w:tcPr>
            <w:tcW w:w="1421" w:type="dxa"/>
          </w:tcPr>
          <w:p w14:paraId="483D77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 w14:paraId="3DE4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048D43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20" w:type="dxa"/>
          </w:tcPr>
          <w:p w14:paraId="24C88C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三级</w:t>
            </w:r>
          </w:p>
        </w:tc>
        <w:tc>
          <w:tcPr>
            <w:tcW w:w="994" w:type="dxa"/>
          </w:tcPr>
          <w:p w14:paraId="7698F5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995" w:type="dxa"/>
          </w:tcPr>
          <w:p w14:paraId="0089B7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较严重</w:t>
            </w:r>
          </w:p>
        </w:tc>
        <w:tc>
          <w:tcPr>
            <w:tcW w:w="3676" w:type="dxa"/>
          </w:tcPr>
          <w:p w14:paraId="5ABA36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一般故障处理的影响度，用于中等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业务影响度的服务，与“中”影响度对应。</w:t>
            </w:r>
          </w:p>
          <w:p w14:paraId="2A7CC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如一般性的数据处理、更改配置等</w:t>
            </w:r>
            <w:r>
              <w:rPr>
                <w:rFonts w:hint="eastAsia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工作内容</w:t>
            </w:r>
          </w:p>
        </w:tc>
        <w:tc>
          <w:tcPr>
            <w:tcW w:w="1421" w:type="dxa"/>
          </w:tcPr>
          <w:p w14:paraId="30A0DE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24小时</w:t>
            </w:r>
          </w:p>
        </w:tc>
      </w:tr>
      <w:tr w14:paraId="0038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608176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20" w:type="dxa"/>
          </w:tcPr>
          <w:p w14:paraId="31DF03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二级</w:t>
            </w:r>
          </w:p>
        </w:tc>
        <w:tc>
          <w:tcPr>
            <w:tcW w:w="994" w:type="dxa"/>
          </w:tcPr>
          <w:p w14:paraId="6351CB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995" w:type="dxa"/>
          </w:tcPr>
          <w:p w14:paraId="33D12E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3676" w:type="dxa"/>
          </w:tcPr>
          <w:p w14:paraId="79A82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严重故障处理的影响度，用于严重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影响业务应用的事故处理，与“高”影响度对应。 </w:t>
            </w:r>
          </w:p>
          <w:p w14:paraId="1285B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如各业务组针对用户的月结、年结等工作内容。影响全省的业务处理等。</w:t>
            </w:r>
          </w:p>
        </w:tc>
        <w:tc>
          <w:tcPr>
            <w:tcW w:w="1421" w:type="dxa"/>
          </w:tcPr>
          <w:p w14:paraId="6C902F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4小时</w:t>
            </w:r>
          </w:p>
        </w:tc>
      </w:tr>
      <w:tr w14:paraId="1D48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02286B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20" w:type="dxa"/>
          </w:tcPr>
          <w:p w14:paraId="61AF19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</w:t>
            </w:r>
          </w:p>
        </w:tc>
        <w:tc>
          <w:tcPr>
            <w:tcW w:w="994" w:type="dxa"/>
          </w:tcPr>
          <w:p w14:paraId="34324D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</w:t>
            </w:r>
          </w:p>
        </w:tc>
        <w:tc>
          <w:tcPr>
            <w:tcW w:w="995" w:type="dxa"/>
          </w:tcPr>
          <w:p w14:paraId="224692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</w:t>
            </w:r>
          </w:p>
        </w:tc>
        <w:tc>
          <w:tcPr>
            <w:tcW w:w="3676" w:type="dxa"/>
          </w:tcPr>
          <w:p w14:paraId="42FEF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特殊服务事件的处理，用于紧急服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务事件的处理，与“重大”影响度对应。 </w:t>
            </w:r>
          </w:p>
          <w:p w14:paraId="2D219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如系统系统中断、宕机等。</w:t>
            </w:r>
          </w:p>
        </w:tc>
        <w:tc>
          <w:tcPr>
            <w:tcW w:w="1421" w:type="dxa"/>
          </w:tcPr>
          <w:p w14:paraId="02202D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30分钟</w:t>
            </w:r>
          </w:p>
        </w:tc>
      </w:tr>
    </w:tbl>
    <w:p w14:paraId="4FB9AE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DE9187A">
      <w:pPr>
        <w:pStyle w:val="30"/>
        <w:bidi w:val="0"/>
        <w:rPr>
          <w:rFonts w:hint="default"/>
          <w:lang w:val="en-US" w:eastAsia="zh-CN"/>
        </w:rPr>
      </w:pPr>
      <w:bookmarkStart w:id="15" w:name="_Toc11127"/>
      <w:r>
        <w:rPr>
          <w:rFonts w:hint="default"/>
          <w:lang w:val="en-US" w:eastAsia="zh-CN"/>
        </w:rPr>
        <w:t>事件派单</w:t>
      </w:r>
      <w:bookmarkEnd w:id="15"/>
    </w:p>
    <w:p w14:paraId="2764E4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143500" cy="622935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CBB2">
      <w:pPr>
        <w:pStyle w:val="31"/>
        <w:bidi w:val="0"/>
        <w:rPr>
          <w:rFonts w:hint="default"/>
          <w:lang w:val="en-US" w:eastAsia="zh-CN"/>
        </w:rPr>
      </w:pPr>
      <w:bookmarkStart w:id="16" w:name="_Toc17422"/>
      <w:r>
        <w:rPr>
          <w:rFonts w:hint="default"/>
          <w:lang w:val="en-US" w:eastAsia="zh-CN"/>
        </w:rPr>
        <w:t>事件分类</w:t>
      </w:r>
      <w:bookmarkEnd w:id="16"/>
    </w:p>
    <w:p w14:paraId="67B54D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项目经理对事件分类：</w:t>
      </w:r>
      <w:r>
        <w:rPr>
          <w:rFonts w:hint="eastAsia"/>
          <w:lang w:val="en-US" w:eastAsia="zh-CN"/>
        </w:rPr>
        <w:t>硬件类、软件类、服务类</w:t>
      </w:r>
      <w:r>
        <w:rPr>
          <w:rFonts w:hint="default"/>
          <w:lang w:val="en-US" w:eastAsia="zh-CN"/>
        </w:rPr>
        <w:t>。</w:t>
      </w:r>
    </w:p>
    <w:p w14:paraId="0F68F0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说明：最终处理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工程师对事件最终分类准确性负责。</w:t>
      </w:r>
    </w:p>
    <w:tbl>
      <w:tblPr>
        <w:tblStyle w:val="26"/>
        <w:tblW w:w="8432" w:type="dxa"/>
        <w:tblInd w:w="10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9"/>
        <w:gridCol w:w="5503"/>
      </w:tblGrid>
      <w:tr w14:paraId="560AD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929" w:type="dxa"/>
            <w:vAlign w:val="top"/>
          </w:tcPr>
          <w:p w14:paraId="2ED83B68">
            <w:pPr>
              <w:spacing w:before="201" w:line="228" w:lineRule="auto"/>
              <w:ind w:left="12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19"/>
                <w:szCs w:val="19"/>
              </w:rPr>
              <w:t>类别</w:t>
            </w:r>
          </w:p>
        </w:tc>
        <w:tc>
          <w:tcPr>
            <w:tcW w:w="5503" w:type="dxa"/>
            <w:vAlign w:val="top"/>
          </w:tcPr>
          <w:p w14:paraId="1BFF7DCD">
            <w:pPr>
              <w:spacing w:before="200" w:line="229" w:lineRule="auto"/>
              <w:ind w:left="255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19"/>
                <w:szCs w:val="19"/>
              </w:rPr>
              <w:t>定义</w:t>
            </w:r>
          </w:p>
        </w:tc>
      </w:tr>
      <w:tr w14:paraId="61E58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929" w:type="dxa"/>
            <w:vAlign w:val="top"/>
          </w:tcPr>
          <w:p w14:paraId="49B7EBEB">
            <w:pPr>
              <w:spacing w:before="197" w:line="228" w:lineRule="auto"/>
              <w:ind w:left="9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硬件类事件</w:t>
            </w:r>
          </w:p>
        </w:tc>
        <w:tc>
          <w:tcPr>
            <w:tcW w:w="5503" w:type="dxa"/>
            <w:vAlign w:val="top"/>
          </w:tcPr>
          <w:p w14:paraId="09699B8A">
            <w:pPr>
              <w:spacing w:before="67" w:line="227" w:lineRule="auto"/>
              <w:ind w:left="2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客户申告的涉及硬件的故障。（包括：网络设备、安全设</w:t>
            </w:r>
          </w:p>
          <w:p w14:paraId="60805674">
            <w:pPr>
              <w:spacing w:before="25" w:line="228" w:lineRule="auto"/>
              <w:ind w:left="10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备、主机设备、存储设备、其他设备）</w:t>
            </w:r>
          </w:p>
        </w:tc>
      </w:tr>
      <w:tr w14:paraId="42EC15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929" w:type="dxa"/>
            <w:vAlign w:val="top"/>
          </w:tcPr>
          <w:p w14:paraId="6351F1C8">
            <w:pPr>
              <w:spacing w:before="199" w:line="228" w:lineRule="auto"/>
              <w:ind w:left="9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软件类事件</w:t>
            </w:r>
          </w:p>
        </w:tc>
        <w:tc>
          <w:tcPr>
            <w:tcW w:w="5503" w:type="dxa"/>
            <w:vAlign w:val="top"/>
          </w:tcPr>
          <w:p w14:paraId="51993247">
            <w:pPr>
              <w:spacing w:before="199" w:line="227" w:lineRule="auto"/>
              <w:ind w:left="14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客户申告的涉及软件的故障。</w:t>
            </w:r>
          </w:p>
        </w:tc>
      </w:tr>
      <w:tr w14:paraId="2D8CC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929" w:type="dxa"/>
            <w:vAlign w:val="top"/>
          </w:tcPr>
          <w:p w14:paraId="1D3EE102">
            <w:pPr>
              <w:spacing w:before="203" w:line="228" w:lineRule="auto"/>
              <w:ind w:left="9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服务类事件</w:t>
            </w:r>
          </w:p>
        </w:tc>
        <w:tc>
          <w:tcPr>
            <w:tcW w:w="5503" w:type="dxa"/>
            <w:vAlign w:val="top"/>
          </w:tcPr>
          <w:p w14:paraId="5B0DE0FA">
            <w:pPr>
              <w:spacing w:before="203" w:line="228" w:lineRule="auto"/>
              <w:ind w:left="75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服务咨询、业务咨询、巡检、技术协助、其他</w:t>
            </w:r>
          </w:p>
        </w:tc>
      </w:tr>
    </w:tbl>
    <w:p w14:paraId="3B4DD0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F9C8497">
      <w:pPr>
        <w:pStyle w:val="31"/>
        <w:bidi w:val="0"/>
        <w:rPr>
          <w:rFonts w:hint="default"/>
          <w:lang w:val="en-US" w:eastAsia="zh-CN"/>
        </w:rPr>
      </w:pPr>
      <w:bookmarkStart w:id="17" w:name="_Toc22218"/>
      <w:r>
        <w:rPr>
          <w:rFonts w:hint="default"/>
          <w:lang w:val="en-US" w:eastAsia="zh-CN"/>
        </w:rPr>
        <w:t>事件分级</w:t>
      </w:r>
      <w:bookmarkEnd w:id="17"/>
    </w:p>
    <w:p w14:paraId="0A9F21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根据事件紧急程度和影响面分配优先级，需与客户在SLA基础上达成一致。VIP用户事件可提升优先级。</w:t>
      </w:r>
    </w:p>
    <w:tbl>
      <w:tblPr>
        <w:tblStyle w:val="26"/>
        <w:tblW w:w="8605" w:type="dxa"/>
        <w:tblInd w:w="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6"/>
        <w:gridCol w:w="5009"/>
      </w:tblGrid>
      <w:tr w14:paraId="020F5A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596" w:type="dxa"/>
            <w:vAlign w:val="top"/>
          </w:tcPr>
          <w:p w14:paraId="748BD895">
            <w:pPr>
              <w:spacing w:before="113" w:line="223" w:lineRule="auto"/>
              <w:ind w:left="15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5009" w:type="dxa"/>
            <w:vAlign w:val="top"/>
          </w:tcPr>
          <w:p w14:paraId="63DD2945">
            <w:pPr>
              <w:spacing w:before="113" w:line="223" w:lineRule="auto"/>
              <w:ind w:left="25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10DBF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3596" w:type="dxa"/>
            <w:vAlign w:val="top"/>
          </w:tcPr>
          <w:p w14:paraId="63963D95">
            <w:pPr>
              <w:spacing w:before="181" w:line="221" w:lineRule="auto"/>
              <w:ind w:left="15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紧急</w:t>
            </w:r>
          </w:p>
        </w:tc>
        <w:tc>
          <w:tcPr>
            <w:tcW w:w="5009" w:type="dxa"/>
            <w:vAlign w:val="top"/>
          </w:tcPr>
          <w:p w14:paraId="1CC31DD1">
            <w:pPr>
              <w:spacing w:before="182" w:line="234" w:lineRule="auto"/>
              <w:ind w:left="17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2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小时之内</w:t>
            </w:r>
          </w:p>
        </w:tc>
      </w:tr>
      <w:tr w14:paraId="40DAB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596" w:type="dxa"/>
            <w:vAlign w:val="top"/>
          </w:tcPr>
          <w:p w14:paraId="407D6BA6">
            <w:pPr>
              <w:spacing w:before="113" w:line="221" w:lineRule="auto"/>
              <w:ind w:left="17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5009" w:type="dxa"/>
            <w:vAlign w:val="top"/>
          </w:tcPr>
          <w:p w14:paraId="43FDF7D4">
            <w:pPr>
              <w:spacing w:before="114" w:line="234" w:lineRule="auto"/>
              <w:ind w:left="17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8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小时之内</w:t>
            </w:r>
          </w:p>
        </w:tc>
      </w:tr>
      <w:tr w14:paraId="7F0ED1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596" w:type="dxa"/>
            <w:vAlign w:val="top"/>
          </w:tcPr>
          <w:p w14:paraId="14AAA8D8">
            <w:pPr>
              <w:spacing w:before="112" w:line="221" w:lineRule="auto"/>
              <w:ind w:left="17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5009" w:type="dxa"/>
            <w:vAlign w:val="top"/>
          </w:tcPr>
          <w:p w14:paraId="1473830A">
            <w:pPr>
              <w:spacing w:before="112" w:line="234" w:lineRule="auto"/>
              <w:ind w:left="17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24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小时之内</w:t>
            </w:r>
          </w:p>
        </w:tc>
      </w:tr>
      <w:tr w14:paraId="2E0505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3596" w:type="dxa"/>
            <w:vAlign w:val="top"/>
          </w:tcPr>
          <w:p w14:paraId="4B09BCA9">
            <w:pPr>
              <w:spacing w:before="238" w:line="222" w:lineRule="auto"/>
              <w:ind w:left="16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5009" w:type="dxa"/>
            <w:vAlign w:val="top"/>
          </w:tcPr>
          <w:p w14:paraId="3B39DB4F">
            <w:pPr>
              <w:spacing w:before="238" w:line="234" w:lineRule="auto"/>
              <w:ind w:left="17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72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小时之内</w:t>
            </w:r>
          </w:p>
        </w:tc>
      </w:tr>
    </w:tbl>
    <w:p w14:paraId="45BFA62B">
      <w:pPr>
        <w:pStyle w:val="31"/>
        <w:bidi w:val="0"/>
        <w:rPr>
          <w:rFonts w:hint="default"/>
          <w:lang w:val="en-US" w:eastAsia="zh-CN"/>
        </w:rPr>
      </w:pPr>
      <w:bookmarkStart w:id="18" w:name="_Toc5697"/>
      <w:r>
        <w:rPr>
          <w:rFonts w:hint="default"/>
          <w:lang w:val="en-US" w:eastAsia="zh-CN"/>
        </w:rPr>
        <w:t>初步支持</w:t>
      </w:r>
      <w:bookmarkEnd w:id="18"/>
    </w:p>
    <w:p w14:paraId="1FB7F4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判断能否解决。能解决则自行处理并设状态为“已解决”；不能解决则转单至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783503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需在系统中记录操作内容，并与客户就下一步安排达成一致。</w:t>
      </w:r>
    </w:p>
    <w:p w14:paraId="6B0DEA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记录信息包括：受理人、渠道、时间、编号、申报人及联系方式、地点及联系人、涉及系统、事件内容描述、受理意见、是否转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62EBD06E">
      <w:pPr>
        <w:pStyle w:val="31"/>
        <w:bidi w:val="0"/>
        <w:rPr>
          <w:rFonts w:hint="default"/>
          <w:lang w:val="en-US" w:eastAsia="zh-CN"/>
        </w:rPr>
      </w:pPr>
      <w:bookmarkStart w:id="19" w:name="_Toc2376"/>
      <w:r>
        <w:rPr>
          <w:rFonts w:hint="default"/>
          <w:lang w:val="en-US" w:eastAsia="zh-CN"/>
        </w:rPr>
        <w:t>管理升级</w:t>
      </w:r>
      <w:bookmarkEnd w:id="19"/>
    </w:p>
    <w:p w14:paraId="7D3537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无法解决时，升级为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处理，并指定责任人。</w:t>
      </w:r>
    </w:p>
    <w:p w14:paraId="64A9EE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提供了事件管理升级默认定义表（按事件等级、影响度和时间节点定义升级路径）：</w:t>
      </w:r>
    </w:p>
    <w:p w14:paraId="468F65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经理；4小时-&gt;总经理。</w:t>
      </w:r>
    </w:p>
    <w:p w14:paraId="6E15DD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；2天-&gt;总经理。</w:t>
      </w:r>
    </w:p>
    <w:p w14:paraId="483135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三级（较严重）：0小时-&gt;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；2天-&gt;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经理。</w:t>
      </w:r>
    </w:p>
    <w:p w14:paraId="0369B0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四级（一般）：0小时-&gt;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；2天-&gt;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6A40C9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原则：所有事件解决并经发起人确认后才可关闭；事件承接人对整体报告负责。</w:t>
      </w:r>
    </w:p>
    <w:p w14:paraId="17821CB6">
      <w:pPr>
        <w:pStyle w:val="30"/>
        <w:bidi w:val="0"/>
        <w:rPr>
          <w:rFonts w:hint="default"/>
          <w:lang w:val="en-US" w:eastAsia="zh-CN"/>
        </w:rPr>
      </w:pPr>
      <w:bookmarkStart w:id="20" w:name="_Toc4763"/>
      <w:r>
        <w:rPr>
          <w:rFonts w:hint="default"/>
          <w:lang w:val="en-US" w:eastAsia="zh-CN"/>
        </w:rPr>
        <w:t>事件处理</w:t>
      </w:r>
      <w:bookmarkEnd w:id="20"/>
    </w:p>
    <w:p w14:paraId="34ACE915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143500" cy="4524375"/>
            <wp:effectExtent l="0" t="0" r="762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BA5E">
      <w:pPr>
        <w:pStyle w:val="31"/>
        <w:bidi w:val="0"/>
        <w:rPr>
          <w:rFonts w:hint="default"/>
          <w:lang w:val="en-US" w:eastAsia="zh-CN"/>
        </w:rPr>
      </w:pPr>
      <w:bookmarkStart w:id="21" w:name="_Toc11104"/>
      <w:r>
        <w:rPr>
          <w:rFonts w:hint="default"/>
          <w:lang w:val="en-US" w:eastAsia="zh-CN"/>
        </w:rPr>
        <w:t>解决和恢复</w:t>
      </w:r>
      <w:bookmarkEnd w:id="21"/>
    </w:p>
    <w:p w14:paraId="68B199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受单后联系客户确认。</w:t>
      </w:r>
    </w:p>
    <w:p w14:paraId="3967D7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步骤：</w:t>
      </w:r>
    </w:p>
    <w:p w14:paraId="362DA5F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；</w:t>
      </w:r>
    </w:p>
    <w:p w14:paraId="4C24D5F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有方案则参照实施，无则尝试解决；</w:t>
      </w:r>
    </w:p>
    <w:p w14:paraId="2695ADA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远程解决则填单；</w:t>
      </w:r>
    </w:p>
    <w:p w14:paraId="1029C54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未解决则申请调用厂商支持。</w:t>
      </w:r>
    </w:p>
    <w:p w14:paraId="1D64D9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记录信息：受理人、受理时间、涉及系统、受理意见。</w:t>
      </w:r>
    </w:p>
    <w:p w14:paraId="3F158A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建议：派单后在“待办事项”显示；人员紧张时优先高优先级事件，项目经理协调。</w:t>
      </w:r>
    </w:p>
    <w:p w14:paraId="225B7F20">
      <w:pPr>
        <w:pStyle w:val="31"/>
        <w:bidi w:val="0"/>
        <w:rPr>
          <w:rFonts w:hint="default"/>
          <w:lang w:val="en-US" w:eastAsia="zh-CN"/>
        </w:rPr>
      </w:pPr>
      <w:bookmarkStart w:id="22" w:name="_Toc28424"/>
      <w:r>
        <w:rPr>
          <w:rFonts w:hint="default"/>
          <w:lang w:val="en-US" w:eastAsia="zh-CN"/>
        </w:rPr>
        <w:t>联络厂商</w:t>
      </w:r>
      <w:bookmarkEnd w:id="22"/>
      <w:bookmarkStart w:id="35" w:name="_GoBack"/>
      <w:bookmarkEnd w:id="35"/>
    </w:p>
    <w:p w14:paraId="342B53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系统自动流转服务单至厂商节点，并通知责任人。厂商需在规定时间内回复。</w:t>
      </w:r>
    </w:p>
    <w:p w14:paraId="33C9E0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记录信息：提交厂商时间、涉及系统、厂商受理人及联系方式、厂商受理意见、厂商受理时间。</w:t>
      </w:r>
    </w:p>
    <w:p w14:paraId="33929F5A">
      <w:pPr>
        <w:pStyle w:val="30"/>
        <w:bidi w:val="0"/>
        <w:rPr>
          <w:rFonts w:hint="default"/>
          <w:lang w:val="en-US" w:eastAsia="zh-CN"/>
        </w:rPr>
      </w:pPr>
      <w:bookmarkStart w:id="23" w:name="_Toc13721"/>
      <w:r>
        <w:rPr>
          <w:rFonts w:hint="default"/>
          <w:lang w:val="en-US" w:eastAsia="zh-CN"/>
        </w:rPr>
        <w:t>事件关闭</w:t>
      </w:r>
      <w:bookmarkEnd w:id="23"/>
    </w:p>
    <w:p w14:paraId="4BDE69E9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38750" cy="3143250"/>
            <wp:effectExtent l="0" t="0" r="381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8541">
      <w:pPr>
        <w:pStyle w:val="31"/>
        <w:bidi w:val="0"/>
        <w:rPr>
          <w:rFonts w:hint="default"/>
          <w:lang w:val="en-US" w:eastAsia="zh-CN"/>
        </w:rPr>
      </w:pPr>
      <w:bookmarkStart w:id="24" w:name="_Toc15102"/>
      <w:r>
        <w:rPr>
          <w:rFonts w:hint="default"/>
          <w:lang w:val="en-US" w:eastAsia="zh-CN"/>
        </w:rPr>
        <w:t>与客户确认处理结果</w:t>
      </w:r>
      <w:bookmarkEnd w:id="24"/>
    </w:p>
    <w:p w14:paraId="0F9E877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反馈解决方案，待用户确认。</w:t>
      </w:r>
    </w:p>
    <w:p w14:paraId="42FAF151">
      <w:pPr>
        <w:pStyle w:val="31"/>
        <w:bidi w:val="0"/>
        <w:rPr>
          <w:rFonts w:hint="default"/>
          <w:lang w:val="en-US" w:eastAsia="zh-CN"/>
        </w:rPr>
      </w:pPr>
      <w:bookmarkStart w:id="25" w:name="_Toc13938"/>
      <w:r>
        <w:rPr>
          <w:rFonts w:hint="default"/>
          <w:lang w:val="en-US" w:eastAsia="zh-CN"/>
        </w:rPr>
        <w:t>事件关闭</w:t>
      </w:r>
      <w:bookmarkEnd w:id="25"/>
    </w:p>
    <w:p w14:paraId="5C2EA2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7255"/>
      <w:r>
        <w:rPr>
          <w:rStyle w:val="44"/>
          <w:rFonts w:hint="default"/>
          <w:lang w:val="en-US" w:eastAsia="zh-CN"/>
        </w:rPr>
        <w:t>用户确认解决后，在系统中关闭服务单。随后判断是否需</w:t>
      </w:r>
      <w:bookmarkEnd w:id="26"/>
      <w:r>
        <w:rPr>
          <w:rFonts w:hint="default"/>
          <w:lang w:val="en-US" w:eastAsia="zh-CN"/>
        </w:rPr>
        <w:t>添加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59AAB51B">
      <w:pPr>
        <w:pStyle w:val="31"/>
        <w:bidi w:val="0"/>
        <w:rPr>
          <w:rFonts w:hint="default"/>
          <w:lang w:val="en-US" w:eastAsia="zh-CN"/>
        </w:rPr>
      </w:pPr>
      <w:bookmarkStart w:id="27" w:name="_Toc12374"/>
      <w:r>
        <w:rPr>
          <w:rFonts w:hint="default"/>
          <w:lang w:val="en-US" w:eastAsia="zh-CN"/>
        </w:rPr>
        <w:t>添加</w:t>
      </w:r>
      <w:r>
        <w:rPr>
          <w:rFonts w:hint="eastAsia"/>
          <w:lang w:val="en-US" w:eastAsia="zh-CN"/>
        </w:rPr>
        <w:t>服务知识</w:t>
      </w:r>
      <w:bookmarkEnd w:id="27"/>
    </w:p>
    <w:p w14:paraId="39CE6F3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若认为解决方案有价值，则添加至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106F4382">
      <w:pPr>
        <w:pStyle w:val="28"/>
        <w:bidi w:val="0"/>
        <w:rPr>
          <w:rFonts w:hint="default"/>
          <w:lang w:val="en-US" w:eastAsia="zh-CN"/>
        </w:rPr>
      </w:pPr>
      <w:bookmarkStart w:id="28" w:name="_Toc30721"/>
      <w:r>
        <w:rPr>
          <w:rFonts w:hint="default"/>
          <w:lang w:val="en-US" w:eastAsia="zh-CN"/>
        </w:rPr>
        <w:t>重大事件处理</w:t>
      </w:r>
      <w:bookmarkEnd w:id="28"/>
    </w:p>
    <w:p w14:paraId="5E44C804">
      <w:pPr>
        <w:pStyle w:val="30"/>
        <w:bidi w:val="0"/>
        <w:rPr>
          <w:rFonts w:hint="default"/>
          <w:lang w:val="en-US" w:eastAsia="zh-CN"/>
        </w:rPr>
      </w:pPr>
      <w:bookmarkStart w:id="29" w:name="_Toc22521"/>
      <w:r>
        <w:rPr>
          <w:rFonts w:hint="default"/>
          <w:lang w:val="en-US" w:eastAsia="zh-CN"/>
        </w:rPr>
        <w:t>定义</w:t>
      </w:r>
      <w:bookmarkEnd w:id="29"/>
    </w:p>
    <w:p w14:paraId="5D9756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指紧急程度较高、影响面较广且影响时间长的事件。</w:t>
      </w:r>
    </w:p>
    <w:p w14:paraId="597EACF2">
      <w:pPr>
        <w:pStyle w:val="30"/>
        <w:bidi w:val="0"/>
        <w:rPr>
          <w:rFonts w:hint="default"/>
          <w:lang w:val="en-US" w:eastAsia="zh-CN"/>
        </w:rPr>
      </w:pPr>
      <w:bookmarkStart w:id="30" w:name="_Toc3415"/>
      <w:r>
        <w:rPr>
          <w:rFonts w:hint="default"/>
          <w:lang w:val="en-US" w:eastAsia="zh-CN"/>
        </w:rPr>
        <w:t>分级事件</w:t>
      </w:r>
      <w:bookmarkEnd w:id="30"/>
    </w:p>
    <w:p w14:paraId="4D474F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初步分级，判断是否为重大事件类型（如核心网络中断、关键业务中断）。</w:t>
      </w:r>
    </w:p>
    <w:p w14:paraId="04D89F90">
      <w:pPr>
        <w:pStyle w:val="30"/>
        <w:bidi w:val="0"/>
        <w:rPr>
          <w:rFonts w:hint="default"/>
          <w:lang w:val="en-US" w:eastAsia="zh-CN"/>
        </w:rPr>
      </w:pPr>
      <w:bookmarkStart w:id="31" w:name="_Toc16093"/>
      <w:r>
        <w:rPr>
          <w:rFonts w:hint="default"/>
          <w:lang w:val="en-US" w:eastAsia="zh-CN"/>
        </w:rPr>
        <w:t>处理问题</w:t>
      </w:r>
      <w:bookmarkEnd w:id="31"/>
    </w:p>
    <w:p w14:paraId="3BC4B6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项目经理接收事件，做初始判断并提交管理层。</w:t>
      </w:r>
    </w:p>
    <w:p w14:paraId="4A4235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是否有相似处理方法；若无，联系厂商申请技术支持。</w:t>
      </w:r>
    </w:p>
    <w:p w14:paraId="6EBC73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处理完毕后检查是否恢复正常，正常后关闭事件，有价值的加入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008E4618">
      <w:pPr>
        <w:pStyle w:val="28"/>
        <w:bidi w:val="0"/>
        <w:rPr>
          <w:rFonts w:hint="default"/>
          <w:lang w:val="en-US" w:eastAsia="zh-CN"/>
        </w:rPr>
      </w:pPr>
      <w:bookmarkStart w:id="32" w:name="_Toc285"/>
      <w:r>
        <w:rPr>
          <w:rFonts w:hint="eastAsia"/>
          <w:lang w:val="en-US" w:eastAsia="zh-CN"/>
        </w:rPr>
        <w:t>事件状态</w:t>
      </w:r>
      <w:bookmarkEnd w:id="3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00"/>
      </w:tblGrid>
      <w:tr w14:paraId="4651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F11A11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事件状态</w:t>
            </w:r>
          </w:p>
        </w:tc>
        <w:tc>
          <w:tcPr>
            <w:tcW w:w="6400" w:type="dxa"/>
          </w:tcPr>
          <w:p w14:paraId="75A58AC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F273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2C2BA1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</w:t>
            </w:r>
          </w:p>
        </w:tc>
        <w:tc>
          <w:tcPr>
            <w:tcW w:w="6400" w:type="dxa"/>
          </w:tcPr>
          <w:p w14:paraId="4DAB4029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新创建的服务单</w:t>
            </w:r>
          </w:p>
        </w:tc>
      </w:tr>
      <w:tr w14:paraId="5B586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10CB5E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执行中</w:t>
            </w:r>
          </w:p>
        </w:tc>
        <w:tc>
          <w:tcPr>
            <w:tcW w:w="6400" w:type="dxa"/>
          </w:tcPr>
          <w:p w14:paraId="1FD190C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运维工程师接受服务单，运维部经理接受转接的服务单</w:t>
            </w:r>
          </w:p>
        </w:tc>
      </w:tr>
      <w:tr w14:paraId="6CF0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AE8C7F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未解决</w:t>
            </w:r>
          </w:p>
        </w:tc>
        <w:tc>
          <w:tcPr>
            <w:tcW w:w="6400" w:type="dxa"/>
          </w:tcPr>
          <w:p w14:paraId="4F8FCFA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事件解决中</w:t>
            </w:r>
          </w:p>
        </w:tc>
      </w:tr>
      <w:tr w14:paraId="6137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9B35B3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已解决</w:t>
            </w:r>
          </w:p>
        </w:tc>
        <w:tc>
          <w:tcPr>
            <w:tcW w:w="6400" w:type="dxa"/>
          </w:tcPr>
          <w:p w14:paraId="21C3CA6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事件已经解决</w:t>
            </w:r>
          </w:p>
        </w:tc>
      </w:tr>
      <w:tr w14:paraId="5F5B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63B05F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发起人确认</w:t>
            </w:r>
          </w:p>
        </w:tc>
        <w:tc>
          <w:tcPr>
            <w:tcW w:w="6400" w:type="dxa"/>
          </w:tcPr>
          <w:p w14:paraId="0BF5961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用户确认事件是否处理完毕</w:t>
            </w:r>
          </w:p>
        </w:tc>
      </w:tr>
      <w:tr w14:paraId="320A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F3B9FE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关闭</w:t>
            </w:r>
          </w:p>
        </w:tc>
        <w:tc>
          <w:tcPr>
            <w:tcW w:w="6400" w:type="dxa"/>
          </w:tcPr>
          <w:p w14:paraId="6103F52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对事件进行关闭</w:t>
            </w:r>
          </w:p>
        </w:tc>
      </w:tr>
    </w:tbl>
    <w:p w14:paraId="0777B31E">
      <w:pPr>
        <w:pStyle w:val="28"/>
        <w:bidi w:val="0"/>
        <w:rPr>
          <w:rFonts w:hint="default"/>
          <w:lang w:val="en-US" w:eastAsia="zh-CN"/>
        </w:rPr>
      </w:pPr>
      <w:bookmarkStart w:id="33" w:name="_Toc4822"/>
      <w:r>
        <w:rPr>
          <w:rFonts w:hint="default"/>
          <w:lang w:val="en-US" w:eastAsia="zh-CN"/>
        </w:rPr>
        <w:t>事件管理与其他流程的关系</w:t>
      </w:r>
      <w:bookmarkEnd w:id="33"/>
    </w:p>
    <w:p w14:paraId="6A616841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57905"/>
            <wp:effectExtent l="0" t="0" r="254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50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配置管理：从配置管理数据库查询信息以定位和恢复故障。</w:t>
      </w:r>
    </w:p>
    <w:p w14:paraId="243E96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问题管理：提供事件记录信息用于定位问题、分析趋势，高优先级事件解决后可转为问题进一步分析。</w:t>
      </w:r>
    </w:p>
    <w:p w14:paraId="44462D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变更管理：服务台监测因变更引发的事件；解决事件过程中必要时需发起变更请求。</w:t>
      </w:r>
    </w:p>
    <w:p w14:paraId="5BB0C0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服务级别管理：事件流程人员需了解SLA；事件报告用于判断是否提供了规定级别的服务。</w:t>
      </w:r>
    </w:p>
    <w:p w14:paraId="508655BA">
      <w:pPr>
        <w:pStyle w:val="28"/>
        <w:bidi w:val="0"/>
        <w:rPr>
          <w:rFonts w:hint="default"/>
          <w:lang w:val="en-US" w:eastAsia="zh-CN"/>
        </w:rPr>
      </w:pPr>
      <w:bookmarkStart w:id="34" w:name="_Toc32113"/>
      <w:r>
        <w:rPr>
          <w:rFonts w:hint="eastAsia"/>
          <w:lang w:val="en-US" w:eastAsia="zh-CN"/>
        </w:rPr>
        <w:t>KPI指标</w:t>
      </w:r>
      <w:bookmarkEnd w:id="3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C25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B3864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7DB8734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321FB31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43BD315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52F8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6346D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2130" w:type="dxa"/>
          </w:tcPr>
          <w:p w14:paraId="113B9B4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及时响应的事件数量 / 所有的事件数量 × 100%</w:t>
            </w:r>
          </w:p>
        </w:tc>
        <w:tc>
          <w:tcPr>
            <w:tcW w:w="2131" w:type="dxa"/>
          </w:tcPr>
          <w:p w14:paraId="00935D94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2131" w:type="dxa"/>
          </w:tcPr>
          <w:p w14:paraId="236F2413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 w14:paraId="259D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FB6A10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2130" w:type="dxa"/>
          </w:tcPr>
          <w:p w14:paraId="4F1C54DD">
            <w:pPr>
              <w:pStyle w:val="29"/>
              <w:widowControl w:val="0"/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2131" w:type="dxa"/>
          </w:tcPr>
          <w:p w14:paraId="546984D0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2131" w:type="dxa"/>
          </w:tcPr>
          <w:p w14:paraId="18D5718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</w:tbl>
    <w:p w14:paraId="023008D8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浠垮畫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5ED957"/>
    <w:multiLevelType w:val="singleLevel"/>
    <w:tmpl w:val="B25ED9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EB9BB4"/>
    <w:multiLevelType w:val="singleLevel"/>
    <w:tmpl w:val="D3EB9B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0F2D"/>
    <w:rsid w:val="00E865C2"/>
    <w:rsid w:val="02781BC8"/>
    <w:rsid w:val="027A149C"/>
    <w:rsid w:val="028440C8"/>
    <w:rsid w:val="02C10E79"/>
    <w:rsid w:val="03431E67"/>
    <w:rsid w:val="037E2237"/>
    <w:rsid w:val="04335DA6"/>
    <w:rsid w:val="0475016D"/>
    <w:rsid w:val="04C36455"/>
    <w:rsid w:val="04CE1F73"/>
    <w:rsid w:val="05957D83"/>
    <w:rsid w:val="05B95683"/>
    <w:rsid w:val="05C017FD"/>
    <w:rsid w:val="06D849E3"/>
    <w:rsid w:val="06E36237"/>
    <w:rsid w:val="087370B9"/>
    <w:rsid w:val="0A2F0DBE"/>
    <w:rsid w:val="0B193D02"/>
    <w:rsid w:val="0B84338B"/>
    <w:rsid w:val="0C154007"/>
    <w:rsid w:val="0CA23AC9"/>
    <w:rsid w:val="0D7207A6"/>
    <w:rsid w:val="0E4B1F3E"/>
    <w:rsid w:val="11E46932"/>
    <w:rsid w:val="1238549D"/>
    <w:rsid w:val="127C38A5"/>
    <w:rsid w:val="128E7347"/>
    <w:rsid w:val="12C02EFB"/>
    <w:rsid w:val="133C05DC"/>
    <w:rsid w:val="136E6DFB"/>
    <w:rsid w:val="14B52807"/>
    <w:rsid w:val="14F204A2"/>
    <w:rsid w:val="157A28AF"/>
    <w:rsid w:val="15E83F8E"/>
    <w:rsid w:val="162A4334"/>
    <w:rsid w:val="164B2A04"/>
    <w:rsid w:val="17554DF7"/>
    <w:rsid w:val="17F96B12"/>
    <w:rsid w:val="1871105F"/>
    <w:rsid w:val="189310B2"/>
    <w:rsid w:val="199B6470"/>
    <w:rsid w:val="1A9A6727"/>
    <w:rsid w:val="1AC11F06"/>
    <w:rsid w:val="1ACB4B33"/>
    <w:rsid w:val="1B3D71C1"/>
    <w:rsid w:val="1BCB22E6"/>
    <w:rsid w:val="1C4C39E7"/>
    <w:rsid w:val="1CFA34AD"/>
    <w:rsid w:val="1D1A36B1"/>
    <w:rsid w:val="1D43495B"/>
    <w:rsid w:val="1DA44932"/>
    <w:rsid w:val="1E006819"/>
    <w:rsid w:val="1F152820"/>
    <w:rsid w:val="20F21EF0"/>
    <w:rsid w:val="210A56C3"/>
    <w:rsid w:val="214F7C1E"/>
    <w:rsid w:val="215E465C"/>
    <w:rsid w:val="228C4BA7"/>
    <w:rsid w:val="23B720F8"/>
    <w:rsid w:val="23DB6AD3"/>
    <w:rsid w:val="24B14D99"/>
    <w:rsid w:val="24DE1906"/>
    <w:rsid w:val="25ED1E01"/>
    <w:rsid w:val="26976211"/>
    <w:rsid w:val="27DA0163"/>
    <w:rsid w:val="28912DB4"/>
    <w:rsid w:val="28A34FD3"/>
    <w:rsid w:val="295C2DFA"/>
    <w:rsid w:val="295F4405"/>
    <w:rsid w:val="29890093"/>
    <w:rsid w:val="2B3808F6"/>
    <w:rsid w:val="2B7D22D9"/>
    <w:rsid w:val="2C7F752B"/>
    <w:rsid w:val="2CA23219"/>
    <w:rsid w:val="2CB17B5A"/>
    <w:rsid w:val="2CC15D95"/>
    <w:rsid w:val="2D5E5392"/>
    <w:rsid w:val="2ECE02F6"/>
    <w:rsid w:val="2ED52C6D"/>
    <w:rsid w:val="2FBB4D1E"/>
    <w:rsid w:val="2FC260AC"/>
    <w:rsid w:val="30607673"/>
    <w:rsid w:val="31A25301"/>
    <w:rsid w:val="31AD2E67"/>
    <w:rsid w:val="31C75B74"/>
    <w:rsid w:val="3205549F"/>
    <w:rsid w:val="325C4129"/>
    <w:rsid w:val="32BA306B"/>
    <w:rsid w:val="32BF4B25"/>
    <w:rsid w:val="32D1637E"/>
    <w:rsid w:val="34163BFA"/>
    <w:rsid w:val="34833930"/>
    <w:rsid w:val="34A22009"/>
    <w:rsid w:val="354B108F"/>
    <w:rsid w:val="361209CC"/>
    <w:rsid w:val="377D0946"/>
    <w:rsid w:val="378105FB"/>
    <w:rsid w:val="38640C38"/>
    <w:rsid w:val="39033292"/>
    <w:rsid w:val="3A1C460B"/>
    <w:rsid w:val="3A865F28"/>
    <w:rsid w:val="3C0D4B53"/>
    <w:rsid w:val="3C3F2833"/>
    <w:rsid w:val="3C664263"/>
    <w:rsid w:val="3C8D3764"/>
    <w:rsid w:val="3DA07301"/>
    <w:rsid w:val="3E644813"/>
    <w:rsid w:val="3E8433D8"/>
    <w:rsid w:val="3E9D7A57"/>
    <w:rsid w:val="3F310B59"/>
    <w:rsid w:val="3FC4377B"/>
    <w:rsid w:val="3FC90D91"/>
    <w:rsid w:val="408F5EAA"/>
    <w:rsid w:val="413B7A6D"/>
    <w:rsid w:val="41FE2A67"/>
    <w:rsid w:val="42F00D2B"/>
    <w:rsid w:val="43413334"/>
    <w:rsid w:val="43CE1B59"/>
    <w:rsid w:val="43D877F5"/>
    <w:rsid w:val="442944F4"/>
    <w:rsid w:val="46022E20"/>
    <w:rsid w:val="467A71EB"/>
    <w:rsid w:val="487D3F41"/>
    <w:rsid w:val="48CE7A8D"/>
    <w:rsid w:val="49C53294"/>
    <w:rsid w:val="4A8204BA"/>
    <w:rsid w:val="4B9E7576"/>
    <w:rsid w:val="4BCD1C09"/>
    <w:rsid w:val="4BF215BE"/>
    <w:rsid w:val="4C4427EA"/>
    <w:rsid w:val="4C9D5A7F"/>
    <w:rsid w:val="4D495A2D"/>
    <w:rsid w:val="4D527006"/>
    <w:rsid w:val="4D896004"/>
    <w:rsid w:val="4E4C150B"/>
    <w:rsid w:val="4E7E7051"/>
    <w:rsid w:val="4F3501F1"/>
    <w:rsid w:val="50AF18DD"/>
    <w:rsid w:val="50E023DF"/>
    <w:rsid w:val="50F67349"/>
    <w:rsid w:val="51356102"/>
    <w:rsid w:val="51D9182F"/>
    <w:rsid w:val="533F163E"/>
    <w:rsid w:val="53B316E5"/>
    <w:rsid w:val="544601C6"/>
    <w:rsid w:val="54C87412"/>
    <w:rsid w:val="54EF0E42"/>
    <w:rsid w:val="56206309"/>
    <w:rsid w:val="56A317C7"/>
    <w:rsid w:val="56EC3BB2"/>
    <w:rsid w:val="576F2F50"/>
    <w:rsid w:val="57C066FC"/>
    <w:rsid w:val="58733B38"/>
    <w:rsid w:val="5880636C"/>
    <w:rsid w:val="588F2280"/>
    <w:rsid w:val="58FE2F4F"/>
    <w:rsid w:val="59030A18"/>
    <w:rsid w:val="59232E69"/>
    <w:rsid w:val="5A58763C"/>
    <w:rsid w:val="5ADC3C17"/>
    <w:rsid w:val="5B2703BF"/>
    <w:rsid w:val="5BDD44F5"/>
    <w:rsid w:val="5D815265"/>
    <w:rsid w:val="5E8B1BDC"/>
    <w:rsid w:val="5E8F2D4E"/>
    <w:rsid w:val="60001B6F"/>
    <w:rsid w:val="60400411"/>
    <w:rsid w:val="615838CB"/>
    <w:rsid w:val="619568CD"/>
    <w:rsid w:val="626562A0"/>
    <w:rsid w:val="62C51434"/>
    <w:rsid w:val="63C24D92"/>
    <w:rsid w:val="640D6BEF"/>
    <w:rsid w:val="6499200B"/>
    <w:rsid w:val="64AD2180"/>
    <w:rsid w:val="660E3E54"/>
    <w:rsid w:val="66300A78"/>
    <w:rsid w:val="66761E42"/>
    <w:rsid w:val="670921B5"/>
    <w:rsid w:val="67780823"/>
    <w:rsid w:val="6783311F"/>
    <w:rsid w:val="67AB6E4B"/>
    <w:rsid w:val="67B33F51"/>
    <w:rsid w:val="68ED228A"/>
    <w:rsid w:val="692F13B6"/>
    <w:rsid w:val="6A2D7FEB"/>
    <w:rsid w:val="6A591EC9"/>
    <w:rsid w:val="6A895B7D"/>
    <w:rsid w:val="6B030D4C"/>
    <w:rsid w:val="6B60619E"/>
    <w:rsid w:val="6BB30A8B"/>
    <w:rsid w:val="6BC4672D"/>
    <w:rsid w:val="6C5F6456"/>
    <w:rsid w:val="6C952FB6"/>
    <w:rsid w:val="6CFD74D7"/>
    <w:rsid w:val="6D4F77BF"/>
    <w:rsid w:val="6E4B57C5"/>
    <w:rsid w:val="6E8660BA"/>
    <w:rsid w:val="6EB63269"/>
    <w:rsid w:val="6F5E47A3"/>
    <w:rsid w:val="6F616041"/>
    <w:rsid w:val="6F7C0E99"/>
    <w:rsid w:val="70052E70"/>
    <w:rsid w:val="70141305"/>
    <w:rsid w:val="701B6B38"/>
    <w:rsid w:val="70422316"/>
    <w:rsid w:val="71887D53"/>
    <w:rsid w:val="71E9433F"/>
    <w:rsid w:val="722F68CA"/>
    <w:rsid w:val="72B156D0"/>
    <w:rsid w:val="731A30D6"/>
    <w:rsid w:val="7360065E"/>
    <w:rsid w:val="74463A57"/>
    <w:rsid w:val="744B6FE9"/>
    <w:rsid w:val="74542618"/>
    <w:rsid w:val="74634609"/>
    <w:rsid w:val="74CA2B97"/>
    <w:rsid w:val="75662792"/>
    <w:rsid w:val="765608C9"/>
    <w:rsid w:val="76BB072D"/>
    <w:rsid w:val="78C25DA2"/>
    <w:rsid w:val="78EF31FB"/>
    <w:rsid w:val="79314CD6"/>
    <w:rsid w:val="79865022"/>
    <w:rsid w:val="7A1A39BC"/>
    <w:rsid w:val="7C1F350C"/>
    <w:rsid w:val="7C866045"/>
    <w:rsid w:val="7CB67090"/>
    <w:rsid w:val="7CEE584C"/>
    <w:rsid w:val="7D684FD8"/>
    <w:rsid w:val="7D741635"/>
    <w:rsid w:val="7E8C0042"/>
    <w:rsid w:val="7EA366EB"/>
    <w:rsid w:val="7ED50BC3"/>
    <w:rsid w:val="7F022551"/>
    <w:rsid w:val="7F08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4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2 Char"/>
    <w:link w:val="30"/>
    <w:qFormat/>
    <w:uiPriority w:val="0"/>
    <w:rPr>
      <w:rFonts w:ascii="Arial" w:hAnsi="Arial" w:eastAsia="宋体"/>
      <w:sz w:val="28"/>
    </w:rPr>
  </w:style>
  <w:style w:type="character" w:customStyle="1" w:styleId="44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2843</Words>
  <Characters>3091</Characters>
  <Lines>0</Lines>
  <Paragraphs>0</Paragraphs>
  <TotalTime>0</TotalTime>
  <ScaleCrop>false</ScaleCrop>
  <LinksUpToDate>false</LinksUpToDate>
  <CharactersWithSpaces>3524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2025-12-25T07:15:22Z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