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09704D">
      <w:pPr>
        <w:pStyle w:val="24"/>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bookmarkStart w:id="0" w:name="_Toc19850"/>
      <w:r>
        <w:drawing>
          <wp:anchor distT="0" distB="0" distL="114300" distR="114300" simplePos="0" relativeHeight="251659264" behindDoc="1" locked="0" layoutInCell="1" allowOverlap="1">
            <wp:simplePos x="0" y="0"/>
            <wp:positionH relativeFrom="column">
              <wp:posOffset>-1186815</wp:posOffset>
            </wp:positionH>
            <wp:positionV relativeFrom="paragraph">
              <wp:posOffset>15875</wp:posOffset>
            </wp:positionV>
            <wp:extent cx="7609840" cy="9761855"/>
            <wp:effectExtent l="0" t="0" r="10160" b="698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7609840" cy="9761855"/>
                    </a:xfrm>
                    <a:prstGeom prst="rect">
                      <a:avLst/>
                    </a:prstGeom>
                    <a:noFill/>
                    <a:ln>
                      <a:noFill/>
                    </a:ln>
                  </pic:spPr>
                </pic:pic>
              </a:graphicData>
            </a:graphic>
          </wp:anchor>
        </w:drawing>
      </w:r>
      <w:r>
        <w:rPr>
          <w:rFonts w:hint="eastAsia"/>
          <w:lang w:val="en-US" w:eastAsia="zh-CN"/>
        </w:rPr>
        <w:t>云南腾电科技有限公司</w:t>
      </w:r>
      <w:bookmarkEnd w:id="0"/>
    </w:p>
    <w:p w14:paraId="49BB6A81">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default"/>
          <w:lang w:val="en-US" w:eastAsia="zh-CN"/>
        </w:rPr>
      </w:pPr>
      <w:bookmarkStart w:id="1" w:name="_Toc30444"/>
      <w:r>
        <w:rPr>
          <w:rFonts w:hint="eastAsia"/>
          <w:lang w:val="en-US" w:eastAsia="zh-CN"/>
        </w:rPr>
        <w:t>运维服务工具管理办法</w:t>
      </w:r>
      <w:bookmarkEnd w:id="1"/>
    </w:p>
    <w:p w14:paraId="44992887">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2" w:name="_Toc32597"/>
      <w:r>
        <w:rPr>
          <w:rFonts w:hint="eastAsia"/>
          <w:lang w:val="en-US" w:eastAsia="zh-CN"/>
        </w:rPr>
        <w:t>（YNTD-ITSS-0801）</w:t>
      </w:r>
      <w:bookmarkEnd w:id="2"/>
    </w:p>
    <w:p w14:paraId="07DEF31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06B03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08B5CF21">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谢广胜</w:t>
            </w:r>
          </w:p>
        </w:tc>
        <w:tc>
          <w:tcPr>
            <w:tcW w:w="4261" w:type="dxa"/>
          </w:tcPr>
          <w:p w14:paraId="39FA7DB4">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r w14:paraId="4A624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shd w:val="clear" w:color="auto" w:fill="auto"/>
          </w:tcPr>
          <w:p w14:paraId="044B37A8">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赵建中</w:t>
            </w:r>
          </w:p>
        </w:tc>
        <w:tc>
          <w:tcPr>
            <w:tcW w:w="4261" w:type="dxa"/>
            <w:shd w:val="clear" w:color="auto" w:fill="auto"/>
          </w:tcPr>
          <w:p w14:paraId="7C0A16A6">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r w14:paraId="6FC95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629D833A">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陆涛</w:t>
            </w:r>
          </w:p>
        </w:tc>
        <w:tc>
          <w:tcPr>
            <w:tcW w:w="4261" w:type="dxa"/>
          </w:tcPr>
          <w:p w14:paraId="656B221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bl>
    <w:p w14:paraId="46327F7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7342B97F">
      <w:pPr>
        <w:keepNext w:val="0"/>
        <w:keepLines w:val="0"/>
        <w:pageBreakBefore w:val="0"/>
        <w:widowControl w:val="0"/>
        <w:kinsoku w:val="0"/>
        <w:wordWrap/>
        <w:overflowPunct/>
        <w:topLinePunct w:val="0"/>
        <w:autoSpaceDE w:val="0"/>
        <w:autoSpaceDN w:val="0"/>
        <w:bidi w:val="0"/>
        <w:adjustRightInd w:val="0"/>
        <w:snapToGrid w:val="0"/>
        <w:spacing w:before="98" w:line="220" w:lineRule="auto"/>
        <w:ind w:left="3195"/>
        <w:textAlignment w:val="baseline"/>
        <w:outlineLvl w:val="0"/>
        <w:rPr>
          <w:rFonts w:ascii="宋体" w:hAnsi="宋体" w:eastAsia="宋体" w:cs="宋体"/>
          <w:sz w:val="30"/>
          <w:szCs w:val="30"/>
        </w:rPr>
      </w:pPr>
      <w:bookmarkStart w:id="3" w:name="_Toc29657"/>
      <w:r>
        <w:rPr>
          <w:rFonts w:ascii="宋体" w:hAnsi="宋体" w:eastAsia="宋体" w:cs="宋体"/>
          <w:b/>
          <w:bCs/>
          <w:spacing w:val="-4"/>
          <w:sz w:val="30"/>
          <w:szCs w:val="30"/>
        </w:rPr>
        <w:t>文件编制和变更履历</w:t>
      </w:r>
      <w:bookmarkEnd w:id="3"/>
    </w:p>
    <w:tbl>
      <w:tblPr>
        <w:tblStyle w:val="42"/>
        <w:tblW w:w="9005" w:type="dxa"/>
        <w:tblInd w:w="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14:paraId="3FD110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9" w:hRule="atLeast"/>
        </w:trPr>
        <w:tc>
          <w:tcPr>
            <w:tcW w:w="845" w:type="dxa"/>
            <w:vMerge w:val="restart"/>
            <w:tcBorders>
              <w:top w:val="single" w:color="000000" w:sz="10" w:space="0"/>
              <w:left w:val="single" w:color="000000" w:sz="10" w:space="0"/>
              <w:bottom w:val="nil"/>
            </w:tcBorders>
            <w:shd w:val="clear" w:color="auto" w:fill="D9D9D9"/>
          </w:tcPr>
          <w:p w14:paraId="171B868C">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7C1D57C9">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72"/>
              <w:textAlignment w:val="baseline"/>
              <w:rPr>
                <w:rFonts w:ascii="宋体" w:hAnsi="宋体" w:eastAsia="宋体" w:cs="宋体"/>
                <w:sz w:val="24"/>
                <w:szCs w:val="24"/>
              </w:rPr>
            </w:pPr>
            <w:r>
              <w:rPr>
                <w:rFonts w:ascii="宋体" w:hAnsi="宋体" w:eastAsia="宋体" w:cs="宋体"/>
                <w:b/>
                <w:bCs/>
                <w:spacing w:val="-5"/>
                <w:sz w:val="24"/>
                <w:szCs w:val="24"/>
              </w:rPr>
              <w:t>版本</w:t>
            </w:r>
          </w:p>
        </w:tc>
        <w:tc>
          <w:tcPr>
            <w:tcW w:w="2155" w:type="dxa"/>
            <w:gridSpan w:val="2"/>
            <w:tcBorders>
              <w:top w:val="single" w:color="000000" w:sz="10" w:space="0"/>
            </w:tcBorders>
            <w:shd w:val="clear" w:color="auto" w:fill="D9D9D9"/>
          </w:tcPr>
          <w:p w14:paraId="5C31873F">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528"/>
              <w:textAlignment w:val="baseline"/>
              <w:rPr>
                <w:rFonts w:ascii="宋体" w:hAnsi="宋体" w:eastAsia="宋体" w:cs="宋体"/>
                <w:sz w:val="24"/>
                <w:szCs w:val="24"/>
              </w:rPr>
            </w:pPr>
            <w:r>
              <w:rPr>
                <w:rFonts w:ascii="宋体" w:hAnsi="宋体" w:eastAsia="宋体" w:cs="宋体"/>
                <w:b/>
                <w:bCs/>
                <w:spacing w:val="-4"/>
                <w:sz w:val="24"/>
                <w:szCs w:val="24"/>
              </w:rPr>
              <w:t>编制/更改</w:t>
            </w:r>
          </w:p>
        </w:tc>
        <w:tc>
          <w:tcPr>
            <w:tcW w:w="2334" w:type="dxa"/>
            <w:gridSpan w:val="2"/>
            <w:tcBorders>
              <w:top w:val="single" w:color="000000" w:sz="10" w:space="0"/>
            </w:tcBorders>
            <w:shd w:val="clear" w:color="auto" w:fill="D9D9D9"/>
          </w:tcPr>
          <w:p w14:paraId="0CDCE20E">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927"/>
              <w:textAlignment w:val="baseline"/>
              <w:rPr>
                <w:rFonts w:ascii="宋体" w:hAnsi="宋体" w:eastAsia="宋体" w:cs="宋体"/>
                <w:sz w:val="24"/>
                <w:szCs w:val="24"/>
              </w:rPr>
            </w:pPr>
            <w:r>
              <w:rPr>
                <w:rFonts w:ascii="宋体" w:hAnsi="宋体" w:eastAsia="宋体" w:cs="宋体"/>
                <w:b/>
                <w:bCs/>
                <w:spacing w:val="-6"/>
                <w:sz w:val="24"/>
                <w:szCs w:val="24"/>
              </w:rPr>
              <w:t>发布</w:t>
            </w:r>
          </w:p>
        </w:tc>
        <w:tc>
          <w:tcPr>
            <w:tcW w:w="2288" w:type="dxa"/>
            <w:gridSpan w:val="2"/>
            <w:tcBorders>
              <w:top w:val="single" w:color="000000" w:sz="10" w:space="0"/>
            </w:tcBorders>
            <w:shd w:val="clear" w:color="auto" w:fill="D9D9D9"/>
          </w:tcPr>
          <w:p w14:paraId="5D044F35">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911"/>
              <w:textAlignment w:val="baseline"/>
              <w:rPr>
                <w:rFonts w:ascii="宋体" w:hAnsi="宋体" w:eastAsia="宋体" w:cs="宋体"/>
                <w:sz w:val="24"/>
                <w:szCs w:val="24"/>
              </w:rPr>
            </w:pPr>
            <w:r>
              <w:rPr>
                <w:rFonts w:ascii="宋体" w:hAnsi="宋体" w:eastAsia="宋体" w:cs="宋体"/>
                <w:b/>
                <w:bCs/>
                <w:spacing w:val="-6"/>
                <w:sz w:val="24"/>
                <w:szCs w:val="24"/>
              </w:rPr>
              <w:t>实施</w:t>
            </w:r>
          </w:p>
        </w:tc>
        <w:tc>
          <w:tcPr>
            <w:tcW w:w="1383" w:type="dxa"/>
            <w:vMerge w:val="restart"/>
            <w:tcBorders>
              <w:top w:val="single" w:color="000000" w:sz="10" w:space="0"/>
              <w:bottom w:val="nil"/>
              <w:right w:val="single" w:color="000000" w:sz="10" w:space="0"/>
            </w:tcBorders>
            <w:shd w:val="clear" w:color="auto" w:fill="D9D9D9"/>
          </w:tcPr>
          <w:p w14:paraId="59686762">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1036D608">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217"/>
              <w:textAlignment w:val="baseline"/>
              <w:rPr>
                <w:rFonts w:ascii="宋体" w:hAnsi="宋体" w:eastAsia="宋体" w:cs="宋体"/>
                <w:sz w:val="24"/>
                <w:szCs w:val="24"/>
              </w:rPr>
            </w:pPr>
            <w:r>
              <w:rPr>
                <w:rFonts w:ascii="宋体" w:hAnsi="宋体" w:eastAsia="宋体" w:cs="宋体"/>
                <w:b/>
                <w:bCs/>
                <w:spacing w:val="-5"/>
                <w:sz w:val="24"/>
                <w:szCs w:val="24"/>
              </w:rPr>
              <w:t>更改记录</w:t>
            </w:r>
          </w:p>
        </w:tc>
      </w:tr>
      <w:tr w14:paraId="6AD171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845" w:type="dxa"/>
            <w:vMerge w:val="continue"/>
            <w:tcBorders>
              <w:top w:val="nil"/>
              <w:left w:val="single" w:color="000000" w:sz="10" w:space="0"/>
            </w:tcBorders>
          </w:tcPr>
          <w:p w14:paraId="7739B0BC">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881" w:type="dxa"/>
            <w:shd w:val="clear" w:color="auto" w:fill="D9D9D9"/>
          </w:tcPr>
          <w:p w14:paraId="0640307D">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191"/>
              <w:textAlignment w:val="baseline"/>
              <w:rPr>
                <w:rFonts w:ascii="宋体" w:hAnsi="宋体" w:eastAsia="宋体" w:cs="宋体"/>
                <w:sz w:val="24"/>
                <w:szCs w:val="24"/>
              </w:rPr>
            </w:pPr>
            <w:r>
              <w:rPr>
                <w:rFonts w:ascii="宋体" w:hAnsi="宋体" w:eastAsia="宋体" w:cs="宋体"/>
                <w:b/>
                <w:bCs/>
                <w:spacing w:val="-5"/>
                <w:sz w:val="24"/>
                <w:szCs w:val="24"/>
              </w:rPr>
              <w:t>作者</w:t>
            </w:r>
          </w:p>
        </w:tc>
        <w:tc>
          <w:tcPr>
            <w:tcW w:w="1274" w:type="dxa"/>
            <w:shd w:val="clear" w:color="auto" w:fill="D9D9D9"/>
          </w:tcPr>
          <w:p w14:paraId="0644A745">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30"/>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957" w:type="dxa"/>
            <w:shd w:val="clear" w:color="auto" w:fill="D9D9D9"/>
          </w:tcPr>
          <w:p w14:paraId="799EE85A">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244"/>
              <w:textAlignment w:val="baseline"/>
              <w:rPr>
                <w:rFonts w:ascii="宋体" w:hAnsi="宋体" w:eastAsia="宋体" w:cs="宋体"/>
                <w:sz w:val="24"/>
                <w:szCs w:val="24"/>
              </w:rPr>
            </w:pPr>
            <w:r>
              <w:rPr>
                <w:rFonts w:ascii="宋体" w:hAnsi="宋体" w:eastAsia="宋体" w:cs="宋体"/>
                <w:b/>
                <w:bCs/>
                <w:spacing w:val="-8"/>
                <w:sz w:val="24"/>
                <w:szCs w:val="24"/>
              </w:rPr>
              <w:t>审核</w:t>
            </w:r>
          </w:p>
        </w:tc>
        <w:tc>
          <w:tcPr>
            <w:tcW w:w="1377" w:type="dxa"/>
            <w:shd w:val="clear" w:color="auto" w:fill="D9D9D9"/>
          </w:tcPr>
          <w:p w14:paraId="0A0944D8">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87"/>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017" w:type="dxa"/>
            <w:shd w:val="clear" w:color="auto" w:fill="D9D9D9"/>
          </w:tcPr>
          <w:p w14:paraId="338ED4DB">
            <w:pPr>
              <w:keepNext w:val="0"/>
              <w:keepLines w:val="0"/>
              <w:pageBreakBefore w:val="0"/>
              <w:widowControl w:val="0"/>
              <w:kinsoku w:val="0"/>
              <w:wordWrap/>
              <w:overflowPunct/>
              <w:topLinePunct w:val="0"/>
              <w:autoSpaceDE w:val="0"/>
              <w:autoSpaceDN w:val="0"/>
              <w:bidi w:val="0"/>
              <w:adjustRightInd w:val="0"/>
              <w:snapToGrid w:val="0"/>
              <w:spacing w:before="176" w:line="221" w:lineRule="auto"/>
              <w:ind w:left="268"/>
              <w:textAlignment w:val="baseline"/>
              <w:rPr>
                <w:rFonts w:ascii="宋体" w:hAnsi="宋体" w:eastAsia="宋体" w:cs="宋体"/>
                <w:sz w:val="24"/>
                <w:szCs w:val="24"/>
              </w:rPr>
            </w:pPr>
            <w:r>
              <w:rPr>
                <w:rFonts w:ascii="宋体" w:hAnsi="宋体" w:eastAsia="宋体" w:cs="宋体"/>
                <w:b/>
                <w:bCs/>
                <w:spacing w:val="-5"/>
                <w:sz w:val="24"/>
                <w:szCs w:val="24"/>
              </w:rPr>
              <w:t>批准</w:t>
            </w:r>
          </w:p>
        </w:tc>
        <w:tc>
          <w:tcPr>
            <w:tcW w:w="1271" w:type="dxa"/>
            <w:shd w:val="clear" w:color="auto" w:fill="D9D9D9"/>
          </w:tcPr>
          <w:p w14:paraId="2D6F740B">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41"/>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383" w:type="dxa"/>
            <w:vMerge w:val="continue"/>
            <w:tcBorders>
              <w:top w:val="nil"/>
              <w:right w:val="single" w:color="000000" w:sz="10" w:space="0"/>
            </w:tcBorders>
          </w:tcPr>
          <w:p w14:paraId="0D1CE5FB">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14:paraId="710E34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1" w:hRule="atLeast"/>
        </w:trPr>
        <w:tc>
          <w:tcPr>
            <w:tcW w:w="845" w:type="dxa"/>
            <w:tcBorders>
              <w:left w:val="single" w:color="000000" w:sz="10" w:space="0"/>
            </w:tcBorders>
          </w:tcPr>
          <w:p w14:paraId="3C883D7D">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95"/>
              <w:textAlignment w:val="baseline"/>
            </w:pPr>
            <w:r>
              <w:rPr>
                <w:spacing w:val="-1"/>
              </w:rPr>
              <w:t>V1.0</w:t>
            </w:r>
          </w:p>
        </w:tc>
        <w:tc>
          <w:tcPr>
            <w:tcW w:w="881" w:type="dxa"/>
          </w:tcPr>
          <w:p w14:paraId="7FB962C6">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25"/>
              <w:textAlignment w:val="baseline"/>
            </w:pPr>
            <w:r>
              <w:rPr>
                <w:spacing w:val="-4"/>
              </w:rPr>
              <w:t>谢广胜</w:t>
            </w:r>
          </w:p>
        </w:tc>
        <w:tc>
          <w:tcPr>
            <w:tcW w:w="1274" w:type="dxa"/>
          </w:tcPr>
          <w:p w14:paraId="0B391C79">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04"/>
              <w:textAlignment w:val="baseline"/>
            </w:pPr>
            <w:r>
              <w:rPr>
                <w:spacing w:val="-1"/>
              </w:rPr>
              <w:t>2025.1.7</w:t>
            </w:r>
          </w:p>
        </w:tc>
        <w:tc>
          <w:tcPr>
            <w:tcW w:w="957" w:type="dxa"/>
          </w:tcPr>
          <w:p w14:paraId="0806E2DD">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68"/>
              <w:textAlignment w:val="baseline"/>
            </w:pPr>
            <w:r>
              <w:rPr>
                <w:spacing w:val="-4"/>
              </w:rPr>
              <w:t>赵建中</w:t>
            </w:r>
          </w:p>
        </w:tc>
        <w:tc>
          <w:tcPr>
            <w:tcW w:w="1377" w:type="dxa"/>
          </w:tcPr>
          <w:p w14:paraId="0320F66E">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61"/>
              <w:textAlignment w:val="baseline"/>
            </w:pPr>
            <w:r>
              <w:rPr>
                <w:spacing w:val="-1"/>
              </w:rPr>
              <w:t>2025.1.7</w:t>
            </w:r>
          </w:p>
        </w:tc>
        <w:tc>
          <w:tcPr>
            <w:tcW w:w="1017" w:type="dxa"/>
          </w:tcPr>
          <w:p w14:paraId="7B95F9C2">
            <w:pPr>
              <w:pStyle w:val="27"/>
              <w:keepNext w:val="0"/>
              <w:keepLines w:val="0"/>
              <w:pageBreakBefore w:val="0"/>
              <w:widowControl w:val="0"/>
              <w:kinsoku w:val="0"/>
              <w:wordWrap/>
              <w:overflowPunct/>
              <w:topLinePunct w:val="0"/>
              <w:autoSpaceDE w:val="0"/>
              <w:autoSpaceDN w:val="0"/>
              <w:bidi w:val="0"/>
              <w:adjustRightInd w:val="0"/>
              <w:snapToGrid w:val="0"/>
              <w:spacing w:before="230" w:line="220" w:lineRule="auto"/>
              <w:ind w:left="202"/>
              <w:textAlignment w:val="baseline"/>
            </w:pPr>
            <w:r>
              <w:rPr>
                <w:spacing w:val="-3"/>
              </w:rPr>
              <w:t>陆涛</w:t>
            </w:r>
          </w:p>
        </w:tc>
        <w:tc>
          <w:tcPr>
            <w:tcW w:w="1271" w:type="dxa"/>
          </w:tcPr>
          <w:p w14:paraId="76E7ED73">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220"/>
              <w:textAlignment w:val="baseline"/>
            </w:pPr>
            <w:r>
              <w:rPr>
                <w:spacing w:val="-1"/>
              </w:rPr>
              <w:t>2025.1.7</w:t>
            </w:r>
          </w:p>
        </w:tc>
        <w:tc>
          <w:tcPr>
            <w:tcW w:w="1383" w:type="dxa"/>
            <w:tcBorders>
              <w:right w:val="single" w:color="000000" w:sz="10" w:space="0"/>
            </w:tcBorders>
          </w:tcPr>
          <w:p w14:paraId="1A5ABD82">
            <w:pPr>
              <w:pStyle w:val="27"/>
              <w:keepNext w:val="0"/>
              <w:keepLines w:val="0"/>
              <w:pageBreakBefore w:val="0"/>
              <w:widowControl w:val="0"/>
              <w:kinsoku w:val="0"/>
              <w:wordWrap/>
              <w:overflowPunct/>
              <w:topLinePunct w:val="0"/>
              <w:autoSpaceDE w:val="0"/>
              <w:autoSpaceDN w:val="0"/>
              <w:bidi w:val="0"/>
              <w:adjustRightInd w:val="0"/>
              <w:snapToGrid w:val="0"/>
              <w:spacing w:before="230" w:line="217" w:lineRule="auto"/>
              <w:ind w:left="341"/>
              <w:textAlignment w:val="baseline"/>
            </w:pPr>
            <w:r>
              <w:rPr>
                <w:spacing w:val="-5"/>
              </w:rPr>
              <w:t>首次发布</w:t>
            </w:r>
          </w:p>
        </w:tc>
      </w:tr>
      <w:tr w14:paraId="74A769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5" w:hRule="atLeast"/>
        </w:trPr>
        <w:tc>
          <w:tcPr>
            <w:tcW w:w="845" w:type="dxa"/>
            <w:tcBorders>
              <w:left w:val="single" w:color="000000" w:sz="10" w:space="0"/>
            </w:tcBorders>
          </w:tcPr>
          <w:p w14:paraId="3DAB5E6A">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195"/>
              <w:textAlignment w:val="baseline"/>
            </w:pPr>
          </w:p>
        </w:tc>
        <w:tc>
          <w:tcPr>
            <w:tcW w:w="881" w:type="dxa"/>
          </w:tcPr>
          <w:p w14:paraId="304E0B0C">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25"/>
              <w:textAlignment w:val="baseline"/>
            </w:pPr>
          </w:p>
        </w:tc>
        <w:tc>
          <w:tcPr>
            <w:tcW w:w="1274" w:type="dxa"/>
          </w:tcPr>
          <w:p w14:paraId="66497D48">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10"/>
              <w:textAlignment w:val="baseline"/>
            </w:pPr>
          </w:p>
        </w:tc>
        <w:tc>
          <w:tcPr>
            <w:tcW w:w="957" w:type="dxa"/>
          </w:tcPr>
          <w:p w14:paraId="1FE3C12A">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68"/>
              <w:textAlignment w:val="baseline"/>
            </w:pPr>
          </w:p>
        </w:tc>
        <w:tc>
          <w:tcPr>
            <w:tcW w:w="1377" w:type="dxa"/>
          </w:tcPr>
          <w:p w14:paraId="012EE647">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67"/>
              <w:textAlignment w:val="baseline"/>
            </w:pPr>
          </w:p>
        </w:tc>
        <w:tc>
          <w:tcPr>
            <w:tcW w:w="1017" w:type="dxa"/>
          </w:tcPr>
          <w:p w14:paraId="75BDB48B">
            <w:pPr>
              <w:pStyle w:val="27"/>
              <w:keepNext w:val="0"/>
              <w:keepLines w:val="0"/>
              <w:pageBreakBefore w:val="0"/>
              <w:widowControl w:val="0"/>
              <w:kinsoku w:val="0"/>
              <w:wordWrap/>
              <w:overflowPunct/>
              <w:topLinePunct w:val="0"/>
              <w:autoSpaceDE w:val="0"/>
              <w:autoSpaceDN w:val="0"/>
              <w:bidi w:val="0"/>
              <w:adjustRightInd w:val="0"/>
              <w:snapToGrid w:val="0"/>
              <w:spacing w:before="152" w:line="220" w:lineRule="auto"/>
              <w:ind w:left="202"/>
              <w:textAlignment w:val="baseline"/>
            </w:pPr>
          </w:p>
        </w:tc>
        <w:tc>
          <w:tcPr>
            <w:tcW w:w="1271" w:type="dxa"/>
          </w:tcPr>
          <w:p w14:paraId="7A74C2F1">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20"/>
              <w:textAlignment w:val="baseline"/>
            </w:pPr>
          </w:p>
        </w:tc>
        <w:tc>
          <w:tcPr>
            <w:tcW w:w="1383" w:type="dxa"/>
            <w:tcBorders>
              <w:right w:val="single" w:color="000000" w:sz="10" w:space="0"/>
            </w:tcBorders>
          </w:tcPr>
          <w:p w14:paraId="120E8B79">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436"/>
              <w:textAlignment w:val="baseline"/>
            </w:pPr>
          </w:p>
        </w:tc>
      </w:tr>
      <w:tr w14:paraId="7CAEAE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3" w:hRule="atLeast"/>
        </w:trPr>
        <w:tc>
          <w:tcPr>
            <w:tcW w:w="845" w:type="dxa"/>
            <w:tcBorders>
              <w:left w:val="single" w:color="000000" w:sz="10" w:space="0"/>
              <w:bottom w:val="single" w:color="000000" w:sz="10" w:space="0"/>
            </w:tcBorders>
          </w:tcPr>
          <w:p w14:paraId="5787F63E">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195"/>
              <w:textAlignment w:val="baseline"/>
            </w:pPr>
          </w:p>
        </w:tc>
        <w:tc>
          <w:tcPr>
            <w:tcW w:w="881" w:type="dxa"/>
            <w:tcBorders>
              <w:bottom w:val="single" w:color="000000" w:sz="10" w:space="0"/>
            </w:tcBorders>
          </w:tcPr>
          <w:p w14:paraId="2BD69362">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125"/>
              <w:textAlignment w:val="baseline"/>
            </w:pPr>
          </w:p>
        </w:tc>
        <w:tc>
          <w:tcPr>
            <w:tcW w:w="1274" w:type="dxa"/>
            <w:tcBorders>
              <w:bottom w:val="single" w:color="000000" w:sz="10" w:space="0"/>
            </w:tcBorders>
          </w:tcPr>
          <w:p w14:paraId="519DD42E">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10"/>
              <w:textAlignment w:val="baseline"/>
            </w:pPr>
          </w:p>
        </w:tc>
        <w:tc>
          <w:tcPr>
            <w:tcW w:w="957" w:type="dxa"/>
            <w:tcBorders>
              <w:bottom w:val="single" w:color="000000" w:sz="10" w:space="0"/>
            </w:tcBorders>
          </w:tcPr>
          <w:p w14:paraId="264D4828">
            <w:pPr>
              <w:pStyle w:val="27"/>
              <w:keepNext w:val="0"/>
              <w:keepLines w:val="0"/>
              <w:pageBreakBefore w:val="0"/>
              <w:widowControl w:val="0"/>
              <w:kinsoku w:val="0"/>
              <w:wordWrap/>
              <w:overflowPunct/>
              <w:topLinePunct w:val="0"/>
              <w:autoSpaceDE w:val="0"/>
              <w:autoSpaceDN w:val="0"/>
              <w:bidi w:val="0"/>
              <w:adjustRightInd w:val="0"/>
              <w:snapToGrid w:val="0"/>
              <w:spacing w:before="157" w:line="218" w:lineRule="auto"/>
              <w:ind w:left="164"/>
              <w:textAlignment w:val="baseline"/>
            </w:pPr>
          </w:p>
        </w:tc>
        <w:tc>
          <w:tcPr>
            <w:tcW w:w="1377" w:type="dxa"/>
            <w:tcBorders>
              <w:bottom w:val="single" w:color="000000" w:sz="10" w:space="0"/>
            </w:tcBorders>
          </w:tcPr>
          <w:p w14:paraId="324414F2">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67"/>
              <w:textAlignment w:val="baseline"/>
            </w:pPr>
          </w:p>
        </w:tc>
        <w:tc>
          <w:tcPr>
            <w:tcW w:w="1017" w:type="dxa"/>
            <w:tcBorders>
              <w:bottom w:val="single" w:color="000000" w:sz="10" w:space="0"/>
            </w:tcBorders>
          </w:tcPr>
          <w:p w14:paraId="0FD934D7">
            <w:pPr>
              <w:pStyle w:val="27"/>
              <w:keepNext w:val="0"/>
              <w:keepLines w:val="0"/>
              <w:pageBreakBefore w:val="0"/>
              <w:widowControl w:val="0"/>
              <w:kinsoku w:val="0"/>
              <w:wordWrap/>
              <w:overflowPunct/>
              <w:topLinePunct w:val="0"/>
              <w:autoSpaceDE w:val="0"/>
              <w:autoSpaceDN w:val="0"/>
              <w:bidi w:val="0"/>
              <w:adjustRightInd w:val="0"/>
              <w:snapToGrid w:val="0"/>
              <w:spacing w:before="157" w:line="220" w:lineRule="auto"/>
              <w:ind w:left="202"/>
              <w:textAlignment w:val="baseline"/>
            </w:pPr>
          </w:p>
        </w:tc>
        <w:tc>
          <w:tcPr>
            <w:tcW w:w="1271" w:type="dxa"/>
            <w:tcBorders>
              <w:bottom w:val="single" w:color="000000" w:sz="10" w:space="0"/>
            </w:tcBorders>
          </w:tcPr>
          <w:p w14:paraId="225C6788">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20"/>
              <w:textAlignment w:val="baseline"/>
            </w:pPr>
          </w:p>
        </w:tc>
        <w:tc>
          <w:tcPr>
            <w:tcW w:w="1383" w:type="dxa"/>
            <w:tcBorders>
              <w:bottom w:val="single" w:color="000000" w:sz="10" w:space="0"/>
              <w:right w:val="single" w:color="000000" w:sz="10" w:space="0"/>
            </w:tcBorders>
          </w:tcPr>
          <w:p w14:paraId="3E77818D">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436"/>
              <w:textAlignment w:val="baseline"/>
            </w:pPr>
          </w:p>
        </w:tc>
      </w:tr>
    </w:tbl>
    <w:p w14:paraId="6C9B832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sdt>
      <w:sdtPr>
        <w:rPr>
          <w:rFonts w:ascii="宋体" w:hAnsi="宋体" w:eastAsia="宋体" w:cs="Arial"/>
          <w:snapToGrid w:val="0"/>
          <w:color w:val="000000"/>
          <w:kern w:val="0"/>
          <w:sz w:val="21"/>
          <w:szCs w:val="21"/>
          <w:lang w:val="en-US" w:eastAsia="en-US" w:bidi="ar-SA"/>
        </w:rPr>
        <w:id w:val="147465772"/>
        <w15:color w:val="DBDBDB"/>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7C11734B">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bookmarkStart w:id="4" w:name="heading_2"/>
          <w:r>
            <w:rPr>
              <w:rFonts w:ascii="宋体" w:hAnsi="宋体" w:eastAsia="宋体"/>
              <w:sz w:val="21"/>
            </w:rPr>
            <w:t>目录</w:t>
          </w:r>
        </w:p>
        <w:p w14:paraId="59532037">
          <w:pPr>
            <w:pStyle w:val="16"/>
            <w:tabs>
              <w:tab w:val="right" w:leader="dot" w:pos="8306"/>
            </w:tabs>
          </w:pPr>
          <w:r>
            <w:fldChar w:fldCharType="begin"/>
          </w:r>
          <w:r>
            <w:instrText xml:space="preserve">TOC \o "1-3" \h \u </w:instrText>
          </w:r>
          <w:r>
            <w:fldChar w:fldCharType="separate"/>
          </w:r>
          <w:r>
            <w:fldChar w:fldCharType="begin"/>
          </w:r>
          <w:r>
            <w:instrText xml:space="preserve"> HYPERLINK \l _Toc19850 </w:instrText>
          </w:r>
          <w:r>
            <w:fldChar w:fldCharType="separate"/>
          </w:r>
          <w:r>
            <w:rPr>
              <w:rFonts w:hint="eastAsia"/>
              <w:lang w:val="en-US" w:eastAsia="zh-CN"/>
            </w:rPr>
            <w:t>云南腾电科技有限公司</w:t>
          </w:r>
          <w:r>
            <w:tab/>
          </w:r>
          <w:r>
            <w:fldChar w:fldCharType="begin"/>
          </w:r>
          <w:r>
            <w:instrText xml:space="preserve"> PAGEREF _Toc19850 \h </w:instrText>
          </w:r>
          <w:r>
            <w:fldChar w:fldCharType="separate"/>
          </w:r>
          <w:r>
            <w:t>1</w:t>
          </w:r>
          <w:r>
            <w:fldChar w:fldCharType="end"/>
          </w:r>
          <w:r>
            <w:fldChar w:fldCharType="end"/>
          </w:r>
        </w:p>
        <w:p w14:paraId="69281059">
          <w:pPr>
            <w:pStyle w:val="16"/>
            <w:tabs>
              <w:tab w:val="right" w:leader="dot" w:pos="8306"/>
            </w:tabs>
          </w:pPr>
          <w:r>
            <w:fldChar w:fldCharType="begin"/>
          </w:r>
          <w:r>
            <w:instrText xml:space="preserve"> HYPERLINK \l _Toc30444 </w:instrText>
          </w:r>
          <w:r>
            <w:fldChar w:fldCharType="separate"/>
          </w:r>
          <w:r>
            <w:rPr>
              <w:rFonts w:hint="eastAsia"/>
              <w:lang w:val="en-US" w:eastAsia="zh-CN"/>
            </w:rPr>
            <w:t>运维服务工具管理办法</w:t>
          </w:r>
          <w:r>
            <w:tab/>
          </w:r>
          <w:r>
            <w:fldChar w:fldCharType="begin"/>
          </w:r>
          <w:r>
            <w:instrText xml:space="preserve"> PAGEREF _Toc30444 \h </w:instrText>
          </w:r>
          <w:r>
            <w:fldChar w:fldCharType="separate"/>
          </w:r>
          <w:r>
            <w:t>1</w:t>
          </w:r>
          <w:r>
            <w:fldChar w:fldCharType="end"/>
          </w:r>
          <w:r>
            <w:fldChar w:fldCharType="end"/>
          </w:r>
        </w:p>
        <w:p w14:paraId="656DE5BE">
          <w:pPr>
            <w:pStyle w:val="16"/>
            <w:tabs>
              <w:tab w:val="right" w:leader="dot" w:pos="8306"/>
            </w:tabs>
          </w:pPr>
          <w:r>
            <w:fldChar w:fldCharType="begin"/>
          </w:r>
          <w:r>
            <w:instrText xml:space="preserve"> HYPERLINK \l _Toc32597 </w:instrText>
          </w:r>
          <w:r>
            <w:fldChar w:fldCharType="separate"/>
          </w:r>
          <w:r>
            <w:rPr>
              <w:rFonts w:hint="eastAsia"/>
              <w:lang w:val="en-US" w:eastAsia="zh-CN"/>
            </w:rPr>
            <w:t>（YNTD-ITSS-0801）</w:t>
          </w:r>
          <w:r>
            <w:tab/>
          </w:r>
          <w:r>
            <w:fldChar w:fldCharType="begin"/>
          </w:r>
          <w:r>
            <w:instrText xml:space="preserve"> PAGEREF _Toc32597 \h </w:instrText>
          </w:r>
          <w:r>
            <w:fldChar w:fldCharType="separate"/>
          </w:r>
          <w:r>
            <w:t>1</w:t>
          </w:r>
          <w:r>
            <w:fldChar w:fldCharType="end"/>
          </w:r>
          <w:r>
            <w:fldChar w:fldCharType="end"/>
          </w:r>
        </w:p>
        <w:p w14:paraId="2503296B">
          <w:pPr>
            <w:pStyle w:val="16"/>
            <w:tabs>
              <w:tab w:val="right" w:leader="dot" w:pos="8306"/>
            </w:tabs>
          </w:pPr>
          <w:r>
            <w:fldChar w:fldCharType="begin"/>
          </w:r>
          <w:r>
            <w:instrText xml:space="preserve"> HYPERLINK \l _Toc29657 </w:instrText>
          </w:r>
          <w:r>
            <w:fldChar w:fldCharType="separate"/>
          </w:r>
          <w:r>
            <w:rPr>
              <w:rFonts w:ascii="宋体" w:hAnsi="宋体" w:eastAsia="宋体" w:cs="宋体"/>
              <w:bCs/>
              <w:spacing w:val="-4"/>
              <w:szCs w:val="30"/>
            </w:rPr>
            <w:t>文件编制和变更履历</w:t>
          </w:r>
          <w:r>
            <w:tab/>
          </w:r>
          <w:r>
            <w:fldChar w:fldCharType="begin"/>
          </w:r>
          <w:r>
            <w:instrText xml:space="preserve"> PAGEREF _Toc29657 \h </w:instrText>
          </w:r>
          <w:r>
            <w:fldChar w:fldCharType="separate"/>
          </w:r>
          <w:r>
            <w:t>2</w:t>
          </w:r>
          <w:r>
            <w:fldChar w:fldCharType="end"/>
          </w:r>
          <w:r>
            <w:fldChar w:fldCharType="end"/>
          </w:r>
        </w:p>
        <w:p w14:paraId="2436320B">
          <w:pPr>
            <w:pStyle w:val="16"/>
            <w:tabs>
              <w:tab w:val="right" w:leader="dot" w:pos="8306"/>
            </w:tabs>
          </w:pPr>
          <w:r>
            <w:fldChar w:fldCharType="begin"/>
          </w:r>
          <w:r>
            <w:instrText xml:space="preserve"> HYPERLINK \l _Toc23230 </w:instrText>
          </w:r>
          <w:r>
            <w:fldChar w:fldCharType="separate"/>
          </w:r>
          <w:r>
            <w:rPr>
              <w:rFonts w:hint="default"/>
            </w:rPr>
            <w:t xml:space="preserve">1. </w:t>
          </w:r>
          <w:r>
            <w:t>目的</w:t>
          </w:r>
          <w:r>
            <w:tab/>
          </w:r>
          <w:r>
            <w:fldChar w:fldCharType="begin"/>
          </w:r>
          <w:r>
            <w:instrText xml:space="preserve"> PAGEREF _Toc23230 \h </w:instrText>
          </w:r>
          <w:r>
            <w:fldChar w:fldCharType="separate"/>
          </w:r>
          <w:r>
            <w:t>4</w:t>
          </w:r>
          <w:r>
            <w:fldChar w:fldCharType="end"/>
          </w:r>
          <w:r>
            <w:fldChar w:fldCharType="end"/>
          </w:r>
        </w:p>
        <w:p w14:paraId="01A42F2C">
          <w:pPr>
            <w:pStyle w:val="16"/>
            <w:tabs>
              <w:tab w:val="right" w:leader="dot" w:pos="8306"/>
            </w:tabs>
          </w:pPr>
          <w:r>
            <w:fldChar w:fldCharType="begin"/>
          </w:r>
          <w:r>
            <w:instrText xml:space="preserve"> HYPERLINK \l _Toc20397 </w:instrText>
          </w:r>
          <w:r>
            <w:fldChar w:fldCharType="separate"/>
          </w:r>
          <w:r>
            <w:rPr>
              <w:rFonts w:hint="default"/>
            </w:rPr>
            <w:t xml:space="preserve">2. </w:t>
          </w:r>
          <w:r>
            <w:t>适用范围</w:t>
          </w:r>
          <w:r>
            <w:tab/>
          </w:r>
          <w:r>
            <w:fldChar w:fldCharType="begin"/>
          </w:r>
          <w:r>
            <w:instrText xml:space="preserve"> PAGEREF _Toc20397 \h </w:instrText>
          </w:r>
          <w:r>
            <w:fldChar w:fldCharType="separate"/>
          </w:r>
          <w:r>
            <w:t>4</w:t>
          </w:r>
          <w:r>
            <w:fldChar w:fldCharType="end"/>
          </w:r>
          <w:r>
            <w:fldChar w:fldCharType="end"/>
          </w:r>
        </w:p>
        <w:p w14:paraId="3F0E9897">
          <w:pPr>
            <w:pStyle w:val="16"/>
            <w:tabs>
              <w:tab w:val="right" w:leader="dot" w:pos="8306"/>
            </w:tabs>
          </w:pPr>
          <w:r>
            <w:fldChar w:fldCharType="begin"/>
          </w:r>
          <w:r>
            <w:instrText xml:space="preserve"> HYPERLINK \l _Toc20282 </w:instrText>
          </w:r>
          <w:r>
            <w:fldChar w:fldCharType="separate"/>
          </w:r>
          <w:r>
            <w:rPr>
              <w:rFonts w:hint="default"/>
            </w:rPr>
            <w:t xml:space="preserve">3. </w:t>
          </w:r>
          <w:r>
            <w:t>角色职责</w:t>
          </w:r>
          <w:r>
            <w:tab/>
          </w:r>
          <w:r>
            <w:fldChar w:fldCharType="begin"/>
          </w:r>
          <w:r>
            <w:instrText xml:space="preserve"> PAGEREF _Toc20282 \h </w:instrText>
          </w:r>
          <w:r>
            <w:fldChar w:fldCharType="separate"/>
          </w:r>
          <w:r>
            <w:t>4</w:t>
          </w:r>
          <w:r>
            <w:fldChar w:fldCharType="end"/>
          </w:r>
          <w:r>
            <w:fldChar w:fldCharType="end"/>
          </w:r>
        </w:p>
        <w:p w14:paraId="5A49476B">
          <w:pPr>
            <w:pStyle w:val="17"/>
            <w:tabs>
              <w:tab w:val="right" w:leader="dot" w:pos="8306"/>
            </w:tabs>
          </w:pPr>
          <w:r>
            <w:fldChar w:fldCharType="begin"/>
          </w:r>
          <w:r>
            <w:instrText xml:space="preserve"> HYPERLINK \l _Toc25593 </w:instrText>
          </w:r>
          <w:r>
            <w:fldChar w:fldCharType="separate"/>
          </w:r>
          <w:r>
            <w:rPr>
              <w:rFonts w:hint="default"/>
            </w:rPr>
            <w:t xml:space="preserve">3.1. </w:t>
          </w:r>
          <w:r>
            <w:rPr>
              <w:rFonts w:hint="eastAsia"/>
              <w:lang w:val="en-US" w:eastAsia="zh-CN"/>
            </w:rPr>
            <w:t>运维部</w:t>
          </w:r>
          <w:r>
            <w:tab/>
          </w:r>
          <w:r>
            <w:fldChar w:fldCharType="begin"/>
          </w:r>
          <w:r>
            <w:instrText xml:space="preserve"> PAGEREF _Toc25593 \h </w:instrText>
          </w:r>
          <w:r>
            <w:fldChar w:fldCharType="separate"/>
          </w:r>
          <w:r>
            <w:t>4</w:t>
          </w:r>
          <w:r>
            <w:fldChar w:fldCharType="end"/>
          </w:r>
          <w:r>
            <w:fldChar w:fldCharType="end"/>
          </w:r>
        </w:p>
        <w:p w14:paraId="7E104F6B">
          <w:pPr>
            <w:pStyle w:val="17"/>
            <w:tabs>
              <w:tab w:val="right" w:leader="dot" w:pos="8306"/>
            </w:tabs>
          </w:pPr>
          <w:r>
            <w:fldChar w:fldCharType="begin"/>
          </w:r>
          <w:r>
            <w:instrText xml:space="preserve"> HYPERLINK \l _Toc8252 </w:instrText>
          </w:r>
          <w:r>
            <w:fldChar w:fldCharType="separate"/>
          </w:r>
          <w:r>
            <w:rPr>
              <w:rFonts w:hint="default"/>
            </w:rPr>
            <w:t xml:space="preserve">3.2. </w:t>
          </w:r>
          <w:r>
            <w:t>研发部</w:t>
          </w:r>
          <w:r>
            <w:tab/>
          </w:r>
          <w:r>
            <w:fldChar w:fldCharType="begin"/>
          </w:r>
          <w:r>
            <w:instrText xml:space="preserve"> PAGEREF _Toc8252 \h </w:instrText>
          </w:r>
          <w:r>
            <w:fldChar w:fldCharType="separate"/>
          </w:r>
          <w:r>
            <w:t>4</w:t>
          </w:r>
          <w:r>
            <w:fldChar w:fldCharType="end"/>
          </w:r>
          <w:r>
            <w:fldChar w:fldCharType="end"/>
          </w:r>
        </w:p>
        <w:p w14:paraId="1A3E2732">
          <w:pPr>
            <w:pStyle w:val="16"/>
            <w:tabs>
              <w:tab w:val="right" w:leader="dot" w:pos="8306"/>
            </w:tabs>
          </w:pPr>
          <w:r>
            <w:fldChar w:fldCharType="begin"/>
          </w:r>
          <w:r>
            <w:instrText xml:space="preserve"> HYPERLINK \l _Toc7650 </w:instrText>
          </w:r>
          <w:r>
            <w:fldChar w:fldCharType="separate"/>
          </w:r>
          <w:r>
            <w:rPr>
              <w:rFonts w:hint="default"/>
            </w:rPr>
            <w:t xml:space="preserve">4. </w:t>
          </w:r>
          <w:r>
            <w:t>运维服务工具管理</w:t>
          </w:r>
          <w:r>
            <w:tab/>
          </w:r>
          <w:r>
            <w:fldChar w:fldCharType="begin"/>
          </w:r>
          <w:r>
            <w:instrText xml:space="preserve"> PAGEREF _Toc7650 \h </w:instrText>
          </w:r>
          <w:r>
            <w:fldChar w:fldCharType="separate"/>
          </w:r>
          <w:r>
            <w:t>4</w:t>
          </w:r>
          <w:r>
            <w:fldChar w:fldCharType="end"/>
          </w:r>
          <w:r>
            <w:fldChar w:fldCharType="end"/>
          </w:r>
        </w:p>
        <w:p w14:paraId="528880C1">
          <w:pPr>
            <w:pStyle w:val="17"/>
            <w:tabs>
              <w:tab w:val="right" w:leader="dot" w:pos="8306"/>
            </w:tabs>
          </w:pPr>
          <w:r>
            <w:fldChar w:fldCharType="begin"/>
          </w:r>
          <w:r>
            <w:instrText xml:space="preserve"> HYPERLINK \l _Toc26573 </w:instrText>
          </w:r>
          <w:r>
            <w:fldChar w:fldCharType="separate"/>
          </w:r>
          <w:r>
            <w:rPr>
              <w:rFonts w:hint="default"/>
            </w:rPr>
            <w:t xml:space="preserve">4.1. </w:t>
          </w:r>
          <w:r>
            <w:t>管理要求</w:t>
          </w:r>
          <w:r>
            <w:tab/>
          </w:r>
          <w:r>
            <w:fldChar w:fldCharType="begin"/>
          </w:r>
          <w:r>
            <w:instrText xml:space="preserve"> PAGEREF _Toc26573 \h </w:instrText>
          </w:r>
          <w:r>
            <w:fldChar w:fldCharType="separate"/>
          </w:r>
          <w:r>
            <w:t>4</w:t>
          </w:r>
          <w:r>
            <w:fldChar w:fldCharType="end"/>
          </w:r>
          <w:r>
            <w:fldChar w:fldCharType="end"/>
          </w:r>
        </w:p>
        <w:p w14:paraId="6BC8B24B">
          <w:pPr>
            <w:pStyle w:val="17"/>
            <w:tabs>
              <w:tab w:val="right" w:leader="dot" w:pos="8306"/>
            </w:tabs>
          </w:pPr>
          <w:r>
            <w:fldChar w:fldCharType="begin"/>
          </w:r>
          <w:r>
            <w:instrText xml:space="preserve"> HYPERLINK \l _Toc29414 </w:instrText>
          </w:r>
          <w:r>
            <w:fldChar w:fldCharType="separate"/>
          </w:r>
          <w:r>
            <w:rPr>
              <w:rFonts w:hint="default"/>
            </w:rPr>
            <w:t xml:space="preserve">4.2. </w:t>
          </w:r>
          <w:r>
            <w:t>运维服务工具简介</w:t>
          </w:r>
          <w:r>
            <w:tab/>
          </w:r>
          <w:r>
            <w:fldChar w:fldCharType="begin"/>
          </w:r>
          <w:r>
            <w:instrText xml:space="preserve"> PAGEREF _Toc29414 \h </w:instrText>
          </w:r>
          <w:r>
            <w:fldChar w:fldCharType="separate"/>
          </w:r>
          <w:r>
            <w:t>5</w:t>
          </w:r>
          <w:r>
            <w:fldChar w:fldCharType="end"/>
          </w:r>
          <w:r>
            <w:fldChar w:fldCharType="end"/>
          </w:r>
        </w:p>
        <w:p w14:paraId="75AE56F0">
          <w:pPr>
            <w:pStyle w:val="13"/>
            <w:tabs>
              <w:tab w:val="right" w:leader="dot" w:pos="8306"/>
            </w:tabs>
          </w:pPr>
          <w:r>
            <w:fldChar w:fldCharType="begin"/>
          </w:r>
          <w:r>
            <w:instrText xml:space="preserve"> HYPERLINK \l _Toc17093 </w:instrText>
          </w:r>
          <w:r>
            <w:fldChar w:fldCharType="separate"/>
          </w:r>
          <w:r>
            <w:rPr>
              <w:rFonts w:hint="default"/>
            </w:rPr>
            <w:t xml:space="preserve">4.2.1. </w:t>
          </w:r>
          <w:r>
            <w:t>过程管理工具</w:t>
          </w:r>
          <w:r>
            <w:tab/>
          </w:r>
          <w:r>
            <w:fldChar w:fldCharType="begin"/>
          </w:r>
          <w:r>
            <w:instrText xml:space="preserve"> PAGEREF _Toc17093 \h </w:instrText>
          </w:r>
          <w:r>
            <w:fldChar w:fldCharType="separate"/>
          </w:r>
          <w:r>
            <w:t>5</w:t>
          </w:r>
          <w:r>
            <w:fldChar w:fldCharType="end"/>
          </w:r>
          <w:r>
            <w:fldChar w:fldCharType="end"/>
          </w:r>
        </w:p>
        <w:p w14:paraId="3D028375">
          <w:pPr>
            <w:pStyle w:val="13"/>
            <w:tabs>
              <w:tab w:val="right" w:leader="dot" w:pos="8306"/>
            </w:tabs>
          </w:pPr>
          <w:r>
            <w:fldChar w:fldCharType="begin"/>
          </w:r>
          <w:r>
            <w:instrText xml:space="preserve"> HYPERLINK \l _Toc15511 </w:instrText>
          </w:r>
          <w:r>
            <w:fldChar w:fldCharType="separate"/>
          </w:r>
          <w:r>
            <w:rPr>
              <w:rFonts w:hint="default"/>
            </w:rPr>
            <w:t xml:space="preserve">4.2.2. </w:t>
          </w:r>
          <w:r>
            <w:t>监控管理工具</w:t>
          </w:r>
          <w:r>
            <w:tab/>
          </w:r>
          <w:r>
            <w:fldChar w:fldCharType="begin"/>
          </w:r>
          <w:r>
            <w:instrText xml:space="preserve"> PAGEREF _Toc15511 \h </w:instrText>
          </w:r>
          <w:r>
            <w:fldChar w:fldCharType="separate"/>
          </w:r>
          <w:r>
            <w:t>5</w:t>
          </w:r>
          <w:r>
            <w:fldChar w:fldCharType="end"/>
          </w:r>
          <w:r>
            <w:fldChar w:fldCharType="end"/>
          </w:r>
        </w:p>
        <w:p w14:paraId="3578DA19">
          <w:pPr>
            <w:pStyle w:val="13"/>
            <w:tabs>
              <w:tab w:val="right" w:leader="dot" w:pos="8306"/>
            </w:tabs>
          </w:pPr>
          <w:r>
            <w:fldChar w:fldCharType="begin"/>
          </w:r>
          <w:r>
            <w:instrText xml:space="preserve"> HYPERLINK \l _Toc7168 </w:instrText>
          </w:r>
          <w:r>
            <w:fldChar w:fldCharType="separate"/>
          </w:r>
          <w:r>
            <w:rPr>
              <w:rFonts w:hint="default"/>
            </w:rPr>
            <w:t xml:space="preserve">4.2.3. </w:t>
          </w:r>
          <w:r>
            <w:t>专用工具</w:t>
          </w:r>
          <w:r>
            <w:tab/>
          </w:r>
          <w:r>
            <w:fldChar w:fldCharType="begin"/>
          </w:r>
          <w:r>
            <w:instrText xml:space="preserve"> PAGEREF _Toc7168 \h </w:instrText>
          </w:r>
          <w:r>
            <w:fldChar w:fldCharType="separate"/>
          </w:r>
          <w:r>
            <w:t>5</w:t>
          </w:r>
          <w:r>
            <w:fldChar w:fldCharType="end"/>
          </w:r>
          <w:r>
            <w:fldChar w:fldCharType="end"/>
          </w:r>
        </w:p>
        <w:p w14:paraId="22F45E37">
          <w:pPr>
            <w:pStyle w:val="17"/>
            <w:tabs>
              <w:tab w:val="right" w:leader="dot" w:pos="8306"/>
            </w:tabs>
          </w:pPr>
          <w:r>
            <w:fldChar w:fldCharType="begin"/>
          </w:r>
          <w:r>
            <w:instrText xml:space="preserve"> HYPERLINK \l _Toc15256 </w:instrText>
          </w:r>
          <w:r>
            <w:fldChar w:fldCharType="separate"/>
          </w:r>
          <w:r>
            <w:rPr>
              <w:rFonts w:hint="default"/>
            </w:rPr>
            <w:t xml:space="preserve">4.3. </w:t>
          </w:r>
          <w:r>
            <w:t>运维服务工具的日常管理</w:t>
          </w:r>
          <w:r>
            <w:tab/>
          </w:r>
          <w:r>
            <w:fldChar w:fldCharType="begin"/>
          </w:r>
          <w:r>
            <w:instrText xml:space="preserve"> PAGEREF _Toc15256 \h </w:instrText>
          </w:r>
          <w:r>
            <w:fldChar w:fldCharType="separate"/>
          </w:r>
          <w:r>
            <w:t>5</w:t>
          </w:r>
          <w:r>
            <w:fldChar w:fldCharType="end"/>
          </w:r>
          <w:r>
            <w:fldChar w:fldCharType="end"/>
          </w:r>
        </w:p>
        <w:p w14:paraId="72BE8BE5">
          <w:pPr>
            <w:pStyle w:val="17"/>
            <w:tabs>
              <w:tab w:val="right" w:leader="dot" w:pos="8306"/>
            </w:tabs>
          </w:pPr>
          <w:r>
            <w:fldChar w:fldCharType="begin"/>
          </w:r>
          <w:r>
            <w:instrText xml:space="preserve"> HYPERLINK \l _Toc30210 </w:instrText>
          </w:r>
          <w:r>
            <w:fldChar w:fldCharType="separate"/>
          </w:r>
          <w:r>
            <w:rPr>
              <w:rFonts w:hint="default"/>
            </w:rPr>
            <w:t xml:space="preserve">4.4. </w:t>
          </w:r>
          <w:r>
            <w:t>运维服务工具使用的培训</w:t>
          </w:r>
          <w:r>
            <w:tab/>
          </w:r>
          <w:r>
            <w:fldChar w:fldCharType="begin"/>
          </w:r>
          <w:r>
            <w:instrText xml:space="preserve"> PAGEREF _Toc30210 \h </w:instrText>
          </w:r>
          <w:r>
            <w:fldChar w:fldCharType="separate"/>
          </w:r>
          <w:r>
            <w:t>5</w:t>
          </w:r>
          <w:r>
            <w:fldChar w:fldCharType="end"/>
          </w:r>
          <w:r>
            <w:fldChar w:fldCharType="end"/>
          </w:r>
        </w:p>
        <w:p w14:paraId="553ABAF6">
          <w:pPr>
            <w:pStyle w:val="16"/>
            <w:tabs>
              <w:tab w:val="right" w:leader="dot" w:pos="8306"/>
            </w:tabs>
          </w:pPr>
          <w:r>
            <w:fldChar w:fldCharType="begin"/>
          </w:r>
          <w:r>
            <w:instrText xml:space="preserve"> HYPERLINK \l _Toc17185 </w:instrText>
          </w:r>
          <w:r>
            <w:fldChar w:fldCharType="separate"/>
          </w:r>
          <w:r>
            <w:rPr>
              <w:rFonts w:hint="default"/>
            </w:rPr>
            <w:t xml:space="preserve">5. </w:t>
          </w:r>
          <w:r>
            <w:t>运维服务工具的评估和改进</w:t>
          </w:r>
          <w:r>
            <w:tab/>
          </w:r>
          <w:r>
            <w:fldChar w:fldCharType="begin"/>
          </w:r>
          <w:r>
            <w:instrText xml:space="preserve"> PAGEREF _Toc17185 \h </w:instrText>
          </w:r>
          <w:r>
            <w:fldChar w:fldCharType="separate"/>
          </w:r>
          <w:r>
            <w:t>6</w:t>
          </w:r>
          <w:r>
            <w:fldChar w:fldCharType="end"/>
          </w:r>
          <w:r>
            <w:fldChar w:fldCharType="end"/>
          </w:r>
        </w:p>
        <w:p w14:paraId="03F42E2A">
          <w:pPr>
            <w:pStyle w:val="16"/>
            <w:tabs>
              <w:tab w:val="right" w:leader="dot" w:pos="8306"/>
            </w:tabs>
          </w:pPr>
          <w:r>
            <w:fldChar w:fldCharType="begin"/>
          </w:r>
          <w:r>
            <w:instrText xml:space="preserve"> HYPERLINK \l _Toc20192 </w:instrText>
          </w:r>
          <w:r>
            <w:fldChar w:fldCharType="separate"/>
          </w:r>
          <w:r>
            <w:rPr>
              <w:rFonts w:hint="default"/>
            </w:rPr>
            <w:t xml:space="preserve">6. </w:t>
          </w:r>
          <w:r>
            <w:t>KPI 指标</w:t>
          </w:r>
          <w:r>
            <w:tab/>
          </w:r>
          <w:r>
            <w:fldChar w:fldCharType="begin"/>
          </w:r>
          <w:r>
            <w:instrText xml:space="preserve"> PAGEREF _Toc20192 \h </w:instrText>
          </w:r>
          <w:r>
            <w:fldChar w:fldCharType="separate"/>
          </w:r>
          <w:r>
            <w:t>6</w:t>
          </w:r>
          <w:r>
            <w:fldChar w:fldCharType="end"/>
          </w:r>
          <w:r>
            <w:fldChar w:fldCharType="end"/>
          </w:r>
        </w:p>
        <w:p w14:paraId="7A9D4397">
          <w:pPr>
            <w:pStyle w:val="16"/>
            <w:tabs>
              <w:tab w:val="right" w:leader="dot" w:pos="8306"/>
            </w:tabs>
          </w:pPr>
          <w:r>
            <w:fldChar w:fldCharType="begin"/>
          </w:r>
          <w:r>
            <w:instrText xml:space="preserve"> HYPERLINK \l _Toc22976 </w:instrText>
          </w:r>
          <w:r>
            <w:fldChar w:fldCharType="separate"/>
          </w:r>
          <w:r>
            <w:rPr>
              <w:rFonts w:hint="default"/>
            </w:rPr>
            <w:t xml:space="preserve">7. </w:t>
          </w:r>
          <w:r>
            <w:t>相关文件</w:t>
          </w:r>
          <w:r>
            <w:tab/>
          </w:r>
          <w:r>
            <w:fldChar w:fldCharType="begin"/>
          </w:r>
          <w:r>
            <w:instrText xml:space="preserve"> PAGEREF _Toc22976 \h </w:instrText>
          </w:r>
          <w:r>
            <w:fldChar w:fldCharType="separate"/>
          </w:r>
          <w:r>
            <w:t>6</w:t>
          </w:r>
          <w:r>
            <w:fldChar w:fldCharType="end"/>
          </w:r>
          <w:r>
            <w:fldChar w:fldCharType="end"/>
          </w:r>
        </w:p>
        <w:p w14:paraId="7ABB6E1B">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14:paraId="067C291F">
      <w:pPr>
        <w:keepNext w:val="0"/>
        <w:keepLines w:val="0"/>
        <w:pageBreakBefore w:val="0"/>
        <w:widowControl w:val="0"/>
        <w:kinsoku w:val="0"/>
        <w:wordWrap/>
        <w:overflowPunct/>
        <w:topLinePunct w:val="0"/>
        <w:autoSpaceDE w:val="0"/>
        <w:autoSpaceDN w:val="0"/>
        <w:bidi w:val="0"/>
        <w:adjustRightInd w:val="0"/>
        <w:snapToGrid w:val="0"/>
        <w:textAlignment w:val="baseline"/>
      </w:pPr>
    </w:p>
    <w:p w14:paraId="410222D7">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28B0F38A">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_Toc23230"/>
      <w:r>
        <w:t>目的</w:t>
      </w:r>
      <w:bookmarkEnd w:id="4"/>
      <w:bookmarkEnd w:id="5"/>
    </w:p>
    <w:p w14:paraId="5BAD4062">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本文件旨在加强公司运维服务工具管理，提高工具利用率，更好地支撑公司运维服务开展，特制定本管理办法。</w:t>
      </w:r>
    </w:p>
    <w:p w14:paraId="00239C43">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6" w:name="heading_3"/>
      <w:bookmarkStart w:id="7" w:name="_Toc20397"/>
      <w:r>
        <w:t>适用范围</w:t>
      </w:r>
      <w:bookmarkEnd w:id="6"/>
      <w:bookmarkEnd w:id="7"/>
    </w:p>
    <w:p w14:paraId="59F87B37">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本办法适用于</w:t>
      </w:r>
      <w:r>
        <w:rPr>
          <w:rFonts w:hint="eastAsia"/>
          <w:lang w:val="en-US" w:eastAsia="zh-CN"/>
        </w:rPr>
        <w:t>云南腾电科技有限公司</w:t>
      </w:r>
      <w:bookmarkStart w:id="34" w:name="_GoBack"/>
      <w:bookmarkEnd w:id="34"/>
      <w:r>
        <w:t>范围内所有与运维业务相关的工具。</w:t>
      </w:r>
    </w:p>
    <w:p w14:paraId="4F119C83">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8" w:name="heading_4"/>
      <w:bookmarkStart w:id="9" w:name="_Toc20282"/>
      <w:r>
        <w:t>角色职责</w:t>
      </w:r>
      <w:bookmarkEnd w:id="8"/>
      <w:bookmarkEnd w:id="9"/>
    </w:p>
    <w:p w14:paraId="5B08C79F">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 w:name="_Toc25593"/>
      <w:r>
        <w:rPr>
          <w:rFonts w:hint="eastAsia"/>
          <w:lang w:val="en-US" w:eastAsia="zh-CN"/>
        </w:rPr>
        <w:t>运维部</w:t>
      </w:r>
      <w:bookmarkEnd w:id="10"/>
    </w:p>
    <w:p w14:paraId="332C9623">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200"/>
        <w:textAlignment w:val="baseline"/>
      </w:pPr>
      <w:r>
        <w:t>负责管理公司所有与运维业务相关的工具。</w:t>
      </w:r>
    </w:p>
    <w:p w14:paraId="15828B69">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 w:name="_Toc8252"/>
      <w:r>
        <w:t>研发部</w:t>
      </w:r>
      <w:bookmarkEnd w:id="11"/>
    </w:p>
    <w:p w14:paraId="725D0F92">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200"/>
        <w:textAlignment w:val="baseline"/>
      </w:pPr>
      <w:r>
        <w:t>负责公司运维工具的研发工作。</w:t>
      </w:r>
    </w:p>
    <w:p w14:paraId="5681E17F">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 w:name="_Toc7650"/>
      <w:bookmarkStart w:id="13" w:name="heading_5"/>
      <w:r>
        <w:t>运维服务工具管理</w:t>
      </w:r>
      <w:bookmarkEnd w:id="12"/>
      <w:bookmarkEnd w:id="13"/>
    </w:p>
    <w:p w14:paraId="0320CBB2">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运维服务工具用于固化服务过程关键环节并留存痕迹，是运维服务过程的重要辅助支撑。IT运维服务实施能力体系的建设、实施与管理，离不开运维服务工具的支持。监控工具、过程管理工具等在运维工作中的应用，可显著提升运维工作的可视性、过程组织的有效性以及操作的便利性和安全性。</w:t>
      </w:r>
    </w:p>
    <w:p w14:paraId="3DBB314E">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14" w:name="heading_6"/>
      <w:bookmarkStart w:id="15" w:name="_Toc26573"/>
      <w:r>
        <w:t>管理要求</w:t>
      </w:r>
      <w:bookmarkEnd w:id="14"/>
      <w:bookmarkEnd w:id="15"/>
    </w:p>
    <w:p w14:paraId="00D37EC1">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各部门应使用有效工具实施和管理运行维护服务，具体包括：</w:t>
      </w:r>
    </w:p>
    <w:p w14:paraId="36E13293">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监控工具：对运维服务对象进行数据采集和监控，评估可能导致服务对象故障的因素；</w:t>
      </w:r>
    </w:p>
    <w:p w14:paraId="2118BA4E">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过程工具：按照商定的SLA（服务等级协议）管理运维服务交付过程，宜包含日常运维管理、记录、测量、监督和评估等功能；</w:t>
      </w:r>
    </w:p>
    <w:p w14:paraId="6D27B5C7">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专用工具：根据运维服务对象要求配备的安全工具及满足特殊需求的工具。</w:t>
      </w:r>
    </w:p>
    <w:p w14:paraId="67DF5848">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所有运维服务工具均需配备与功能匹配的使用手册，确保工具被正确、合理使用。同时，运维服务工具需持续优化以满足不断变化的服务需求。</w:t>
      </w:r>
    </w:p>
    <w:p w14:paraId="76A628FF">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运维服务工具可通过自主研发或外部采购两种方式获取。</w:t>
      </w:r>
    </w:p>
    <w:p w14:paraId="38706BAC">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16" w:name="_Toc29414"/>
      <w:bookmarkStart w:id="17" w:name="heading_7"/>
      <w:r>
        <w:t>运维服务工具简介</w:t>
      </w:r>
      <w:bookmarkEnd w:id="16"/>
      <w:bookmarkEnd w:id="17"/>
    </w:p>
    <w:p w14:paraId="0F694680">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8" w:name="heading_8"/>
      <w:bookmarkStart w:id="19" w:name="_Toc17093"/>
      <w:r>
        <w:t>过程管理工具</w:t>
      </w:r>
      <w:bookmarkEnd w:id="18"/>
      <w:bookmarkEnd w:id="19"/>
    </w:p>
    <w:p w14:paraId="1DD23891">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过程管理工具的实施目的一是固化IT运维服务过程标准，二是提升组织的工作效率与服务能力。该工具可收集运维过程管理数据，并进行分析、整理和报告，通过合理方式展现结果，助力实现组织运维管理的自动化、标准化和规范化。</w:t>
      </w:r>
    </w:p>
    <w:p w14:paraId="1B3D0DCB">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0" w:name="heading_9"/>
      <w:bookmarkStart w:id="21" w:name="_Toc15511"/>
      <w:r>
        <w:t>监控管理工具</w:t>
      </w:r>
      <w:bookmarkEnd w:id="20"/>
      <w:bookmarkEnd w:id="21"/>
    </w:p>
    <w:p w14:paraId="6EEBCF7F">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核心功能为对运维服务对象进行数据采集和实时监控，精准评估可能导致服务对象发生故障的各类因素，为故障预防和及时处置提供数据支撑。</w:t>
      </w:r>
    </w:p>
    <w:p w14:paraId="2ECBA1DF">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2" w:name="heading_10"/>
      <w:bookmarkStart w:id="23" w:name="_Toc7168"/>
      <w:r>
        <w:t>专用工具</w:t>
      </w:r>
      <w:bookmarkEnd w:id="22"/>
      <w:bookmarkEnd w:id="23"/>
    </w:p>
    <w:p w14:paraId="2851E944">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指根据特定服务要求配备的安全工具以及用于满足特殊运维场景需求的专用工具。</w:t>
      </w:r>
    </w:p>
    <w:p w14:paraId="4D481D58">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24" w:name="heading_11"/>
      <w:bookmarkStart w:id="25" w:name="_Toc15256"/>
      <w:r>
        <w:t>运维服务工具的日常管理</w:t>
      </w:r>
      <w:bookmarkEnd w:id="24"/>
      <w:bookmarkEnd w:id="25"/>
    </w:p>
    <w:p w14:paraId="54E85293">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运维服务工具作为IT运维的重要对象，可通过工具自身实现自我管理。同时，为保障工具正常运行，组织需建立完善的日常管理机制：运维服务工具的操作手册需纳入公司知识库，确保工程师可随时获取；同时需对操作手册的版本更新进行动态维护，保障工程师使用的是最新版本。</w:t>
      </w:r>
    </w:p>
    <w:p w14:paraId="4CE3CA0A">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26" w:name="_Toc30210"/>
      <w:bookmarkStart w:id="27" w:name="heading_12"/>
      <w:r>
        <w:t>运维服务工具使用的培训</w:t>
      </w:r>
      <w:bookmarkEnd w:id="26"/>
      <w:bookmarkEnd w:id="27"/>
    </w:p>
    <w:p w14:paraId="7525F57C">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公司将运维服务工具的使用能力作为工程师的核心能力要求之一，专门设立运维服务工具使用培训课程，并定期组织考核，考核结果及相关记录需妥善留存。</w:t>
      </w:r>
    </w:p>
    <w:p w14:paraId="61BBF53C">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8" w:name="_Toc17185"/>
      <w:bookmarkStart w:id="29" w:name="heading_13"/>
      <w:r>
        <w:t>运维服务工具的评估和改进</w:t>
      </w:r>
      <w:bookmarkEnd w:id="28"/>
      <w:bookmarkEnd w:id="29"/>
    </w:p>
    <w:p w14:paraId="7EC7077D">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运维部</w:t>
      </w:r>
      <w:r>
        <w:t>需在每年的年度管理评审会议中，汇报公司运维服务工具的使用情况。会议中，联合各相关部门负责人对工具使用效果进行评估，明确改进需求。针对会议确定的改进需求，需建立跟踪机制，按计划推进落实，并及时向相关部门负责人反馈执行情况。</w:t>
      </w:r>
    </w:p>
    <w:p w14:paraId="0005FFF0">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30" w:name="_Toc20192"/>
      <w:bookmarkStart w:id="31" w:name="heading_14"/>
      <w:r>
        <w:t>KPI 指标</w:t>
      </w:r>
      <w:bookmarkEnd w:id="30"/>
      <w:bookmarkEnd w:id="31"/>
    </w:p>
    <w:p w14:paraId="4C47CE0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工具管理KPI指标设置如下：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85"/>
        <w:gridCol w:w="2229"/>
        <w:gridCol w:w="2396"/>
        <w:gridCol w:w="2070"/>
      </w:tblGrid>
      <w:tr w14:paraId="64058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85" w:type="dxa"/>
            <w:tcMar>
              <w:top w:w="60" w:type="dxa"/>
              <w:left w:w="120" w:type="dxa"/>
              <w:bottom w:w="30" w:type="dxa"/>
              <w:right w:w="120" w:type="dxa"/>
            </w:tcMar>
          </w:tcPr>
          <w:p w14:paraId="701851C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eastAsia" w:eastAsia="等线"/>
                <w:lang w:val="en-US" w:eastAsia="zh-CN"/>
              </w:rPr>
            </w:pPr>
            <w:r>
              <w:rPr>
                <w:rFonts w:ascii="Arial" w:hAnsi="Arial" w:eastAsia="等线" w:cs="Arial"/>
                <w:sz w:val="22"/>
              </w:rPr>
              <w:t>指标</w:t>
            </w:r>
            <w:r>
              <w:rPr>
                <w:rFonts w:hint="eastAsia" w:eastAsia="等线" w:cs="Arial"/>
                <w:sz w:val="22"/>
                <w:lang w:val="en-US" w:eastAsia="zh-CN"/>
              </w:rPr>
              <w:t>名称</w:t>
            </w:r>
          </w:p>
        </w:tc>
        <w:tc>
          <w:tcPr>
            <w:tcW w:w="2229" w:type="dxa"/>
            <w:tcMar>
              <w:top w:w="60" w:type="dxa"/>
              <w:left w:w="120" w:type="dxa"/>
              <w:bottom w:w="30" w:type="dxa"/>
              <w:right w:w="120" w:type="dxa"/>
            </w:tcMar>
          </w:tcPr>
          <w:p w14:paraId="57BB385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eastAsia" w:eastAsia="宋体"/>
                <w:lang w:eastAsia="zh-CN"/>
              </w:rPr>
            </w:pPr>
            <w:r>
              <w:rPr>
                <w:rFonts w:hint="eastAsia" w:eastAsia="等线" w:cs="Arial"/>
                <w:sz w:val="22"/>
                <w:lang w:val="en-US" w:eastAsia="zh-CN"/>
              </w:rPr>
              <w:t>计算方式</w:t>
            </w:r>
          </w:p>
        </w:tc>
        <w:tc>
          <w:tcPr>
            <w:tcW w:w="2396" w:type="dxa"/>
            <w:tcMar>
              <w:top w:w="60" w:type="dxa"/>
              <w:left w:w="120" w:type="dxa"/>
              <w:bottom w:w="30" w:type="dxa"/>
              <w:right w:w="120" w:type="dxa"/>
            </w:tcMar>
          </w:tcPr>
          <w:p w14:paraId="1007F95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eastAsia" w:eastAsia="宋体"/>
                <w:lang w:eastAsia="zh-CN"/>
              </w:rPr>
            </w:pPr>
            <w:r>
              <w:rPr>
                <w:rFonts w:hint="eastAsia" w:eastAsia="等线" w:cs="Arial"/>
                <w:sz w:val="22"/>
                <w:lang w:val="en-US" w:eastAsia="zh-CN"/>
              </w:rPr>
              <w:t>目标值</w:t>
            </w:r>
          </w:p>
        </w:tc>
        <w:tc>
          <w:tcPr>
            <w:tcW w:w="2070" w:type="dxa"/>
            <w:tcMar>
              <w:top w:w="60" w:type="dxa"/>
              <w:left w:w="120" w:type="dxa"/>
              <w:bottom w:w="30" w:type="dxa"/>
              <w:right w:w="120" w:type="dxa"/>
            </w:tcMar>
          </w:tcPr>
          <w:p w14:paraId="57EBB01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考核频次</w:t>
            </w:r>
          </w:p>
        </w:tc>
      </w:tr>
      <w:tr w14:paraId="42043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85" w:type="dxa"/>
            <w:shd w:val="clear" w:color="auto" w:fill="auto"/>
            <w:tcMar>
              <w:top w:w="60" w:type="dxa"/>
              <w:left w:w="120" w:type="dxa"/>
              <w:bottom w:w="30" w:type="dxa"/>
              <w:right w:w="120" w:type="dxa"/>
            </w:tcMar>
            <w:vAlign w:val="top"/>
          </w:tcPr>
          <w:p w14:paraId="1D64829B">
            <w:pPr>
              <w:pStyle w:val="27"/>
              <w:keepNext w:val="0"/>
              <w:keepLines w:val="0"/>
              <w:pageBreakBefore w:val="0"/>
              <w:widowControl w:val="0"/>
              <w:kinsoku w:val="0"/>
              <w:wordWrap/>
              <w:overflowPunct/>
              <w:topLinePunct w:val="0"/>
              <w:autoSpaceDE w:val="0"/>
              <w:autoSpaceDN w:val="0"/>
              <w:bidi w:val="0"/>
              <w:adjustRightInd w:val="0"/>
              <w:snapToGrid w:val="0"/>
              <w:spacing w:before="235" w:line="218" w:lineRule="auto"/>
              <w:textAlignment w:val="baseline"/>
              <w:rPr>
                <w:rFonts w:hint="default" w:ascii="宋体" w:hAnsi="宋体" w:eastAsia="宋体" w:cs="宋体"/>
                <w:snapToGrid w:val="0"/>
                <w:color w:val="000000"/>
                <w:kern w:val="0"/>
                <w:sz w:val="24"/>
                <w:szCs w:val="24"/>
                <w:lang w:val="en-US" w:eastAsia="zh-CN" w:bidi="ar-SA"/>
              </w:rPr>
            </w:pPr>
            <w:r>
              <w:rPr>
                <w:rFonts w:hint="eastAsia"/>
                <w:sz w:val="24"/>
                <w:szCs w:val="24"/>
                <w:lang w:val="en-US" w:eastAsia="zh-CN"/>
              </w:rPr>
              <w:t>工具自评估次数</w:t>
            </w:r>
          </w:p>
        </w:tc>
        <w:tc>
          <w:tcPr>
            <w:tcW w:w="2229" w:type="dxa"/>
            <w:shd w:val="clear" w:color="auto" w:fill="auto"/>
            <w:tcMar>
              <w:top w:w="60" w:type="dxa"/>
              <w:left w:w="120" w:type="dxa"/>
              <w:bottom w:w="30" w:type="dxa"/>
              <w:right w:w="120" w:type="dxa"/>
            </w:tcMar>
            <w:vAlign w:val="top"/>
          </w:tcPr>
          <w:p w14:paraId="5F82E1E6">
            <w:pPr>
              <w:pStyle w:val="27"/>
              <w:keepNext w:val="0"/>
              <w:keepLines w:val="0"/>
              <w:pageBreakBefore w:val="0"/>
              <w:widowControl w:val="0"/>
              <w:kinsoku w:val="0"/>
              <w:wordWrap/>
              <w:overflowPunct/>
              <w:topLinePunct w:val="0"/>
              <w:autoSpaceDE w:val="0"/>
              <w:autoSpaceDN w:val="0"/>
              <w:bidi w:val="0"/>
              <w:adjustRightInd w:val="0"/>
              <w:snapToGrid w:val="0"/>
              <w:spacing w:before="235" w:line="218" w:lineRule="auto"/>
              <w:ind w:left="118" w:leftChars="0"/>
              <w:textAlignment w:val="baseline"/>
              <w:rPr>
                <w:rFonts w:hint="default" w:ascii="宋体" w:hAnsi="宋体" w:eastAsia="宋体" w:cs="宋体"/>
                <w:snapToGrid w:val="0"/>
                <w:color w:val="000000"/>
                <w:kern w:val="0"/>
                <w:sz w:val="24"/>
                <w:szCs w:val="24"/>
                <w:lang w:val="en-US" w:eastAsia="zh-CN" w:bidi="ar-SA"/>
              </w:rPr>
            </w:pPr>
            <w:r>
              <w:rPr>
                <w:rFonts w:hint="eastAsia"/>
                <w:spacing w:val="-1"/>
                <w:sz w:val="24"/>
                <w:szCs w:val="24"/>
                <w:lang w:val="en-US" w:eastAsia="zh-CN"/>
              </w:rPr>
              <w:t>次数，对工具进行自评估次数</w:t>
            </w:r>
          </w:p>
        </w:tc>
        <w:tc>
          <w:tcPr>
            <w:tcW w:w="2396" w:type="dxa"/>
            <w:shd w:val="clear" w:color="auto" w:fill="auto"/>
            <w:tcMar>
              <w:top w:w="60" w:type="dxa"/>
              <w:left w:w="120" w:type="dxa"/>
              <w:bottom w:w="30" w:type="dxa"/>
              <w:right w:w="120" w:type="dxa"/>
            </w:tcMar>
            <w:vAlign w:val="top"/>
          </w:tcPr>
          <w:p w14:paraId="5F1A47CA">
            <w:pPr>
              <w:pStyle w:val="27"/>
              <w:keepNext w:val="0"/>
              <w:keepLines w:val="0"/>
              <w:pageBreakBefore w:val="0"/>
              <w:widowControl w:val="0"/>
              <w:kinsoku w:val="0"/>
              <w:wordWrap/>
              <w:overflowPunct/>
              <w:topLinePunct w:val="0"/>
              <w:autoSpaceDE w:val="0"/>
              <w:autoSpaceDN w:val="0"/>
              <w:bidi w:val="0"/>
              <w:adjustRightInd w:val="0"/>
              <w:snapToGrid w:val="0"/>
              <w:spacing w:before="235" w:line="237" w:lineRule="auto"/>
              <w:ind w:left="168" w:leftChars="0"/>
              <w:textAlignment w:val="baseline"/>
              <w:rPr>
                <w:rFonts w:hint="eastAsia" w:ascii="宋体" w:hAnsi="宋体" w:eastAsia="宋体" w:cs="宋体"/>
                <w:snapToGrid w:val="0"/>
                <w:color w:val="000000"/>
                <w:kern w:val="0"/>
                <w:sz w:val="24"/>
                <w:szCs w:val="24"/>
                <w:lang w:val="en-US" w:eastAsia="zh-CN" w:bidi="ar-SA"/>
              </w:rPr>
            </w:pPr>
            <w:r>
              <w:rPr>
                <w:spacing w:val="-9"/>
                <w:sz w:val="24"/>
                <w:szCs w:val="24"/>
              </w:rPr>
              <w:t>≥</w:t>
            </w:r>
            <w:r>
              <w:rPr>
                <w:rFonts w:hint="eastAsia"/>
                <w:spacing w:val="-9"/>
                <w:sz w:val="24"/>
                <w:szCs w:val="24"/>
                <w:lang w:val="en-US" w:eastAsia="zh-CN"/>
              </w:rPr>
              <w:t>1</w:t>
            </w:r>
          </w:p>
        </w:tc>
        <w:tc>
          <w:tcPr>
            <w:tcW w:w="2070" w:type="dxa"/>
            <w:shd w:val="clear" w:color="auto" w:fill="auto"/>
            <w:tcMar>
              <w:top w:w="60" w:type="dxa"/>
              <w:left w:w="120" w:type="dxa"/>
              <w:bottom w:w="30" w:type="dxa"/>
              <w:right w:w="120" w:type="dxa"/>
            </w:tcMar>
            <w:vAlign w:val="top"/>
          </w:tcPr>
          <w:p w14:paraId="25306EB7">
            <w:pPr>
              <w:pStyle w:val="27"/>
              <w:keepNext w:val="0"/>
              <w:keepLines w:val="0"/>
              <w:pageBreakBefore w:val="0"/>
              <w:widowControl w:val="0"/>
              <w:kinsoku w:val="0"/>
              <w:wordWrap/>
              <w:overflowPunct/>
              <w:topLinePunct w:val="0"/>
              <w:autoSpaceDE w:val="0"/>
              <w:autoSpaceDN w:val="0"/>
              <w:bidi w:val="0"/>
              <w:adjustRightInd w:val="0"/>
              <w:snapToGrid w:val="0"/>
              <w:spacing w:before="235" w:line="218" w:lineRule="auto"/>
              <w:ind w:left="162" w:leftChars="0"/>
              <w:textAlignment w:val="baseline"/>
              <w:rPr>
                <w:rFonts w:ascii="宋体" w:hAnsi="宋体" w:eastAsia="宋体" w:cs="宋体"/>
                <w:snapToGrid w:val="0"/>
                <w:color w:val="000000"/>
                <w:kern w:val="0"/>
                <w:sz w:val="24"/>
                <w:szCs w:val="24"/>
                <w:lang w:val="en-US" w:eastAsia="en-US" w:bidi="ar-SA"/>
              </w:rPr>
            </w:pPr>
            <w:r>
              <w:rPr>
                <w:spacing w:val="-6"/>
                <w:sz w:val="24"/>
                <w:szCs w:val="24"/>
              </w:rPr>
              <w:t>年度</w:t>
            </w:r>
          </w:p>
        </w:tc>
      </w:tr>
    </w:tbl>
    <w:p w14:paraId="33A007A9">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32" w:name="_Toc22976"/>
      <w:bookmarkStart w:id="33" w:name="heading_15"/>
      <w:r>
        <w:t>相关文件</w:t>
      </w:r>
      <w:bookmarkEnd w:id="32"/>
      <w:bookmarkEnd w:id="33"/>
    </w:p>
    <w:p w14:paraId="0A9F21A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t>《运维服务工具使用情况说明及效果自评估报告》</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DFE2410A"/>
    <w:multiLevelType w:val="singleLevel"/>
    <w:tmpl w:val="DFE2410A"/>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E865C2"/>
    <w:rsid w:val="02755A92"/>
    <w:rsid w:val="027A149C"/>
    <w:rsid w:val="028440C8"/>
    <w:rsid w:val="03431E67"/>
    <w:rsid w:val="037E2237"/>
    <w:rsid w:val="04C36455"/>
    <w:rsid w:val="05957D83"/>
    <w:rsid w:val="05B95683"/>
    <w:rsid w:val="05C017FD"/>
    <w:rsid w:val="06B74A9B"/>
    <w:rsid w:val="09B47989"/>
    <w:rsid w:val="0A2F0DBE"/>
    <w:rsid w:val="0AA03A6A"/>
    <w:rsid w:val="0E4B1F3E"/>
    <w:rsid w:val="128E7347"/>
    <w:rsid w:val="157A28AF"/>
    <w:rsid w:val="15C5554F"/>
    <w:rsid w:val="162A4334"/>
    <w:rsid w:val="17F96B12"/>
    <w:rsid w:val="1871105F"/>
    <w:rsid w:val="1A9A6727"/>
    <w:rsid w:val="1AC11F06"/>
    <w:rsid w:val="1ACB4B33"/>
    <w:rsid w:val="1B207C5E"/>
    <w:rsid w:val="1C4C39E7"/>
    <w:rsid w:val="1CFA34AD"/>
    <w:rsid w:val="1D43495B"/>
    <w:rsid w:val="1DA44932"/>
    <w:rsid w:val="1E006819"/>
    <w:rsid w:val="1EBD4792"/>
    <w:rsid w:val="1F152820"/>
    <w:rsid w:val="20F21EF0"/>
    <w:rsid w:val="210A56C3"/>
    <w:rsid w:val="21690A3C"/>
    <w:rsid w:val="218537D6"/>
    <w:rsid w:val="23D14083"/>
    <w:rsid w:val="24B14D99"/>
    <w:rsid w:val="264D6D44"/>
    <w:rsid w:val="26976211"/>
    <w:rsid w:val="27391076"/>
    <w:rsid w:val="295C2DFA"/>
    <w:rsid w:val="295F4405"/>
    <w:rsid w:val="29890093"/>
    <w:rsid w:val="2B7D22D9"/>
    <w:rsid w:val="2C8A1D4F"/>
    <w:rsid w:val="2CA23219"/>
    <w:rsid w:val="2CB17B5A"/>
    <w:rsid w:val="2ED52C6D"/>
    <w:rsid w:val="2FBB4D1E"/>
    <w:rsid w:val="2FC260AC"/>
    <w:rsid w:val="30607673"/>
    <w:rsid w:val="325C4129"/>
    <w:rsid w:val="32BA306B"/>
    <w:rsid w:val="34833930"/>
    <w:rsid w:val="350D601C"/>
    <w:rsid w:val="354B108F"/>
    <w:rsid w:val="361209CC"/>
    <w:rsid w:val="378105FB"/>
    <w:rsid w:val="38417D8A"/>
    <w:rsid w:val="38D46E50"/>
    <w:rsid w:val="39D06364"/>
    <w:rsid w:val="3A1C460B"/>
    <w:rsid w:val="3A865F28"/>
    <w:rsid w:val="3BCD6E05"/>
    <w:rsid w:val="3C0D4B53"/>
    <w:rsid w:val="3C8D3764"/>
    <w:rsid w:val="3FA22C79"/>
    <w:rsid w:val="410323DD"/>
    <w:rsid w:val="41F95D14"/>
    <w:rsid w:val="42A212FC"/>
    <w:rsid w:val="42F9198D"/>
    <w:rsid w:val="43413334"/>
    <w:rsid w:val="43DB72E5"/>
    <w:rsid w:val="44110F59"/>
    <w:rsid w:val="442C3A4A"/>
    <w:rsid w:val="457C68A6"/>
    <w:rsid w:val="467A71EB"/>
    <w:rsid w:val="487D3F41"/>
    <w:rsid w:val="4A273284"/>
    <w:rsid w:val="4BC11DD5"/>
    <w:rsid w:val="4BCD1C09"/>
    <w:rsid w:val="4BF215BE"/>
    <w:rsid w:val="4D27359B"/>
    <w:rsid w:val="4D495A2D"/>
    <w:rsid w:val="4D527006"/>
    <w:rsid w:val="4D896004"/>
    <w:rsid w:val="4E7E7051"/>
    <w:rsid w:val="4F3501F1"/>
    <w:rsid w:val="50AF18DD"/>
    <w:rsid w:val="50F67349"/>
    <w:rsid w:val="51356102"/>
    <w:rsid w:val="51D9182F"/>
    <w:rsid w:val="52AD1179"/>
    <w:rsid w:val="53245E62"/>
    <w:rsid w:val="533F163E"/>
    <w:rsid w:val="53B316E5"/>
    <w:rsid w:val="54C87412"/>
    <w:rsid w:val="54EF0E42"/>
    <w:rsid w:val="5531145B"/>
    <w:rsid w:val="55E93AE3"/>
    <w:rsid w:val="576F2F50"/>
    <w:rsid w:val="57A65048"/>
    <w:rsid w:val="58733B38"/>
    <w:rsid w:val="58FE2F4F"/>
    <w:rsid w:val="5A58763C"/>
    <w:rsid w:val="5ADC3C17"/>
    <w:rsid w:val="5AF076C2"/>
    <w:rsid w:val="5B2703BF"/>
    <w:rsid w:val="5CFE60C6"/>
    <w:rsid w:val="5E8B1BDC"/>
    <w:rsid w:val="60001B6F"/>
    <w:rsid w:val="60400411"/>
    <w:rsid w:val="615838CB"/>
    <w:rsid w:val="62C51434"/>
    <w:rsid w:val="63C24D92"/>
    <w:rsid w:val="63E967B9"/>
    <w:rsid w:val="640D6BEF"/>
    <w:rsid w:val="6499200B"/>
    <w:rsid w:val="660E3E54"/>
    <w:rsid w:val="66761E42"/>
    <w:rsid w:val="670921B5"/>
    <w:rsid w:val="67780823"/>
    <w:rsid w:val="67B33F51"/>
    <w:rsid w:val="68ED228A"/>
    <w:rsid w:val="692F13B6"/>
    <w:rsid w:val="6A0300E2"/>
    <w:rsid w:val="6A2D7FEB"/>
    <w:rsid w:val="6A591EC9"/>
    <w:rsid w:val="6A8A71EB"/>
    <w:rsid w:val="6B60619E"/>
    <w:rsid w:val="6BC4672D"/>
    <w:rsid w:val="6E0A419F"/>
    <w:rsid w:val="6EB63269"/>
    <w:rsid w:val="6F5E47A3"/>
    <w:rsid w:val="6F7C0E99"/>
    <w:rsid w:val="70052E70"/>
    <w:rsid w:val="70141305"/>
    <w:rsid w:val="701B6B38"/>
    <w:rsid w:val="71E9433F"/>
    <w:rsid w:val="72B156D0"/>
    <w:rsid w:val="74542618"/>
    <w:rsid w:val="74634609"/>
    <w:rsid w:val="765608C9"/>
    <w:rsid w:val="76BB072D"/>
    <w:rsid w:val="78C25DA2"/>
    <w:rsid w:val="78FB3062"/>
    <w:rsid w:val="79314CD6"/>
    <w:rsid w:val="7B542D03"/>
    <w:rsid w:val="7C1F350C"/>
    <w:rsid w:val="7CB67090"/>
    <w:rsid w:val="7CEE584C"/>
    <w:rsid w:val="7D741635"/>
    <w:rsid w:val="7EA366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table" w:customStyle="1" w:styleId="42">
    <w:name w:val="Table Normal_0"/>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1438</Words>
  <Characters>1569</Characters>
  <Lines>0</Lines>
  <Paragraphs>0</Paragraphs>
  <TotalTime>0</TotalTime>
  <ScaleCrop>false</ScaleCrop>
  <LinksUpToDate>false</LinksUpToDate>
  <CharactersWithSpaces>1647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2025-09-06T12:49:00Z</dcterms:created>
  <dc:creator>18442</dc:creator>
  <cp:lastModifiedBy>郝宇</cp:lastModifiedBy>
  <dcterms:modified xsi:type="dcterms:W3CDTF">2026-02-19T03:34:31Z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0D32182671224755A6D4CE835A5A6EA6_12</vt:lpwstr>
  </property>
  <property fmtid="{D5CDD505-2E9C-101B-9397-08002B2CF9AE}" pid="4" name="KSOTemplateDocerSaveRecord">
    <vt:lpwstr>eyJoZGlkIjoiZWI4NmUzMGY2ODA3MDc4ZTFlMjZjZTAyMjM0NmVmODgiLCJ1c2VySWQiOiIxMDc1MzgyOSJ9</vt:lpwstr>
  </property>
</Properties>
</file>