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18052"/>
      <w:bookmarkStart w:id="1" w:name="_Toc5405"/>
      <w:r>
        <w:drawing>
          <wp:anchor distT="0" distB="0" distL="114300" distR="114300" simplePos="0" relativeHeight="251659264" behindDoc="1" locked="0" layoutInCell="1" allowOverlap="1">
            <wp:simplePos x="0" y="0"/>
            <wp:positionH relativeFrom="column">
              <wp:posOffset>-1186815</wp:posOffset>
            </wp:positionH>
            <wp:positionV relativeFrom="paragraph">
              <wp:posOffset>30480</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云南腾电科技有限公司</w:t>
      </w:r>
      <w:bookmarkEnd w:id="0"/>
      <w:bookmarkEnd w:id="1"/>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2" w:name="_Toc17094"/>
      <w:r>
        <w:rPr>
          <w:rFonts w:hint="eastAsia"/>
          <w:lang w:val="en-US" w:eastAsia="zh-CN"/>
        </w:rPr>
        <w:t>运维服务能力管理计划</w:t>
      </w:r>
      <w:bookmarkEnd w:id="2"/>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3" w:name="_Toc6909"/>
      <w:bookmarkStart w:id="4" w:name="_Toc11725"/>
      <w:r>
        <w:rPr>
          <w:rFonts w:hint="eastAsia"/>
          <w:lang w:val="en-US" w:eastAsia="zh-CN"/>
        </w:rPr>
        <w:t>（YNTD-ITSS-0303）</w:t>
      </w:r>
      <w:bookmarkEnd w:id="3"/>
      <w:bookmarkEnd w:id="4"/>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吴杰</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5" w:name="_Toc5372"/>
      <w:bookmarkStart w:id="6" w:name="_Toc17696"/>
      <w:r>
        <w:rPr>
          <w:rFonts w:ascii="宋体" w:hAnsi="宋体" w:eastAsia="宋体" w:cs="宋体"/>
          <w:b/>
          <w:bCs/>
          <w:spacing w:val="-4"/>
          <w:sz w:val="30"/>
          <w:szCs w:val="30"/>
        </w:rPr>
        <w:t>文件编制和变更履历</w:t>
      </w:r>
      <w:bookmarkEnd w:id="5"/>
      <w:bookmarkEnd w:id="6"/>
    </w:p>
    <w:tbl>
      <w:tblPr>
        <w:tblStyle w:val="26"/>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吴杰</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8375159">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1A3AD76">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_Toc5405 </w:instrText>
          </w:r>
          <w:r>
            <w:rPr>
              <w:rFonts w:hint="eastAsia" w:ascii="宋体" w:hAnsi="宋体" w:eastAsia="宋体" w:cs="宋体"/>
              <w:szCs w:val="24"/>
            </w:rPr>
            <w:fldChar w:fldCharType="separate"/>
          </w:r>
          <w:r>
            <w:rPr>
              <w:rFonts w:hint="eastAsia"/>
              <w:lang w:val="en-US" w:eastAsia="zh-CN"/>
            </w:rPr>
            <w:t>云南腾电科技有限公司</w:t>
          </w:r>
          <w:r>
            <w:tab/>
          </w:r>
          <w:r>
            <w:fldChar w:fldCharType="begin"/>
          </w:r>
          <w:r>
            <w:instrText xml:space="preserve"> PAGEREF _Toc5405 \h </w:instrText>
          </w:r>
          <w:r>
            <w:fldChar w:fldCharType="separate"/>
          </w:r>
          <w:r>
            <w:t>1</w:t>
          </w:r>
          <w:r>
            <w:fldChar w:fldCharType="end"/>
          </w:r>
          <w:r>
            <w:rPr>
              <w:rFonts w:hint="eastAsia" w:ascii="宋体" w:hAnsi="宋体" w:eastAsia="宋体" w:cs="宋体"/>
              <w:szCs w:val="24"/>
            </w:rPr>
            <w:fldChar w:fldCharType="end"/>
          </w:r>
        </w:p>
        <w:p w14:paraId="714843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_Toc17094 </w:instrText>
          </w:r>
          <w:r>
            <w:rPr>
              <w:rFonts w:hint="eastAsia" w:ascii="宋体" w:hAnsi="宋体" w:eastAsia="宋体" w:cs="宋体"/>
              <w:szCs w:val="24"/>
            </w:rPr>
            <w:fldChar w:fldCharType="separate"/>
          </w:r>
          <w:r>
            <w:rPr>
              <w:rFonts w:hint="eastAsia"/>
              <w:lang w:val="en-US" w:eastAsia="zh-CN"/>
            </w:rPr>
            <w:t>运维服务能力管理计划</w:t>
          </w:r>
          <w:r>
            <w:tab/>
          </w:r>
          <w:r>
            <w:fldChar w:fldCharType="begin"/>
          </w:r>
          <w:r>
            <w:instrText xml:space="preserve"> PAGEREF _Toc17094 \h </w:instrText>
          </w:r>
          <w:r>
            <w:fldChar w:fldCharType="separate"/>
          </w:r>
          <w:r>
            <w:t>1</w:t>
          </w:r>
          <w:r>
            <w:fldChar w:fldCharType="end"/>
          </w:r>
          <w:r>
            <w:rPr>
              <w:rFonts w:hint="eastAsia" w:ascii="宋体" w:hAnsi="宋体" w:eastAsia="宋体" w:cs="宋体"/>
              <w:szCs w:val="24"/>
            </w:rPr>
            <w:fldChar w:fldCharType="end"/>
          </w:r>
        </w:p>
        <w:p w14:paraId="4DC3155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_Toc11725 </w:instrText>
          </w:r>
          <w:r>
            <w:rPr>
              <w:rFonts w:hint="eastAsia" w:ascii="宋体" w:hAnsi="宋体" w:eastAsia="宋体" w:cs="宋体"/>
              <w:szCs w:val="24"/>
            </w:rPr>
            <w:fldChar w:fldCharType="separate"/>
          </w:r>
          <w:r>
            <w:rPr>
              <w:rFonts w:hint="eastAsia"/>
              <w:lang w:val="en-US" w:eastAsia="zh-CN"/>
            </w:rPr>
            <w:t>（YNTD-ITSS-0303）</w:t>
          </w:r>
          <w:r>
            <w:tab/>
          </w:r>
          <w:r>
            <w:fldChar w:fldCharType="begin"/>
          </w:r>
          <w:r>
            <w:instrText xml:space="preserve"> PAGEREF _Toc11725 \h </w:instrText>
          </w:r>
          <w:r>
            <w:fldChar w:fldCharType="separate"/>
          </w:r>
          <w:r>
            <w:t>1</w:t>
          </w:r>
          <w:r>
            <w:fldChar w:fldCharType="end"/>
          </w:r>
          <w:r>
            <w:rPr>
              <w:rFonts w:hint="eastAsia" w:ascii="宋体" w:hAnsi="宋体" w:eastAsia="宋体" w:cs="宋体"/>
              <w:szCs w:val="24"/>
            </w:rPr>
            <w:fldChar w:fldCharType="end"/>
          </w:r>
        </w:p>
        <w:p w14:paraId="1119073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_Toc17696 </w:instrText>
          </w:r>
          <w:r>
            <w:rPr>
              <w:rFonts w:hint="eastAsia" w:ascii="宋体" w:hAnsi="宋体" w:eastAsia="宋体" w:cs="宋体"/>
              <w:szCs w:val="24"/>
            </w:rPr>
            <w:fldChar w:fldCharType="separate"/>
          </w:r>
          <w:r>
            <w:rPr>
              <w:rFonts w:ascii="宋体" w:hAnsi="宋体" w:eastAsia="宋体" w:cs="宋体"/>
              <w:bCs/>
              <w:spacing w:val="-4"/>
              <w:szCs w:val="30"/>
            </w:rPr>
            <w:t>文件编制和变更履历</w:t>
          </w:r>
          <w:r>
            <w:tab/>
          </w:r>
          <w:r>
            <w:fldChar w:fldCharType="begin"/>
          </w:r>
          <w:r>
            <w:instrText xml:space="preserve"> PAGEREF _Toc17696 \h </w:instrText>
          </w:r>
          <w:r>
            <w:fldChar w:fldCharType="separate"/>
          </w:r>
          <w:r>
            <w:t>2</w:t>
          </w:r>
          <w:r>
            <w:fldChar w:fldCharType="end"/>
          </w:r>
          <w:r>
            <w:rPr>
              <w:rFonts w:hint="eastAsia" w:ascii="宋体" w:hAnsi="宋体" w:eastAsia="宋体" w:cs="宋体"/>
              <w:szCs w:val="24"/>
            </w:rPr>
            <w:fldChar w:fldCharType="end"/>
          </w:r>
        </w:p>
        <w:p w14:paraId="279CFC7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_Toc6301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_Toc6301 \h </w:instrText>
          </w:r>
          <w:r>
            <w:fldChar w:fldCharType="separate"/>
          </w:r>
          <w:r>
            <w:t>5</w:t>
          </w:r>
          <w:r>
            <w:fldChar w:fldCharType="end"/>
          </w:r>
          <w:r>
            <w:rPr>
              <w:rFonts w:hint="eastAsia" w:ascii="宋体" w:hAnsi="宋体" w:eastAsia="宋体" w:cs="宋体"/>
              <w:szCs w:val="24"/>
            </w:rPr>
            <w:fldChar w:fldCharType="end"/>
          </w:r>
        </w:p>
        <w:p w14:paraId="60E77C2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_Toc10680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_Toc10680 \h </w:instrText>
          </w:r>
          <w:r>
            <w:fldChar w:fldCharType="separate"/>
          </w:r>
          <w:r>
            <w:t>5</w:t>
          </w:r>
          <w:r>
            <w:fldChar w:fldCharType="end"/>
          </w:r>
          <w:r>
            <w:rPr>
              <w:rFonts w:hint="eastAsia" w:ascii="宋体" w:hAnsi="宋体" w:eastAsia="宋体" w:cs="宋体"/>
              <w:szCs w:val="24"/>
            </w:rPr>
            <w:fldChar w:fldCharType="end"/>
          </w:r>
        </w:p>
        <w:p w14:paraId="73C7126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_Toc3044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_Toc3044 \h </w:instrText>
          </w:r>
          <w:r>
            <w:fldChar w:fldCharType="separate"/>
          </w:r>
          <w:r>
            <w:t>5</w:t>
          </w:r>
          <w:r>
            <w:fldChar w:fldCharType="end"/>
          </w:r>
          <w:r>
            <w:rPr>
              <w:rFonts w:hint="eastAsia" w:ascii="宋体" w:hAnsi="宋体" w:eastAsia="宋体" w:cs="宋体"/>
              <w:szCs w:val="24"/>
            </w:rPr>
            <w:fldChar w:fldCharType="end"/>
          </w:r>
        </w:p>
        <w:p w14:paraId="10DFF7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_Toc15443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运维能力管理实施</w:t>
          </w:r>
          <w:r>
            <w:tab/>
          </w:r>
          <w:r>
            <w:fldChar w:fldCharType="begin"/>
          </w:r>
          <w:r>
            <w:instrText xml:space="preserve"> PAGEREF _Toc15443 \h </w:instrText>
          </w:r>
          <w:r>
            <w:fldChar w:fldCharType="separate"/>
          </w:r>
          <w:r>
            <w:t>5</w:t>
          </w:r>
          <w:r>
            <w:fldChar w:fldCharType="end"/>
          </w:r>
          <w:r>
            <w:rPr>
              <w:rFonts w:hint="eastAsia" w:ascii="宋体" w:hAnsi="宋体" w:eastAsia="宋体" w:cs="宋体"/>
              <w:szCs w:val="24"/>
            </w:rPr>
            <w:fldChar w:fldCharType="end"/>
          </w:r>
        </w:p>
        <w:p w14:paraId="60D69C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_Toc8158 </w:instrText>
          </w:r>
          <w:r>
            <w:rPr>
              <w:rFonts w:hint="eastAsia" w:ascii="宋体" w:hAnsi="宋体" w:eastAsia="宋体" w:cs="宋体"/>
              <w:szCs w:val="24"/>
            </w:rPr>
            <w:fldChar w:fldCharType="separate"/>
          </w:r>
          <w:r>
            <w:rPr>
              <w:rFonts w:hint="default"/>
            </w:rPr>
            <w:t xml:space="preserve">4.1. </w:t>
          </w:r>
          <w:r>
            <w:t>人员</w:t>
          </w:r>
          <w:r>
            <w:tab/>
          </w:r>
          <w:r>
            <w:fldChar w:fldCharType="begin"/>
          </w:r>
          <w:r>
            <w:instrText xml:space="preserve"> PAGEREF _Toc8158 \h </w:instrText>
          </w:r>
          <w:r>
            <w:fldChar w:fldCharType="separate"/>
          </w:r>
          <w:r>
            <w:t>5</w:t>
          </w:r>
          <w:r>
            <w:fldChar w:fldCharType="end"/>
          </w:r>
          <w:r>
            <w:rPr>
              <w:rFonts w:hint="eastAsia" w:ascii="宋体" w:hAnsi="宋体" w:eastAsia="宋体" w:cs="宋体"/>
              <w:szCs w:val="24"/>
            </w:rPr>
            <w:fldChar w:fldCharType="end"/>
          </w:r>
        </w:p>
        <w:p w14:paraId="50DAC0B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_Toc27045 </w:instrText>
          </w:r>
          <w:r>
            <w:rPr>
              <w:rFonts w:hint="eastAsia" w:ascii="宋体" w:hAnsi="宋体" w:eastAsia="宋体" w:cs="宋体"/>
              <w:szCs w:val="24"/>
            </w:rPr>
            <w:fldChar w:fldCharType="separate"/>
          </w:r>
          <w:r>
            <w:rPr>
              <w:rFonts w:hint="default"/>
              <w:lang w:val="en-US" w:eastAsia="zh-CN"/>
            </w:rPr>
            <w:t xml:space="preserve">4.1.1. </w:t>
          </w:r>
          <w:r>
            <w:rPr>
              <w:rFonts w:hint="eastAsia"/>
              <w:lang w:val="en-US" w:eastAsia="zh-CN"/>
            </w:rPr>
            <w:t>人员招聘计划</w:t>
          </w:r>
          <w:r>
            <w:tab/>
          </w:r>
          <w:r>
            <w:fldChar w:fldCharType="begin"/>
          </w:r>
          <w:r>
            <w:instrText xml:space="preserve"> PAGEREF _Toc27045 \h </w:instrText>
          </w:r>
          <w:r>
            <w:fldChar w:fldCharType="separate"/>
          </w:r>
          <w:r>
            <w:t>5</w:t>
          </w:r>
          <w:r>
            <w:fldChar w:fldCharType="end"/>
          </w:r>
          <w:r>
            <w:rPr>
              <w:rFonts w:hint="eastAsia" w:ascii="宋体" w:hAnsi="宋体" w:eastAsia="宋体" w:cs="宋体"/>
              <w:szCs w:val="24"/>
            </w:rPr>
            <w:fldChar w:fldCharType="end"/>
          </w:r>
        </w:p>
        <w:p w14:paraId="3170726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_Toc30280 </w:instrText>
          </w:r>
          <w:r>
            <w:rPr>
              <w:rFonts w:hint="eastAsia" w:ascii="宋体" w:hAnsi="宋体" w:eastAsia="宋体" w:cs="宋体"/>
              <w:szCs w:val="24"/>
            </w:rPr>
            <w:fldChar w:fldCharType="separate"/>
          </w:r>
          <w:r>
            <w:rPr>
              <w:rFonts w:hint="default"/>
              <w:lang w:val="en-US" w:eastAsia="zh-CN"/>
            </w:rPr>
            <w:t xml:space="preserve">4.1.2. </w:t>
          </w:r>
          <w:r>
            <w:rPr>
              <w:rFonts w:hint="eastAsia"/>
              <w:lang w:val="en-US" w:eastAsia="zh-CN"/>
            </w:rPr>
            <w:t>人员储备计划</w:t>
          </w:r>
          <w:r>
            <w:tab/>
          </w:r>
          <w:r>
            <w:fldChar w:fldCharType="begin"/>
          </w:r>
          <w:r>
            <w:instrText xml:space="preserve"> PAGEREF _Toc30280 \h </w:instrText>
          </w:r>
          <w:r>
            <w:fldChar w:fldCharType="separate"/>
          </w:r>
          <w:r>
            <w:t>6</w:t>
          </w:r>
          <w:r>
            <w:fldChar w:fldCharType="end"/>
          </w:r>
          <w:r>
            <w:rPr>
              <w:rFonts w:hint="eastAsia" w:ascii="宋体" w:hAnsi="宋体" w:eastAsia="宋体" w:cs="宋体"/>
              <w:szCs w:val="24"/>
            </w:rPr>
            <w:fldChar w:fldCharType="end"/>
          </w:r>
        </w:p>
        <w:p w14:paraId="269644A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_Toc31976 </w:instrText>
          </w:r>
          <w:r>
            <w:rPr>
              <w:rFonts w:hint="eastAsia" w:ascii="宋体" w:hAnsi="宋体" w:eastAsia="宋体" w:cs="宋体"/>
              <w:szCs w:val="24"/>
            </w:rPr>
            <w:fldChar w:fldCharType="separate"/>
          </w:r>
          <w:r>
            <w:rPr>
              <w:rFonts w:hint="default"/>
              <w:lang w:val="en-US" w:eastAsia="zh-CN"/>
            </w:rPr>
            <w:t xml:space="preserve">4.1.3. </w:t>
          </w:r>
          <w:r>
            <w:rPr>
              <w:rFonts w:hint="eastAsia"/>
              <w:lang w:val="en-US" w:eastAsia="zh-CN"/>
            </w:rPr>
            <w:t>人员培训计划</w:t>
          </w:r>
          <w:r>
            <w:tab/>
          </w:r>
          <w:r>
            <w:fldChar w:fldCharType="begin"/>
          </w:r>
          <w:r>
            <w:instrText xml:space="preserve"> PAGEREF _Toc31976 \h </w:instrText>
          </w:r>
          <w:r>
            <w:fldChar w:fldCharType="separate"/>
          </w:r>
          <w:r>
            <w:t>7</w:t>
          </w:r>
          <w:r>
            <w:fldChar w:fldCharType="end"/>
          </w:r>
          <w:r>
            <w:rPr>
              <w:rFonts w:hint="eastAsia" w:ascii="宋体" w:hAnsi="宋体" w:eastAsia="宋体" w:cs="宋体"/>
              <w:szCs w:val="24"/>
            </w:rPr>
            <w:fldChar w:fldCharType="end"/>
          </w:r>
        </w:p>
        <w:p w14:paraId="463F9E5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_Toc25631 </w:instrText>
          </w:r>
          <w:r>
            <w:rPr>
              <w:rFonts w:hint="eastAsia" w:ascii="宋体" w:hAnsi="宋体" w:eastAsia="宋体" w:cs="宋体"/>
              <w:szCs w:val="24"/>
            </w:rPr>
            <w:fldChar w:fldCharType="separate"/>
          </w:r>
          <w:r>
            <w:rPr>
              <w:rFonts w:hint="default"/>
              <w:lang w:val="en-US" w:eastAsia="zh-CN"/>
            </w:rPr>
            <w:t xml:space="preserve">4.1.4. </w:t>
          </w:r>
          <w:r>
            <w:rPr>
              <w:rFonts w:hint="eastAsia"/>
              <w:lang w:val="en-US" w:eastAsia="zh-CN"/>
            </w:rPr>
            <w:t>人员备份计划</w:t>
          </w:r>
          <w:r>
            <w:tab/>
          </w:r>
          <w:r>
            <w:fldChar w:fldCharType="begin"/>
          </w:r>
          <w:r>
            <w:instrText xml:space="preserve"> PAGEREF _Toc25631 \h </w:instrText>
          </w:r>
          <w:r>
            <w:fldChar w:fldCharType="separate"/>
          </w:r>
          <w:r>
            <w:t>11</w:t>
          </w:r>
          <w:r>
            <w:fldChar w:fldCharType="end"/>
          </w:r>
          <w:r>
            <w:rPr>
              <w:rFonts w:hint="eastAsia" w:ascii="宋体" w:hAnsi="宋体" w:eastAsia="宋体" w:cs="宋体"/>
              <w:szCs w:val="24"/>
            </w:rPr>
            <w:fldChar w:fldCharType="end"/>
          </w:r>
        </w:p>
        <w:p w14:paraId="71A8572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_Toc31526 </w:instrText>
          </w:r>
          <w:r>
            <w:rPr>
              <w:rFonts w:hint="eastAsia" w:ascii="宋体" w:hAnsi="宋体" w:eastAsia="宋体" w:cs="宋体"/>
              <w:szCs w:val="24"/>
            </w:rPr>
            <w:fldChar w:fldCharType="separate"/>
          </w:r>
          <w:r>
            <w:rPr>
              <w:rFonts w:hint="default"/>
              <w:lang w:val="en-US" w:eastAsia="zh-CN"/>
            </w:rPr>
            <w:t xml:space="preserve">4.1.5. </w:t>
          </w:r>
          <w:r>
            <w:rPr>
              <w:rFonts w:hint="eastAsia"/>
              <w:lang w:val="en-US" w:eastAsia="zh-CN"/>
            </w:rPr>
            <w:t>人员绩效考核计划</w:t>
          </w:r>
          <w:r>
            <w:tab/>
          </w:r>
          <w:r>
            <w:fldChar w:fldCharType="begin"/>
          </w:r>
          <w:r>
            <w:instrText xml:space="preserve"> PAGEREF _Toc31526 \h </w:instrText>
          </w:r>
          <w:r>
            <w:fldChar w:fldCharType="separate"/>
          </w:r>
          <w:r>
            <w:t>12</w:t>
          </w:r>
          <w:r>
            <w:fldChar w:fldCharType="end"/>
          </w:r>
          <w:r>
            <w:rPr>
              <w:rFonts w:hint="eastAsia" w:ascii="宋体" w:hAnsi="宋体" w:eastAsia="宋体" w:cs="宋体"/>
              <w:szCs w:val="24"/>
            </w:rPr>
            <w:fldChar w:fldCharType="end"/>
          </w:r>
        </w:p>
        <w:p w14:paraId="1B8B67E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_Toc22076 </w:instrText>
          </w:r>
          <w:r>
            <w:rPr>
              <w:rFonts w:hint="eastAsia" w:ascii="宋体" w:hAnsi="宋体" w:eastAsia="宋体" w:cs="宋体"/>
              <w:szCs w:val="24"/>
            </w:rPr>
            <w:fldChar w:fldCharType="separate"/>
          </w:r>
          <w:r>
            <w:rPr>
              <w:rFonts w:hint="default"/>
              <w:lang w:val="en-US" w:eastAsia="zh-CN"/>
            </w:rPr>
            <w:t xml:space="preserve">4.1.6. </w:t>
          </w:r>
          <w:r>
            <w:rPr>
              <w:rFonts w:hint="eastAsia"/>
              <w:lang w:val="en-US" w:eastAsia="zh-CN"/>
            </w:rPr>
            <w:t>人员能力评价计划</w:t>
          </w:r>
          <w:r>
            <w:tab/>
          </w:r>
          <w:r>
            <w:fldChar w:fldCharType="begin"/>
          </w:r>
          <w:r>
            <w:instrText xml:space="preserve"> PAGEREF _Toc22076 \h </w:instrText>
          </w:r>
          <w:r>
            <w:fldChar w:fldCharType="separate"/>
          </w:r>
          <w:r>
            <w:t>12</w:t>
          </w:r>
          <w:r>
            <w:fldChar w:fldCharType="end"/>
          </w:r>
          <w:r>
            <w:rPr>
              <w:rFonts w:hint="eastAsia" w:ascii="宋体" w:hAnsi="宋体" w:eastAsia="宋体" w:cs="宋体"/>
              <w:szCs w:val="24"/>
            </w:rPr>
            <w:fldChar w:fldCharType="end"/>
          </w:r>
        </w:p>
        <w:p w14:paraId="549927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_Toc4581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资源</w:t>
          </w:r>
          <w:r>
            <w:tab/>
          </w:r>
          <w:r>
            <w:fldChar w:fldCharType="begin"/>
          </w:r>
          <w:r>
            <w:instrText xml:space="preserve"> PAGEREF _Toc4581 \h </w:instrText>
          </w:r>
          <w:r>
            <w:fldChar w:fldCharType="separate"/>
          </w:r>
          <w:r>
            <w:t>12</w:t>
          </w:r>
          <w:r>
            <w:fldChar w:fldCharType="end"/>
          </w:r>
          <w:r>
            <w:rPr>
              <w:rFonts w:hint="eastAsia" w:ascii="宋体" w:hAnsi="宋体" w:eastAsia="宋体" w:cs="宋体"/>
              <w:szCs w:val="24"/>
            </w:rPr>
            <w:fldChar w:fldCharType="end"/>
          </w:r>
        </w:p>
        <w:p w14:paraId="67C8567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_Toc12253 </w:instrText>
          </w:r>
          <w:r>
            <w:rPr>
              <w:rFonts w:hint="eastAsia" w:ascii="宋体" w:hAnsi="宋体" w:eastAsia="宋体" w:cs="宋体"/>
              <w:szCs w:val="24"/>
            </w:rPr>
            <w:fldChar w:fldCharType="separate"/>
          </w:r>
          <w:r>
            <w:rPr>
              <w:rFonts w:hint="default"/>
            </w:rPr>
            <w:t xml:space="preserve">4.2.1. </w:t>
          </w:r>
          <w:r>
            <w:t>运行维护工具</w:t>
          </w:r>
          <w:r>
            <w:tab/>
          </w:r>
          <w:r>
            <w:fldChar w:fldCharType="begin"/>
          </w:r>
          <w:r>
            <w:instrText xml:space="preserve"> PAGEREF _Toc12253 \h </w:instrText>
          </w:r>
          <w:r>
            <w:fldChar w:fldCharType="separate"/>
          </w:r>
          <w:r>
            <w:t>12</w:t>
          </w:r>
          <w:r>
            <w:fldChar w:fldCharType="end"/>
          </w:r>
          <w:r>
            <w:rPr>
              <w:rFonts w:hint="eastAsia" w:ascii="宋体" w:hAnsi="宋体" w:eastAsia="宋体" w:cs="宋体"/>
              <w:szCs w:val="24"/>
            </w:rPr>
            <w:fldChar w:fldCharType="end"/>
          </w:r>
        </w:p>
        <w:p w14:paraId="68EB6E5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_Toc31758 </w:instrText>
          </w:r>
          <w:r>
            <w:rPr>
              <w:rFonts w:hint="eastAsia" w:ascii="宋体" w:hAnsi="宋体" w:eastAsia="宋体" w:cs="宋体"/>
              <w:szCs w:val="24"/>
            </w:rPr>
            <w:fldChar w:fldCharType="separate"/>
          </w:r>
          <w:r>
            <w:rPr>
              <w:rFonts w:hint="default"/>
              <w:lang w:val="en-US" w:eastAsia="zh-CN"/>
            </w:rPr>
            <w:t xml:space="preserve">4.2.2. </w:t>
          </w:r>
          <w:r>
            <w:rPr>
              <w:rFonts w:hint="eastAsia"/>
              <w:lang w:val="en-US" w:eastAsia="zh-CN"/>
            </w:rPr>
            <w:t>服务台</w:t>
          </w:r>
          <w:r>
            <w:tab/>
          </w:r>
          <w:r>
            <w:fldChar w:fldCharType="begin"/>
          </w:r>
          <w:r>
            <w:instrText xml:space="preserve"> PAGEREF _Toc31758 \h </w:instrText>
          </w:r>
          <w:r>
            <w:fldChar w:fldCharType="separate"/>
          </w:r>
          <w:r>
            <w:t>12</w:t>
          </w:r>
          <w:r>
            <w:fldChar w:fldCharType="end"/>
          </w:r>
          <w:r>
            <w:rPr>
              <w:rFonts w:hint="eastAsia" w:ascii="宋体" w:hAnsi="宋体" w:eastAsia="宋体" w:cs="宋体"/>
              <w:szCs w:val="24"/>
            </w:rPr>
            <w:fldChar w:fldCharType="end"/>
          </w:r>
        </w:p>
        <w:p w14:paraId="242066A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_Toc6745 </w:instrText>
          </w:r>
          <w:r>
            <w:rPr>
              <w:rFonts w:hint="eastAsia" w:ascii="宋体" w:hAnsi="宋体" w:eastAsia="宋体" w:cs="宋体"/>
              <w:szCs w:val="24"/>
            </w:rPr>
            <w:fldChar w:fldCharType="separate"/>
          </w:r>
          <w:r>
            <w:rPr>
              <w:rFonts w:hint="default"/>
              <w:lang w:val="en-US" w:eastAsia="zh-CN"/>
            </w:rPr>
            <w:t xml:space="preserve">4.2.3. </w:t>
          </w:r>
          <w:r>
            <w:rPr>
              <w:rFonts w:hint="eastAsia"/>
              <w:lang w:val="en-US" w:eastAsia="zh-CN"/>
            </w:rPr>
            <w:t>备件库</w:t>
          </w:r>
          <w:r>
            <w:tab/>
          </w:r>
          <w:r>
            <w:fldChar w:fldCharType="begin"/>
          </w:r>
          <w:r>
            <w:instrText xml:space="preserve"> PAGEREF _Toc6745 \h </w:instrText>
          </w:r>
          <w:r>
            <w:fldChar w:fldCharType="separate"/>
          </w:r>
          <w:r>
            <w:t>13</w:t>
          </w:r>
          <w:r>
            <w:fldChar w:fldCharType="end"/>
          </w:r>
          <w:r>
            <w:rPr>
              <w:rFonts w:hint="eastAsia" w:ascii="宋体" w:hAnsi="宋体" w:eastAsia="宋体" w:cs="宋体"/>
              <w:szCs w:val="24"/>
            </w:rPr>
            <w:fldChar w:fldCharType="end"/>
          </w:r>
        </w:p>
        <w:p w14:paraId="4B967DE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_Toc5970 </w:instrText>
          </w:r>
          <w:r>
            <w:rPr>
              <w:rFonts w:hint="eastAsia" w:ascii="宋体" w:hAnsi="宋体" w:eastAsia="宋体" w:cs="宋体"/>
              <w:szCs w:val="24"/>
            </w:rPr>
            <w:fldChar w:fldCharType="separate"/>
          </w:r>
          <w:r>
            <w:rPr>
              <w:rFonts w:hint="default"/>
              <w:lang w:val="en-US" w:eastAsia="zh-CN"/>
            </w:rPr>
            <w:t xml:space="preserve">4.2.4. </w:t>
          </w:r>
          <w:r>
            <w:rPr>
              <w:rFonts w:hint="eastAsia"/>
              <w:lang w:val="en-US" w:eastAsia="zh-CN"/>
            </w:rPr>
            <w:t>服务知识</w:t>
          </w:r>
          <w:r>
            <w:tab/>
          </w:r>
          <w:r>
            <w:fldChar w:fldCharType="begin"/>
          </w:r>
          <w:r>
            <w:instrText xml:space="preserve"> PAGEREF _Toc5970 \h </w:instrText>
          </w:r>
          <w:r>
            <w:fldChar w:fldCharType="separate"/>
          </w:r>
          <w:r>
            <w:t>13</w:t>
          </w:r>
          <w:r>
            <w:fldChar w:fldCharType="end"/>
          </w:r>
          <w:r>
            <w:rPr>
              <w:rFonts w:hint="eastAsia" w:ascii="宋体" w:hAnsi="宋体" w:eastAsia="宋体" w:cs="宋体"/>
              <w:szCs w:val="24"/>
            </w:rPr>
            <w:fldChar w:fldCharType="end"/>
          </w:r>
        </w:p>
        <w:p w14:paraId="2675429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_Toc14223 </w:instrText>
          </w:r>
          <w:r>
            <w:rPr>
              <w:rFonts w:hint="eastAsia" w:ascii="宋体" w:hAnsi="宋体" w:eastAsia="宋体" w:cs="宋体"/>
              <w:szCs w:val="24"/>
            </w:rPr>
            <w:fldChar w:fldCharType="separate"/>
          </w:r>
          <w:r>
            <w:rPr>
              <w:rFonts w:hint="default"/>
              <w:lang w:val="en-US" w:eastAsia="zh-CN"/>
            </w:rPr>
            <w:t xml:space="preserve">4.2.5. </w:t>
          </w:r>
          <w:r>
            <w:rPr>
              <w:rFonts w:hint="eastAsia"/>
              <w:lang w:val="en-US" w:eastAsia="zh-CN"/>
            </w:rPr>
            <w:t>最终软件库</w:t>
          </w:r>
          <w:r>
            <w:tab/>
          </w:r>
          <w:r>
            <w:fldChar w:fldCharType="begin"/>
          </w:r>
          <w:r>
            <w:instrText xml:space="preserve"> PAGEREF _Toc14223 \h </w:instrText>
          </w:r>
          <w:r>
            <w:fldChar w:fldCharType="separate"/>
          </w:r>
          <w:r>
            <w:t>13</w:t>
          </w:r>
          <w:r>
            <w:fldChar w:fldCharType="end"/>
          </w:r>
          <w:r>
            <w:rPr>
              <w:rFonts w:hint="eastAsia" w:ascii="宋体" w:hAnsi="宋体" w:eastAsia="宋体" w:cs="宋体"/>
              <w:szCs w:val="24"/>
            </w:rPr>
            <w:fldChar w:fldCharType="end"/>
          </w:r>
        </w:p>
        <w:p w14:paraId="547D6FD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_Toc30029 </w:instrText>
          </w:r>
          <w:r>
            <w:rPr>
              <w:rFonts w:hint="eastAsia" w:ascii="宋体" w:hAnsi="宋体" w:eastAsia="宋体" w:cs="宋体"/>
              <w:szCs w:val="24"/>
            </w:rPr>
            <w:fldChar w:fldCharType="separate"/>
          </w:r>
          <w:r>
            <w:rPr>
              <w:rFonts w:hint="default"/>
              <w:lang w:val="en-US" w:eastAsia="zh-CN"/>
            </w:rPr>
            <w:t xml:space="preserve">4.2.6. </w:t>
          </w:r>
          <w:r>
            <w:rPr>
              <w:rFonts w:hint="eastAsia"/>
              <w:lang w:val="en-US" w:eastAsia="zh-CN"/>
            </w:rPr>
            <w:t>服务数据</w:t>
          </w:r>
          <w:r>
            <w:tab/>
          </w:r>
          <w:r>
            <w:fldChar w:fldCharType="begin"/>
          </w:r>
          <w:r>
            <w:instrText xml:space="preserve"> PAGEREF _Toc30029 \h </w:instrText>
          </w:r>
          <w:r>
            <w:fldChar w:fldCharType="separate"/>
          </w:r>
          <w:r>
            <w:t>14</w:t>
          </w:r>
          <w:r>
            <w:fldChar w:fldCharType="end"/>
          </w:r>
          <w:r>
            <w:rPr>
              <w:rFonts w:hint="eastAsia" w:ascii="宋体" w:hAnsi="宋体" w:eastAsia="宋体" w:cs="宋体"/>
              <w:szCs w:val="24"/>
            </w:rPr>
            <w:fldChar w:fldCharType="end"/>
          </w:r>
        </w:p>
        <w:p w14:paraId="264FD9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_Toc29917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技术</w:t>
          </w:r>
          <w:r>
            <w:tab/>
          </w:r>
          <w:r>
            <w:fldChar w:fldCharType="begin"/>
          </w:r>
          <w:r>
            <w:instrText xml:space="preserve"> PAGEREF _Toc29917 \h </w:instrText>
          </w:r>
          <w:r>
            <w:fldChar w:fldCharType="separate"/>
          </w:r>
          <w:r>
            <w:t>14</w:t>
          </w:r>
          <w:r>
            <w:fldChar w:fldCharType="end"/>
          </w:r>
          <w:r>
            <w:rPr>
              <w:rFonts w:hint="eastAsia" w:ascii="宋体" w:hAnsi="宋体" w:eastAsia="宋体" w:cs="宋体"/>
              <w:szCs w:val="24"/>
            </w:rPr>
            <w:fldChar w:fldCharType="end"/>
          </w:r>
        </w:p>
        <w:p w14:paraId="7EB0F23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_Toc20287 </w:instrText>
          </w:r>
          <w:r>
            <w:rPr>
              <w:rFonts w:hint="eastAsia" w:ascii="宋体" w:hAnsi="宋体" w:eastAsia="宋体" w:cs="宋体"/>
              <w:szCs w:val="24"/>
            </w:rPr>
            <w:fldChar w:fldCharType="separate"/>
          </w:r>
          <w:r>
            <w:rPr>
              <w:rFonts w:hint="default"/>
              <w:lang w:val="en-US" w:eastAsia="zh-CN"/>
            </w:rPr>
            <w:t xml:space="preserve">4.4. </w:t>
          </w:r>
          <w:r>
            <w:rPr>
              <w:rFonts w:hint="eastAsia"/>
              <w:lang w:val="en-US" w:eastAsia="zh-CN"/>
            </w:rPr>
            <w:t>过程</w:t>
          </w:r>
          <w:r>
            <w:tab/>
          </w:r>
          <w:r>
            <w:fldChar w:fldCharType="begin"/>
          </w:r>
          <w:r>
            <w:instrText xml:space="preserve"> PAGEREF _Toc20287 \h </w:instrText>
          </w:r>
          <w:r>
            <w:fldChar w:fldCharType="separate"/>
          </w:r>
          <w:r>
            <w:t>14</w:t>
          </w:r>
          <w:r>
            <w:fldChar w:fldCharType="end"/>
          </w:r>
          <w:r>
            <w:rPr>
              <w:rFonts w:hint="eastAsia" w:ascii="宋体" w:hAnsi="宋体" w:eastAsia="宋体" w:cs="宋体"/>
              <w:szCs w:val="24"/>
            </w:rPr>
            <w:fldChar w:fldCharType="end"/>
          </w:r>
        </w:p>
        <w:p w14:paraId="4986413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_Toc27284 </w:instrText>
          </w:r>
          <w:r>
            <w:rPr>
              <w:rFonts w:hint="eastAsia" w:ascii="宋体" w:hAnsi="宋体" w:eastAsia="宋体" w:cs="宋体"/>
              <w:szCs w:val="24"/>
            </w:rPr>
            <w:fldChar w:fldCharType="separate"/>
          </w:r>
          <w:r>
            <w:rPr>
              <w:rFonts w:hint="default"/>
              <w:lang w:val="en-US" w:eastAsia="zh-CN"/>
            </w:rPr>
            <w:t xml:space="preserve">4.4.1. </w:t>
          </w:r>
          <w:r>
            <w:rPr>
              <w:rFonts w:hint="eastAsia"/>
              <w:lang w:val="en-US" w:eastAsia="zh-CN"/>
            </w:rPr>
            <w:t>过程框架设计</w:t>
          </w:r>
          <w:r>
            <w:tab/>
          </w:r>
          <w:r>
            <w:fldChar w:fldCharType="begin"/>
          </w:r>
          <w:r>
            <w:instrText xml:space="preserve"> PAGEREF _Toc27284 \h </w:instrText>
          </w:r>
          <w:r>
            <w:fldChar w:fldCharType="separate"/>
          </w:r>
          <w:r>
            <w:t>14</w:t>
          </w:r>
          <w:r>
            <w:fldChar w:fldCharType="end"/>
          </w:r>
          <w:r>
            <w:rPr>
              <w:rFonts w:hint="eastAsia" w:ascii="宋体" w:hAnsi="宋体" w:eastAsia="宋体" w:cs="宋体"/>
              <w:szCs w:val="24"/>
            </w:rPr>
            <w:fldChar w:fldCharType="end"/>
          </w:r>
        </w:p>
        <w:p w14:paraId="7FA4992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_Toc14357 </w:instrText>
          </w:r>
          <w:r>
            <w:rPr>
              <w:rFonts w:hint="eastAsia" w:ascii="宋体" w:hAnsi="宋体" w:eastAsia="宋体" w:cs="宋体"/>
              <w:szCs w:val="24"/>
            </w:rPr>
            <w:fldChar w:fldCharType="separate"/>
          </w:r>
          <w:r>
            <w:rPr>
              <w:rFonts w:hint="default"/>
              <w:lang w:val="en-US" w:eastAsia="zh-CN"/>
            </w:rPr>
            <w:t xml:space="preserve">4.4.2. </w:t>
          </w:r>
          <w:r>
            <w:rPr>
              <w:rFonts w:hint="eastAsia"/>
              <w:lang w:val="en-US" w:eastAsia="zh-CN"/>
            </w:rPr>
            <w:t>服务级别管理</w:t>
          </w:r>
          <w:r>
            <w:tab/>
          </w:r>
          <w:r>
            <w:fldChar w:fldCharType="begin"/>
          </w:r>
          <w:r>
            <w:instrText xml:space="preserve"> PAGEREF _Toc14357 \h </w:instrText>
          </w:r>
          <w:r>
            <w:fldChar w:fldCharType="separate"/>
          </w:r>
          <w:r>
            <w:t>14</w:t>
          </w:r>
          <w:r>
            <w:fldChar w:fldCharType="end"/>
          </w:r>
          <w:r>
            <w:rPr>
              <w:rFonts w:hint="eastAsia" w:ascii="宋体" w:hAnsi="宋体" w:eastAsia="宋体" w:cs="宋体"/>
              <w:szCs w:val="24"/>
            </w:rPr>
            <w:fldChar w:fldCharType="end"/>
          </w:r>
        </w:p>
        <w:p w14:paraId="77FF40B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_Toc21574 </w:instrText>
          </w:r>
          <w:r>
            <w:rPr>
              <w:rFonts w:hint="eastAsia" w:ascii="宋体" w:hAnsi="宋体" w:eastAsia="宋体" w:cs="宋体"/>
              <w:szCs w:val="24"/>
            </w:rPr>
            <w:fldChar w:fldCharType="separate"/>
          </w:r>
          <w:r>
            <w:rPr>
              <w:rFonts w:hint="default"/>
              <w:lang w:val="en-US" w:eastAsia="zh-CN"/>
            </w:rPr>
            <w:t xml:space="preserve">4.4.3. </w:t>
          </w:r>
          <w:r>
            <w:rPr>
              <w:rFonts w:hint="eastAsia"/>
              <w:lang w:val="en-US" w:eastAsia="zh-CN"/>
            </w:rPr>
            <w:t>服务报告管理</w:t>
          </w:r>
          <w:r>
            <w:tab/>
          </w:r>
          <w:r>
            <w:fldChar w:fldCharType="begin"/>
          </w:r>
          <w:r>
            <w:instrText xml:space="preserve"> PAGEREF _Toc21574 \h </w:instrText>
          </w:r>
          <w:r>
            <w:fldChar w:fldCharType="separate"/>
          </w:r>
          <w:r>
            <w:t>15</w:t>
          </w:r>
          <w:r>
            <w:fldChar w:fldCharType="end"/>
          </w:r>
          <w:r>
            <w:rPr>
              <w:rFonts w:hint="eastAsia" w:ascii="宋体" w:hAnsi="宋体" w:eastAsia="宋体" w:cs="宋体"/>
              <w:szCs w:val="24"/>
            </w:rPr>
            <w:fldChar w:fldCharType="end"/>
          </w:r>
        </w:p>
        <w:p w14:paraId="5968B37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_Toc2057 </w:instrText>
          </w:r>
          <w:r>
            <w:rPr>
              <w:rFonts w:hint="eastAsia" w:ascii="宋体" w:hAnsi="宋体" w:eastAsia="宋体" w:cs="宋体"/>
              <w:szCs w:val="24"/>
            </w:rPr>
            <w:fldChar w:fldCharType="separate"/>
          </w:r>
          <w:r>
            <w:rPr>
              <w:rFonts w:hint="default"/>
              <w:lang w:val="en-US" w:eastAsia="zh-CN"/>
            </w:rPr>
            <w:t xml:space="preserve">4.4.4. </w:t>
          </w:r>
          <w:r>
            <w:rPr>
              <w:rFonts w:hint="eastAsia"/>
              <w:lang w:val="en-US" w:eastAsia="zh-CN"/>
            </w:rPr>
            <w:t>事件管理</w:t>
          </w:r>
          <w:r>
            <w:tab/>
          </w:r>
          <w:r>
            <w:fldChar w:fldCharType="begin"/>
          </w:r>
          <w:r>
            <w:instrText xml:space="preserve"> PAGEREF _Toc2057 \h </w:instrText>
          </w:r>
          <w:r>
            <w:fldChar w:fldCharType="separate"/>
          </w:r>
          <w:r>
            <w:t>15</w:t>
          </w:r>
          <w:r>
            <w:fldChar w:fldCharType="end"/>
          </w:r>
          <w:r>
            <w:rPr>
              <w:rFonts w:hint="eastAsia" w:ascii="宋体" w:hAnsi="宋体" w:eastAsia="宋体" w:cs="宋体"/>
              <w:szCs w:val="24"/>
            </w:rPr>
            <w:fldChar w:fldCharType="end"/>
          </w:r>
        </w:p>
        <w:p w14:paraId="3931DB3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_Toc20586 </w:instrText>
          </w:r>
          <w:r>
            <w:rPr>
              <w:rFonts w:hint="eastAsia" w:ascii="宋体" w:hAnsi="宋体" w:eastAsia="宋体" w:cs="宋体"/>
              <w:szCs w:val="24"/>
            </w:rPr>
            <w:fldChar w:fldCharType="separate"/>
          </w:r>
          <w:r>
            <w:rPr>
              <w:rFonts w:hint="default"/>
              <w:lang w:val="en-US" w:eastAsia="zh-CN"/>
            </w:rPr>
            <w:t xml:space="preserve">4.4.5. </w:t>
          </w:r>
          <w:r>
            <w:rPr>
              <w:rFonts w:hint="eastAsia"/>
              <w:lang w:val="en-US" w:eastAsia="zh-CN"/>
            </w:rPr>
            <w:t>问题管理</w:t>
          </w:r>
          <w:r>
            <w:tab/>
          </w:r>
          <w:r>
            <w:fldChar w:fldCharType="begin"/>
          </w:r>
          <w:r>
            <w:instrText xml:space="preserve"> PAGEREF _Toc20586 \h </w:instrText>
          </w:r>
          <w:r>
            <w:fldChar w:fldCharType="separate"/>
          </w:r>
          <w:r>
            <w:t>15</w:t>
          </w:r>
          <w:r>
            <w:fldChar w:fldCharType="end"/>
          </w:r>
          <w:r>
            <w:rPr>
              <w:rFonts w:hint="eastAsia" w:ascii="宋体" w:hAnsi="宋体" w:eastAsia="宋体" w:cs="宋体"/>
              <w:szCs w:val="24"/>
            </w:rPr>
            <w:fldChar w:fldCharType="end"/>
          </w:r>
        </w:p>
        <w:p w14:paraId="1126208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_Toc5691 </w:instrText>
          </w:r>
          <w:r>
            <w:rPr>
              <w:rFonts w:hint="eastAsia" w:ascii="宋体" w:hAnsi="宋体" w:eastAsia="宋体" w:cs="宋体"/>
              <w:szCs w:val="24"/>
            </w:rPr>
            <w:fldChar w:fldCharType="separate"/>
          </w:r>
          <w:r>
            <w:rPr>
              <w:rFonts w:hint="default"/>
              <w:lang w:val="en-US" w:eastAsia="zh-CN"/>
            </w:rPr>
            <w:t xml:space="preserve">4.4.6. </w:t>
          </w:r>
          <w:r>
            <w:rPr>
              <w:rFonts w:hint="eastAsia"/>
              <w:lang w:val="en-US" w:eastAsia="zh-CN"/>
            </w:rPr>
            <w:t>变更管理</w:t>
          </w:r>
          <w:r>
            <w:tab/>
          </w:r>
          <w:r>
            <w:fldChar w:fldCharType="begin"/>
          </w:r>
          <w:r>
            <w:instrText xml:space="preserve"> PAGEREF _Toc5691 \h </w:instrText>
          </w:r>
          <w:r>
            <w:fldChar w:fldCharType="separate"/>
          </w:r>
          <w:r>
            <w:t>16</w:t>
          </w:r>
          <w:r>
            <w:fldChar w:fldCharType="end"/>
          </w:r>
          <w:r>
            <w:rPr>
              <w:rFonts w:hint="eastAsia" w:ascii="宋体" w:hAnsi="宋体" w:eastAsia="宋体" w:cs="宋体"/>
              <w:szCs w:val="24"/>
            </w:rPr>
            <w:fldChar w:fldCharType="end"/>
          </w:r>
        </w:p>
        <w:p w14:paraId="3800ED7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_Toc18976 </w:instrText>
          </w:r>
          <w:r>
            <w:rPr>
              <w:rFonts w:hint="eastAsia" w:ascii="宋体" w:hAnsi="宋体" w:eastAsia="宋体" w:cs="宋体"/>
              <w:szCs w:val="24"/>
            </w:rPr>
            <w:fldChar w:fldCharType="separate"/>
          </w:r>
          <w:r>
            <w:rPr>
              <w:rFonts w:hint="default"/>
              <w:lang w:val="en-US" w:eastAsia="zh-CN"/>
            </w:rPr>
            <w:t xml:space="preserve">4.4.7. </w:t>
          </w:r>
          <w:r>
            <w:rPr>
              <w:rFonts w:hint="eastAsia"/>
              <w:lang w:val="en-US" w:eastAsia="zh-CN"/>
            </w:rPr>
            <w:t>发布管理</w:t>
          </w:r>
          <w:r>
            <w:tab/>
          </w:r>
          <w:r>
            <w:fldChar w:fldCharType="begin"/>
          </w:r>
          <w:r>
            <w:instrText xml:space="preserve"> PAGEREF _Toc18976 \h </w:instrText>
          </w:r>
          <w:r>
            <w:fldChar w:fldCharType="separate"/>
          </w:r>
          <w:r>
            <w:t>16</w:t>
          </w:r>
          <w:r>
            <w:fldChar w:fldCharType="end"/>
          </w:r>
          <w:r>
            <w:rPr>
              <w:rFonts w:hint="eastAsia" w:ascii="宋体" w:hAnsi="宋体" w:eastAsia="宋体" w:cs="宋体"/>
              <w:szCs w:val="24"/>
            </w:rPr>
            <w:fldChar w:fldCharType="end"/>
          </w:r>
        </w:p>
        <w:p w14:paraId="4E75C4C0">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_Toc14298 </w:instrText>
          </w:r>
          <w:r>
            <w:rPr>
              <w:rFonts w:hint="eastAsia" w:ascii="宋体" w:hAnsi="宋体" w:eastAsia="宋体" w:cs="宋体"/>
              <w:szCs w:val="24"/>
            </w:rPr>
            <w:fldChar w:fldCharType="separate"/>
          </w:r>
          <w:r>
            <w:rPr>
              <w:rFonts w:hint="default"/>
              <w:lang w:val="en-US" w:eastAsia="zh-CN"/>
            </w:rPr>
            <w:t xml:space="preserve">4.4.8. </w:t>
          </w:r>
          <w:r>
            <w:rPr>
              <w:rFonts w:hint="eastAsia"/>
              <w:lang w:val="en-US" w:eastAsia="zh-CN"/>
            </w:rPr>
            <w:t>配置管理</w:t>
          </w:r>
          <w:r>
            <w:tab/>
          </w:r>
          <w:r>
            <w:fldChar w:fldCharType="begin"/>
          </w:r>
          <w:r>
            <w:instrText xml:space="preserve"> PAGEREF _Toc14298 \h </w:instrText>
          </w:r>
          <w:r>
            <w:fldChar w:fldCharType="separate"/>
          </w:r>
          <w:r>
            <w:t>17</w:t>
          </w:r>
          <w:r>
            <w:fldChar w:fldCharType="end"/>
          </w:r>
          <w:r>
            <w:rPr>
              <w:rFonts w:hint="eastAsia" w:ascii="宋体" w:hAnsi="宋体" w:eastAsia="宋体" w:cs="宋体"/>
              <w:szCs w:val="24"/>
            </w:rPr>
            <w:fldChar w:fldCharType="end"/>
          </w:r>
        </w:p>
        <w:p w14:paraId="45860A2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_Toc17952 </w:instrText>
          </w:r>
          <w:r>
            <w:rPr>
              <w:rFonts w:hint="eastAsia" w:ascii="宋体" w:hAnsi="宋体" w:eastAsia="宋体" w:cs="宋体"/>
              <w:szCs w:val="24"/>
            </w:rPr>
            <w:fldChar w:fldCharType="separate"/>
          </w:r>
          <w:r>
            <w:rPr>
              <w:rFonts w:hint="default"/>
              <w:lang w:val="en-US" w:eastAsia="zh-CN"/>
            </w:rPr>
            <w:t xml:space="preserve">4.4.9. </w:t>
          </w:r>
          <w:r>
            <w:rPr>
              <w:rFonts w:hint="eastAsia"/>
              <w:lang w:val="en-US" w:eastAsia="zh-CN"/>
            </w:rPr>
            <w:t>服务可用性和连续性管理</w:t>
          </w:r>
          <w:r>
            <w:tab/>
          </w:r>
          <w:r>
            <w:fldChar w:fldCharType="begin"/>
          </w:r>
          <w:r>
            <w:instrText xml:space="preserve"> PAGEREF _Toc17952 \h </w:instrText>
          </w:r>
          <w:r>
            <w:fldChar w:fldCharType="separate"/>
          </w:r>
          <w:r>
            <w:t>17</w:t>
          </w:r>
          <w:r>
            <w:fldChar w:fldCharType="end"/>
          </w:r>
          <w:r>
            <w:rPr>
              <w:rFonts w:hint="eastAsia" w:ascii="宋体" w:hAnsi="宋体" w:eastAsia="宋体" w:cs="宋体"/>
              <w:szCs w:val="24"/>
            </w:rPr>
            <w:fldChar w:fldCharType="end"/>
          </w:r>
        </w:p>
        <w:p w14:paraId="7F251526">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_Toc31199 </w:instrText>
          </w:r>
          <w:r>
            <w:rPr>
              <w:rFonts w:hint="eastAsia" w:ascii="宋体" w:hAnsi="宋体" w:eastAsia="宋体" w:cs="宋体"/>
              <w:szCs w:val="24"/>
            </w:rPr>
            <w:fldChar w:fldCharType="separate"/>
          </w:r>
          <w:r>
            <w:rPr>
              <w:rFonts w:hint="default"/>
              <w:lang w:val="en-US" w:eastAsia="zh-CN"/>
            </w:rPr>
            <w:t xml:space="preserve">4.4.10. </w:t>
          </w:r>
          <w:r>
            <w:rPr>
              <w:rFonts w:hint="eastAsia"/>
              <w:lang w:val="en-US" w:eastAsia="zh-CN"/>
            </w:rPr>
            <w:t>容量管理</w:t>
          </w:r>
          <w:r>
            <w:tab/>
          </w:r>
          <w:r>
            <w:fldChar w:fldCharType="begin"/>
          </w:r>
          <w:r>
            <w:instrText xml:space="preserve"> PAGEREF _Toc31199 \h </w:instrText>
          </w:r>
          <w:r>
            <w:fldChar w:fldCharType="separate"/>
          </w:r>
          <w:r>
            <w:t>17</w:t>
          </w:r>
          <w:r>
            <w:fldChar w:fldCharType="end"/>
          </w:r>
          <w:r>
            <w:rPr>
              <w:rFonts w:hint="eastAsia" w:ascii="宋体" w:hAnsi="宋体" w:eastAsia="宋体" w:cs="宋体"/>
              <w:szCs w:val="24"/>
            </w:rPr>
            <w:fldChar w:fldCharType="end"/>
          </w:r>
        </w:p>
        <w:p w14:paraId="6550C00C">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_Toc21531 </w:instrText>
          </w:r>
          <w:r>
            <w:rPr>
              <w:rFonts w:hint="eastAsia" w:ascii="宋体" w:hAnsi="宋体" w:eastAsia="宋体" w:cs="宋体"/>
              <w:szCs w:val="24"/>
            </w:rPr>
            <w:fldChar w:fldCharType="separate"/>
          </w:r>
          <w:r>
            <w:rPr>
              <w:rFonts w:hint="default"/>
              <w:lang w:val="en-US" w:eastAsia="zh-CN"/>
            </w:rPr>
            <w:t xml:space="preserve">4.4.11. </w:t>
          </w:r>
          <w:r>
            <w:rPr>
              <w:rFonts w:hint="eastAsia"/>
              <w:lang w:val="en-US" w:eastAsia="zh-CN"/>
            </w:rPr>
            <w:t>信息安全管理</w:t>
          </w:r>
          <w:r>
            <w:tab/>
          </w:r>
          <w:r>
            <w:fldChar w:fldCharType="begin"/>
          </w:r>
          <w:r>
            <w:instrText xml:space="preserve"> PAGEREF _Toc21531 \h </w:instrText>
          </w:r>
          <w:r>
            <w:fldChar w:fldCharType="separate"/>
          </w:r>
          <w:r>
            <w:t>18</w:t>
          </w:r>
          <w:r>
            <w:fldChar w:fldCharType="end"/>
          </w:r>
          <w:r>
            <w:rPr>
              <w:rFonts w:hint="eastAsia" w:ascii="宋体" w:hAnsi="宋体" w:eastAsia="宋体" w:cs="宋体"/>
              <w:szCs w:val="24"/>
            </w:rPr>
            <w:fldChar w:fldCharType="end"/>
          </w:r>
        </w:p>
        <w:p w14:paraId="20796A3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_Toc29039 </w:instrText>
          </w:r>
          <w:r>
            <w:rPr>
              <w:rFonts w:hint="eastAsia" w:ascii="宋体" w:hAnsi="宋体" w:eastAsia="宋体" w:cs="宋体"/>
              <w:szCs w:val="24"/>
            </w:rPr>
            <w:fldChar w:fldCharType="separate"/>
          </w:r>
          <w:r>
            <w:rPr>
              <w:rFonts w:hint="default"/>
              <w:lang w:val="en-US" w:eastAsia="zh-CN"/>
            </w:rPr>
            <w:t xml:space="preserve">4.5. </w:t>
          </w:r>
          <w:r>
            <w:rPr>
              <w:rFonts w:hint="eastAsia"/>
              <w:lang w:val="en-US" w:eastAsia="zh-CN"/>
            </w:rPr>
            <w:t>交付</w:t>
          </w:r>
          <w:r>
            <w:tab/>
          </w:r>
          <w:r>
            <w:fldChar w:fldCharType="begin"/>
          </w:r>
          <w:r>
            <w:instrText xml:space="preserve"> PAGEREF _Toc29039 \h </w:instrText>
          </w:r>
          <w:r>
            <w:fldChar w:fldCharType="separate"/>
          </w:r>
          <w:r>
            <w:t>18</w:t>
          </w:r>
          <w:r>
            <w:fldChar w:fldCharType="end"/>
          </w:r>
          <w:r>
            <w:rPr>
              <w:rFonts w:hint="eastAsia" w:ascii="宋体" w:hAnsi="宋体" w:eastAsia="宋体" w:cs="宋体"/>
              <w:szCs w:val="24"/>
            </w:rPr>
            <w:fldChar w:fldCharType="end"/>
          </w:r>
        </w:p>
        <w:p w14:paraId="6C5226F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_Toc12302 </w:instrText>
          </w:r>
          <w:r>
            <w:rPr>
              <w:rFonts w:hint="eastAsia" w:ascii="宋体" w:hAnsi="宋体" w:eastAsia="宋体" w:cs="宋体"/>
              <w:szCs w:val="24"/>
            </w:rPr>
            <w:fldChar w:fldCharType="separate"/>
          </w:r>
          <w:r>
            <w:rPr>
              <w:rFonts w:hint="default"/>
              <w:lang w:val="en-US" w:eastAsia="zh-CN"/>
            </w:rPr>
            <w:t xml:space="preserve">4.6. </w:t>
          </w:r>
          <w:r>
            <w:rPr>
              <w:rFonts w:hint="eastAsia"/>
              <w:lang w:val="en-US" w:eastAsia="zh-CN"/>
            </w:rPr>
            <w:t>应急</w:t>
          </w:r>
          <w:r>
            <w:tab/>
          </w:r>
          <w:r>
            <w:fldChar w:fldCharType="begin"/>
          </w:r>
          <w:r>
            <w:instrText xml:space="preserve"> PAGEREF _Toc12302 \h </w:instrText>
          </w:r>
          <w:r>
            <w:fldChar w:fldCharType="separate"/>
          </w:r>
          <w:r>
            <w:t>19</w:t>
          </w:r>
          <w:r>
            <w:fldChar w:fldCharType="end"/>
          </w:r>
          <w:r>
            <w:rPr>
              <w:rFonts w:hint="eastAsia" w:ascii="宋体" w:hAnsi="宋体" w:eastAsia="宋体" w:cs="宋体"/>
              <w:szCs w:val="24"/>
            </w:rPr>
            <w:fldChar w:fldCharType="end"/>
          </w:r>
        </w:p>
        <w:p w14:paraId="5671AC6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_Toc8271 </w:instrText>
          </w:r>
          <w:r>
            <w:rPr>
              <w:rFonts w:hint="eastAsia" w:ascii="宋体" w:hAnsi="宋体" w:eastAsia="宋体" w:cs="宋体"/>
              <w:szCs w:val="24"/>
            </w:rPr>
            <w:fldChar w:fldCharType="separate"/>
          </w:r>
          <w:r>
            <w:rPr>
              <w:rFonts w:hint="default"/>
              <w:lang w:val="en-US" w:eastAsia="zh-CN"/>
            </w:rPr>
            <w:t xml:space="preserve">4.7. </w:t>
          </w:r>
          <w:r>
            <w:rPr>
              <w:rFonts w:hint="eastAsia"/>
              <w:lang w:val="en-US" w:eastAsia="zh-CN"/>
            </w:rPr>
            <w:t>质量</w:t>
          </w:r>
          <w:r>
            <w:tab/>
          </w:r>
          <w:r>
            <w:fldChar w:fldCharType="begin"/>
          </w:r>
          <w:r>
            <w:instrText xml:space="preserve"> PAGEREF _Toc8271 \h </w:instrText>
          </w:r>
          <w:r>
            <w:fldChar w:fldCharType="separate"/>
          </w:r>
          <w:r>
            <w:t>19</w:t>
          </w:r>
          <w:r>
            <w:fldChar w:fldCharType="end"/>
          </w:r>
          <w:r>
            <w:rPr>
              <w:rFonts w:hint="eastAsia" w:ascii="宋体" w:hAnsi="宋体" w:eastAsia="宋体" w:cs="宋体"/>
              <w:szCs w:val="24"/>
            </w:rPr>
            <w:fldChar w:fldCharType="end"/>
          </w:r>
        </w:p>
        <w:p w14:paraId="3471F383">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_Toc15200 </w:instrText>
          </w:r>
          <w:r>
            <w:rPr>
              <w:rFonts w:hint="eastAsia" w:ascii="宋体" w:hAnsi="宋体" w:eastAsia="宋体" w:cs="宋体"/>
              <w:szCs w:val="24"/>
            </w:rPr>
            <w:fldChar w:fldCharType="separate"/>
          </w:r>
          <w:r>
            <w:rPr>
              <w:rFonts w:hint="default"/>
              <w:lang w:val="en-US" w:eastAsia="zh-CN"/>
            </w:rPr>
            <w:t xml:space="preserve">4.7.1. </w:t>
          </w:r>
          <w:r>
            <w:rPr>
              <w:rFonts w:hint="eastAsia"/>
              <w:lang w:val="en-US" w:eastAsia="zh-CN"/>
            </w:rPr>
            <w:t>运维服务质量内部评审</w:t>
          </w:r>
          <w:r>
            <w:tab/>
          </w:r>
          <w:r>
            <w:fldChar w:fldCharType="begin"/>
          </w:r>
          <w:r>
            <w:instrText xml:space="preserve"> PAGEREF _Toc15200 \h </w:instrText>
          </w:r>
          <w:r>
            <w:fldChar w:fldCharType="separate"/>
          </w:r>
          <w:r>
            <w:t>19</w:t>
          </w:r>
          <w:r>
            <w:fldChar w:fldCharType="end"/>
          </w:r>
          <w:r>
            <w:rPr>
              <w:rFonts w:hint="eastAsia" w:ascii="宋体" w:hAnsi="宋体" w:eastAsia="宋体" w:cs="宋体"/>
              <w:szCs w:val="24"/>
            </w:rPr>
            <w:fldChar w:fldCharType="end"/>
          </w:r>
        </w:p>
        <w:p w14:paraId="419A2DE5">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_Toc5662 </w:instrText>
          </w:r>
          <w:r>
            <w:rPr>
              <w:rFonts w:hint="eastAsia" w:ascii="宋体" w:hAnsi="宋体" w:eastAsia="宋体" w:cs="宋体"/>
              <w:szCs w:val="24"/>
            </w:rPr>
            <w:fldChar w:fldCharType="separate"/>
          </w:r>
          <w:r>
            <w:rPr>
              <w:rFonts w:hint="default"/>
              <w:lang w:val="en-US" w:eastAsia="zh-CN"/>
            </w:rPr>
            <w:t xml:space="preserve">4.7.2. </w:t>
          </w:r>
          <w:r>
            <w:rPr>
              <w:rFonts w:hint="eastAsia"/>
              <w:lang w:val="en-US" w:eastAsia="zh-CN"/>
            </w:rPr>
            <w:t>运维服务质量管理评审</w:t>
          </w:r>
          <w:r>
            <w:tab/>
          </w:r>
          <w:r>
            <w:fldChar w:fldCharType="begin"/>
          </w:r>
          <w:r>
            <w:instrText xml:space="preserve"> PAGEREF _Toc5662 \h </w:instrText>
          </w:r>
          <w:r>
            <w:fldChar w:fldCharType="separate"/>
          </w:r>
          <w:r>
            <w:t>19</w:t>
          </w:r>
          <w:r>
            <w:fldChar w:fldCharType="end"/>
          </w:r>
          <w:r>
            <w:rPr>
              <w:rFonts w:hint="eastAsia" w:ascii="宋体" w:hAnsi="宋体" w:eastAsia="宋体" w:cs="宋体"/>
              <w:szCs w:val="24"/>
            </w:rPr>
            <w:fldChar w:fldCharType="end"/>
          </w:r>
        </w:p>
        <w:p w14:paraId="7B1FE03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_Toc29635 </w:instrText>
          </w:r>
          <w:r>
            <w:rPr>
              <w:rFonts w:hint="eastAsia" w:ascii="宋体" w:hAnsi="宋体" w:eastAsia="宋体" w:cs="宋体"/>
              <w:szCs w:val="24"/>
            </w:rPr>
            <w:fldChar w:fldCharType="separate"/>
          </w:r>
          <w:r>
            <w:rPr>
              <w:rFonts w:hint="default"/>
              <w:lang w:val="en-US" w:eastAsia="zh-CN"/>
            </w:rPr>
            <w:t xml:space="preserve">4.7.3. </w:t>
          </w:r>
          <w:r>
            <w:rPr>
              <w:rFonts w:hint="eastAsia"/>
              <w:lang w:val="en-US" w:eastAsia="zh-CN"/>
            </w:rPr>
            <w:t>客户满意度调查与分析</w:t>
          </w:r>
          <w:r>
            <w:tab/>
          </w:r>
          <w:r>
            <w:fldChar w:fldCharType="begin"/>
          </w:r>
          <w:r>
            <w:instrText xml:space="preserve"> PAGEREF _Toc29635 \h </w:instrText>
          </w:r>
          <w:r>
            <w:fldChar w:fldCharType="separate"/>
          </w:r>
          <w:r>
            <w:t>19</w:t>
          </w:r>
          <w:r>
            <w:fldChar w:fldCharType="end"/>
          </w:r>
          <w:r>
            <w:rPr>
              <w:rFonts w:hint="eastAsia" w:ascii="宋体" w:hAnsi="宋体" w:eastAsia="宋体" w:cs="宋体"/>
              <w:szCs w:val="24"/>
            </w:rPr>
            <w:fldChar w:fldCharType="end"/>
          </w:r>
        </w:p>
        <w:p w14:paraId="184B6B5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_Toc31785 </w:instrText>
          </w:r>
          <w:r>
            <w:rPr>
              <w:rFonts w:hint="eastAsia" w:ascii="宋体" w:hAnsi="宋体" w:eastAsia="宋体" w:cs="宋体"/>
              <w:szCs w:val="24"/>
            </w:rPr>
            <w:fldChar w:fldCharType="separate"/>
          </w:r>
          <w:r>
            <w:rPr>
              <w:rFonts w:hint="default"/>
              <w:lang w:val="en-US" w:eastAsia="zh-CN"/>
            </w:rPr>
            <w:t xml:space="preserve">4.7.4. </w:t>
          </w:r>
          <w:r>
            <w:rPr>
              <w:rFonts w:hint="eastAsia"/>
              <w:lang w:val="en-US" w:eastAsia="zh-CN"/>
            </w:rPr>
            <w:t>SLA达成率</w:t>
          </w:r>
          <w:r>
            <w:tab/>
          </w:r>
          <w:r>
            <w:fldChar w:fldCharType="begin"/>
          </w:r>
          <w:r>
            <w:instrText xml:space="preserve"> PAGEREF _Toc31785 \h </w:instrText>
          </w:r>
          <w:r>
            <w:fldChar w:fldCharType="separate"/>
          </w:r>
          <w:r>
            <w:t>20</w:t>
          </w:r>
          <w:r>
            <w:fldChar w:fldCharType="end"/>
          </w:r>
          <w:r>
            <w:rPr>
              <w:rFonts w:hint="eastAsia" w:ascii="宋体" w:hAnsi="宋体" w:eastAsia="宋体" w:cs="宋体"/>
              <w:szCs w:val="24"/>
            </w:rPr>
            <w:fldChar w:fldCharType="end"/>
          </w:r>
        </w:p>
        <w:p w14:paraId="2BA9CE1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_Toc32293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_Toc32293 \h </w:instrText>
          </w:r>
          <w:r>
            <w:fldChar w:fldCharType="separate"/>
          </w:r>
          <w:r>
            <w:t>20</w:t>
          </w:r>
          <w:r>
            <w:fldChar w:fldCharType="end"/>
          </w:r>
          <w:r>
            <w:rPr>
              <w:rFonts w:hint="eastAsia" w:ascii="宋体" w:hAnsi="宋体" w:eastAsia="宋体" w:cs="宋体"/>
              <w:szCs w:val="24"/>
            </w:rPr>
            <w:fldChar w:fldCharType="end"/>
          </w:r>
        </w:p>
        <w:p w14:paraId="7B9D42D9">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_Toc26903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_Toc26903 \h </w:instrText>
          </w:r>
          <w:r>
            <w:fldChar w:fldCharType="separate"/>
          </w:r>
          <w:r>
            <w:t>20</w:t>
          </w:r>
          <w:r>
            <w:fldChar w:fldCharType="end"/>
          </w:r>
          <w:r>
            <w:rPr>
              <w:rFonts w:hint="eastAsia" w:ascii="宋体" w:hAnsi="宋体" w:eastAsia="宋体" w:cs="宋体"/>
              <w:szCs w:val="24"/>
            </w:rPr>
            <w:fldChar w:fldCharType="end"/>
          </w:r>
        </w:p>
        <w:p w14:paraId="2009D53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_Toc20031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_Toc20031 \h </w:instrText>
          </w:r>
          <w:r>
            <w:fldChar w:fldCharType="separate"/>
          </w:r>
          <w:r>
            <w:t>20</w:t>
          </w:r>
          <w:r>
            <w:fldChar w:fldCharType="end"/>
          </w:r>
          <w:r>
            <w:rPr>
              <w:rFonts w:hint="eastAsia" w:ascii="宋体" w:hAnsi="宋体" w:eastAsia="宋体" w:cs="宋体"/>
              <w:szCs w:val="24"/>
            </w:rPr>
            <w:fldChar w:fldCharType="end"/>
          </w:r>
        </w:p>
        <w:p w14:paraId="697EFD28">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BFFEEE3">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0A0AC1C3">
      <w:pPr>
        <w:pStyle w:val="28"/>
        <w:keepNext w:val="0"/>
        <w:keepLines w:val="0"/>
        <w:pageBreakBefore w:val="0"/>
        <w:widowControl w:val="0"/>
        <w:kinsoku w:val="0"/>
        <w:wordWrap/>
        <w:overflowPunct/>
        <w:autoSpaceDE w:val="0"/>
        <w:autoSpaceDN w:val="0"/>
        <w:bidi w:val="0"/>
        <w:adjustRightInd w:val="0"/>
        <w:snapToGrid w:val="0"/>
        <w:textAlignment w:val="baseline"/>
      </w:pPr>
      <w:bookmarkStart w:id="7" w:name="_Toc6301"/>
      <w:r>
        <w:t>目的</w:t>
      </w:r>
      <w:bookmarkEnd w:id="7"/>
    </w:p>
    <w:p w14:paraId="4E3944F1">
      <w:pPr>
        <w:pStyle w:val="29"/>
        <w:keepNext w:val="0"/>
        <w:keepLines w:val="0"/>
        <w:pageBreakBefore w:val="0"/>
        <w:widowControl w:val="0"/>
        <w:kinsoku w:val="0"/>
        <w:wordWrap/>
        <w:overflowPunct/>
        <w:autoSpaceDE w:val="0"/>
        <w:autoSpaceDN w:val="0"/>
        <w:bidi w:val="0"/>
        <w:adjustRightInd w:val="0"/>
        <w:snapToGrid w:val="0"/>
        <w:textAlignment w:val="baseline"/>
      </w:pPr>
      <w:r>
        <w:t>为了分解部门工作目标，细化部门工作内容，规范员工工作行为，充分发挥员工工作积极性和能动性，现制定2025年运维服务能力管理</w:t>
      </w:r>
      <w:r>
        <w:rPr>
          <w:rFonts w:hint="eastAsia"/>
          <w:lang w:val="en-US" w:eastAsia="zh-CN"/>
        </w:rPr>
        <w:t>计划</w:t>
      </w:r>
      <w:r>
        <w:t>。</w:t>
      </w:r>
    </w:p>
    <w:p w14:paraId="16E85A58">
      <w:pPr>
        <w:pStyle w:val="29"/>
        <w:keepNext w:val="0"/>
        <w:keepLines w:val="0"/>
        <w:pageBreakBefore w:val="0"/>
        <w:widowControl w:val="0"/>
        <w:kinsoku w:val="0"/>
        <w:wordWrap/>
        <w:overflowPunct/>
        <w:autoSpaceDE w:val="0"/>
        <w:autoSpaceDN w:val="0"/>
        <w:bidi w:val="0"/>
        <w:adjustRightInd w:val="0"/>
        <w:snapToGrid w:val="0"/>
        <w:textAlignment w:val="baseline"/>
      </w:pPr>
      <w:r>
        <w:t>在公司的总体战略规划要求下，在2025年，运维收入计划增长率为10%，为实现这一目标，必须保证我们的运维服务能力有效进行，保障完成人员、资源、技术、过程四要素、应急交付和质量管理要求各项指标。</w:t>
      </w:r>
    </w:p>
    <w:p w14:paraId="727E1A1E">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10680"/>
      <w:r>
        <w:rPr>
          <w:rFonts w:hint="eastAsia"/>
          <w:lang w:val="en-US" w:eastAsia="zh-CN"/>
        </w:rPr>
        <w:t>原则</w:t>
      </w:r>
      <w:bookmarkEnd w:id="8"/>
    </w:p>
    <w:p w14:paraId="19B7F686">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战略对齐与价值导向：确保运维服务能力规划与公司年度业务目标和发展战略紧密结合，所有投入应聚焦于支撑核心业务和创造可衡量的价值。</w:t>
      </w:r>
    </w:p>
    <w:p w14:paraId="33E84975">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资源前瞻规划与动态优化：根据业务预测与容量规划，对人、财、物、技术等资源进行前瞻性的预算与配置，并在年度执行中根据实际情况进行动态调整与优化，确保资源投入的精准与高效。</w:t>
      </w:r>
    </w:p>
    <w:p w14:paraId="03BDF843">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技术前瞻性与平台化建设：关注行业技术发展趋势，规划并投入具有前瞻性的工具平台建设，推动自动化、智能化运维落地，以技术手段提升服务效率与可靠性。</w:t>
      </w:r>
    </w:p>
    <w:p w14:paraId="345A66F9">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过程闭环与持续优化：建立并巩固从设计、交付到运营改进的端到端流程闭环，明确年度流程优化重点，确保各项服务活动可管理、可度量、可追溯、可优化。</w:t>
      </w:r>
    </w:p>
    <w:p w14:paraId="32FB688C">
      <w:pPr>
        <w:pStyle w:val="29"/>
        <w:keepNext w:val="0"/>
        <w:keepLines w:val="0"/>
        <w:pageBreakBefore w:val="0"/>
        <w:widowControl w:val="0"/>
        <w:numPr>
          <w:ilvl w:val="0"/>
          <w:numId w:val="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合规性与风险可控：所有运维活动需符合内外部合规要求，并将风险管理嵌入服务设计与交付全过程，确保服务运营的合规、稳定与安全。</w:t>
      </w:r>
    </w:p>
    <w:p w14:paraId="468A3B34">
      <w:pPr>
        <w:pStyle w:val="28"/>
        <w:keepNext w:val="0"/>
        <w:keepLines w:val="0"/>
        <w:pageBreakBefore w:val="0"/>
        <w:widowControl w:val="0"/>
        <w:kinsoku w:val="0"/>
        <w:wordWrap/>
        <w:overflowPunct/>
        <w:autoSpaceDE w:val="0"/>
        <w:autoSpaceDN w:val="0"/>
        <w:bidi w:val="0"/>
        <w:adjustRightInd w:val="0"/>
        <w:snapToGrid w:val="0"/>
        <w:textAlignment w:val="baseline"/>
      </w:pPr>
      <w:bookmarkStart w:id="9" w:name="_Toc3044"/>
      <w:r>
        <w:rPr>
          <w:rFonts w:hint="eastAsia"/>
          <w:lang w:val="en-US" w:eastAsia="zh-CN"/>
        </w:rPr>
        <w:t>适用</w:t>
      </w:r>
      <w:r>
        <w:t>范围</w:t>
      </w:r>
      <w:bookmarkEnd w:id="9"/>
    </w:p>
    <w:p w14:paraId="0D6EB7E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rPr>
          <w:rFonts w:hint="eastAsia"/>
          <w:lang w:val="en-US" w:eastAsia="zh-CN"/>
        </w:rPr>
        <w:t>公司运维服务的全过程。</w:t>
      </w:r>
    </w:p>
    <w:p w14:paraId="3A6FD493">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0" w:name="_Toc15443"/>
      <w:r>
        <w:rPr>
          <w:rFonts w:hint="eastAsia"/>
          <w:lang w:val="en-US" w:eastAsia="zh-CN"/>
        </w:rPr>
        <w:t>运维能力管理实施</w:t>
      </w:r>
      <w:bookmarkEnd w:id="10"/>
    </w:p>
    <w:p w14:paraId="14679D2A">
      <w:pPr>
        <w:pStyle w:val="30"/>
        <w:keepNext w:val="0"/>
        <w:keepLines w:val="0"/>
        <w:pageBreakBefore w:val="0"/>
        <w:widowControl w:val="0"/>
        <w:kinsoku w:val="0"/>
        <w:wordWrap/>
        <w:overflowPunct/>
        <w:autoSpaceDE w:val="0"/>
        <w:autoSpaceDN w:val="0"/>
        <w:bidi w:val="0"/>
        <w:adjustRightInd w:val="0"/>
        <w:snapToGrid w:val="0"/>
        <w:textAlignment w:val="baseline"/>
      </w:pPr>
      <w:bookmarkStart w:id="11" w:name="_Toc8158"/>
      <w:r>
        <w:t>人员</w:t>
      </w:r>
      <w:bookmarkEnd w:id="11"/>
    </w:p>
    <w:p w14:paraId="152C6967">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7045"/>
      <w:r>
        <w:rPr>
          <w:rFonts w:hint="eastAsia"/>
          <w:lang w:val="en-US" w:eastAsia="zh-CN"/>
        </w:rPr>
        <w:t>人员招聘计划</w:t>
      </w:r>
      <w:bookmarkEnd w:id="12"/>
    </w:p>
    <w:p w14:paraId="1C9462DA">
      <w:pPr>
        <w:pStyle w:val="29"/>
        <w:bidi w:val="0"/>
      </w:pPr>
      <w:r>
        <w:t>计划外部招聘6人，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w:t>
      </w:r>
    </w:p>
    <w:tbl>
      <w:tblPr>
        <w:tblStyle w:val="20"/>
        <w:tblpPr w:leftFromText="180" w:rightFromText="180" w:vertAnchor="text" w:horzAnchor="page" w:tblpX="1807" w:tblpY="47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185"/>
        <w:gridCol w:w="1412"/>
        <w:gridCol w:w="1225"/>
        <w:gridCol w:w="918"/>
        <w:gridCol w:w="1185"/>
        <w:gridCol w:w="1040"/>
      </w:tblGrid>
      <w:tr w14:paraId="1E275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trPr>
        <w:tc>
          <w:tcPr>
            <w:tcW w:w="1185" w:type="dxa"/>
            <w:tcMar>
              <w:top w:w="60" w:type="dxa"/>
              <w:left w:w="120" w:type="dxa"/>
              <w:bottom w:w="30" w:type="dxa"/>
              <w:right w:w="120" w:type="dxa"/>
            </w:tcMar>
          </w:tcPr>
          <w:p w14:paraId="34736A4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岗位分类</w:t>
            </w:r>
          </w:p>
        </w:tc>
        <w:tc>
          <w:tcPr>
            <w:tcW w:w="1185" w:type="dxa"/>
            <w:tcMar>
              <w:top w:w="60" w:type="dxa"/>
              <w:left w:w="120" w:type="dxa"/>
              <w:bottom w:w="30" w:type="dxa"/>
              <w:right w:w="120" w:type="dxa"/>
            </w:tcMar>
          </w:tcPr>
          <w:p w14:paraId="3845B8A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部门</w:t>
            </w:r>
          </w:p>
        </w:tc>
        <w:tc>
          <w:tcPr>
            <w:tcW w:w="1412" w:type="dxa"/>
            <w:tcMar>
              <w:top w:w="60" w:type="dxa"/>
              <w:left w:w="120" w:type="dxa"/>
              <w:bottom w:w="30" w:type="dxa"/>
              <w:right w:w="120" w:type="dxa"/>
            </w:tcMar>
          </w:tcPr>
          <w:p w14:paraId="217FC5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1225" w:type="dxa"/>
            <w:tcMar>
              <w:top w:w="60" w:type="dxa"/>
              <w:left w:w="120" w:type="dxa"/>
              <w:bottom w:w="30" w:type="dxa"/>
              <w:right w:w="120" w:type="dxa"/>
            </w:tcMar>
          </w:tcPr>
          <w:p w14:paraId="2F7D712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计划人数</w:t>
            </w:r>
          </w:p>
        </w:tc>
        <w:tc>
          <w:tcPr>
            <w:tcW w:w="918" w:type="dxa"/>
            <w:tcMar>
              <w:top w:w="60" w:type="dxa"/>
              <w:left w:w="120" w:type="dxa"/>
              <w:bottom w:w="30" w:type="dxa"/>
              <w:right w:w="120" w:type="dxa"/>
            </w:tcMar>
          </w:tcPr>
          <w:p w14:paraId="4B0042A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预算</w:t>
            </w:r>
          </w:p>
        </w:tc>
        <w:tc>
          <w:tcPr>
            <w:tcW w:w="1185" w:type="dxa"/>
            <w:tcMar>
              <w:top w:w="60" w:type="dxa"/>
              <w:left w:w="120" w:type="dxa"/>
              <w:bottom w:w="30" w:type="dxa"/>
              <w:right w:w="120" w:type="dxa"/>
            </w:tcMar>
          </w:tcPr>
          <w:p w14:paraId="06F392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招聘方式</w:t>
            </w:r>
          </w:p>
        </w:tc>
        <w:tc>
          <w:tcPr>
            <w:tcW w:w="1040" w:type="dxa"/>
            <w:tcMar>
              <w:top w:w="60" w:type="dxa"/>
              <w:left w:w="120" w:type="dxa"/>
              <w:bottom w:w="30" w:type="dxa"/>
              <w:right w:w="120" w:type="dxa"/>
            </w:tcMar>
          </w:tcPr>
          <w:p w14:paraId="6A50D97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计划完成时间</w:t>
            </w:r>
          </w:p>
        </w:tc>
      </w:tr>
      <w:tr w14:paraId="71901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6DC3FA1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技术</w:t>
            </w:r>
            <w:r>
              <w:rPr>
                <w:rFonts w:ascii="Arial" w:hAnsi="Arial" w:eastAsia="等线" w:cs="Arial"/>
                <w:sz w:val="22"/>
              </w:rPr>
              <w:t>岗</w:t>
            </w:r>
          </w:p>
        </w:tc>
        <w:tc>
          <w:tcPr>
            <w:tcW w:w="1185" w:type="dxa"/>
            <w:vMerge w:val="restart"/>
            <w:tcMar>
              <w:top w:w="60" w:type="dxa"/>
              <w:left w:w="120" w:type="dxa"/>
              <w:bottom w:w="30" w:type="dxa"/>
              <w:right w:w="120" w:type="dxa"/>
            </w:tcMar>
          </w:tcPr>
          <w:p w14:paraId="2B6BB09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r>
              <w:rPr>
                <w:rFonts w:hint="eastAsia" w:eastAsia="等线" w:cs="Arial"/>
                <w:sz w:val="22"/>
                <w:lang w:val="en-US" w:eastAsia="zh-CN"/>
              </w:rPr>
              <w:t>运维</w:t>
            </w:r>
            <w:r>
              <w:rPr>
                <w:rFonts w:ascii="Arial" w:hAnsi="Arial" w:eastAsia="等线" w:cs="Arial"/>
                <w:sz w:val="22"/>
              </w:rPr>
              <w:t>部</w:t>
            </w:r>
          </w:p>
          <w:p w14:paraId="0C7ABDB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14:paraId="05EDE98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会议电视</w:t>
            </w:r>
            <w:r>
              <w:rPr>
                <w:rFonts w:ascii="Arial" w:hAnsi="Arial" w:eastAsia="等线" w:cs="Arial"/>
                <w:sz w:val="22"/>
              </w:rPr>
              <w:t>运维工程师</w:t>
            </w:r>
          </w:p>
        </w:tc>
        <w:tc>
          <w:tcPr>
            <w:tcW w:w="1225" w:type="dxa"/>
            <w:tcMar>
              <w:top w:w="60" w:type="dxa"/>
              <w:left w:w="120" w:type="dxa"/>
              <w:bottom w:w="30" w:type="dxa"/>
              <w:right w:w="120" w:type="dxa"/>
            </w:tcMar>
          </w:tcPr>
          <w:p w14:paraId="2C0AD6C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918" w:type="dxa"/>
            <w:vMerge w:val="restart"/>
            <w:tcMar>
              <w:top w:w="60" w:type="dxa"/>
              <w:left w:w="120" w:type="dxa"/>
              <w:bottom w:w="30" w:type="dxa"/>
              <w:right w:w="120" w:type="dxa"/>
            </w:tcMar>
          </w:tcPr>
          <w:p w14:paraId="63829F3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外部招聘估算费用8000元，其他额外费用2000元，总计10000元</w:t>
            </w:r>
          </w:p>
        </w:tc>
        <w:tc>
          <w:tcPr>
            <w:tcW w:w="1185" w:type="dxa"/>
            <w:tcMar>
              <w:top w:w="60" w:type="dxa"/>
              <w:left w:w="120" w:type="dxa"/>
              <w:bottom w:w="30" w:type="dxa"/>
              <w:right w:w="120" w:type="dxa"/>
            </w:tcMar>
          </w:tcPr>
          <w:p w14:paraId="23D92E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w:t>
            </w:r>
          </w:p>
        </w:tc>
        <w:tc>
          <w:tcPr>
            <w:tcW w:w="1040" w:type="dxa"/>
            <w:tcMar>
              <w:top w:w="60" w:type="dxa"/>
              <w:left w:w="120" w:type="dxa"/>
              <w:bottom w:w="30" w:type="dxa"/>
              <w:right w:w="120" w:type="dxa"/>
            </w:tcMar>
          </w:tcPr>
          <w:p w14:paraId="38923F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4月</w:t>
            </w:r>
          </w:p>
        </w:tc>
      </w:tr>
      <w:tr w14:paraId="505F1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trPr>
        <w:tc>
          <w:tcPr>
            <w:tcW w:w="1185" w:type="dxa"/>
            <w:vMerge w:val="continue"/>
            <w:tcMar>
              <w:top w:w="60" w:type="dxa"/>
              <w:left w:w="120" w:type="dxa"/>
              <w:bottom w:w="30" w:type="dxa"/>
              <w:right w:w="120" w:type="dxa"/>
            </w:tcMar>
          </w:tcPr>
          <w:p w14:paraId="503D401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p>
        </w:tc>
        <w:tc>
          <w:tcPr>
            <w:tcW w:w="1185" w:type="dxa"/>
            <w:vMerge w:val="continue"/>
            <w:tcMar>
              <w:top w:w="60" w:type="dxa"/>
              <w:left w:w="120" w:type="dxa"/>
              <w:bottom w:w="30" w:type="dxa"/>
              <w:right w:w="120" w:type="dxa"/>
            </w:tcMar>
          </w:tcPr>
          <w:p w14:paraId="048BDC3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等线" w:cs="Arial"/>
                <w:sz w:val="22"/>
                <w:lang w:val="en-US" w:eastAsia="zh-CN"/>
              </w:rPr>
            </w:pPr>
          </w:p>
        </w:tc>
        <w:tc>
          <w:tcPr>
            <w:tcW w:w="1412" w:type="dxa"/>
            <w:tcMar>
              <w:top w:w="60" w:type="dxa"/>
              <w:left w:w="120" w:type="dxa"/>
              <w:bottom w:w="30" w:type="dxa"/>
              <w:right w:w="120" w:type="dxa"/>
            </w:tcMar>
          </w:tcPr>
          <w:p w14:paraId="0472E74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cs="Arial"/>
                <w:sz w:val="22"/>
                <w:lang w:val="en-US" w:eastAsia="zh-CN"/>
              </w:rPr>
            </w:pPr>
            <w:r>
              <w:rPr>
                <w:rFonts w:hint="eastAsia" w:eastAsia="等线" w:cs="Arial"/>
                <w:sz w:val="22"/>
                <w:lang w:val="en-US" w:eastAsia="zh-CN"/>
              </w:rPr>
              <w:t>数据库运维工程师</w:t>
            </w:r>
          </w:p>
        </w:tc>
        <w:tc>
          <w:tcPr>
            <w:tcW w:w="1225" w:type="dxa"/>
            <w:tcMar>
              <w:top w:w="60" w:type="dxa"/>
              <w:left w:w="120" w:type="dxa"/>
              <w:bottom w:w="30" w:type="dxa"/>
              <w:right w:w="120" w:type="dxa"/>
            </w:tcMar>
          </w:tcPr>
          <w:p w14:paraId="500CE4D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ascii="Arial" w:hAnsi="Arial" w:eastAsia="等线" w:cs="Arial"/>
                <w:sz w:val="22"/>
                <w:lang w:val="en-US" w:eastAsia="zh-CN"/>
              </w:rPr>
            </w:pPr>
            <w:r>
              <w:rPr>
                <w:rFonts w:hint="eastAsia" w:eastAsia="等线" w:cs="Arial"/>
                <w:sz w:val="22"/>
                <w:lang w:val="en-US" w:eastAsia="zh-CN"/>
              </w:rPr>
              <w:t>2</w:t>
            </w:r>
          </w:p>
        </w:tc>
        <w:tc>
          <w:tcPr>
            <w:tcW w:w="918" w:type="dxa"/>
            <w:vMerge w:val="continue"/>
            <w:tcMar>
              <w:top w:w="60" w:type="dxa"/>
              <w:left w:w="120" w:type="dxa"/>
              <w:bottom w:w="30" w:type="dxa"/>
              <w:right w:w="120" w:type="dxa"/>
            </w:tcMar>
          </w:tcPr>
          <w:p w14:paraId="72A23B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ascii="Arial" w:hAnsi="Arial" w:eastAsia="等线" w:cs="Arial"/>
                <w:sz w:val="22"/>
              </w:rPr>
            </w:pPr>
          </w:p>
        </w:tc>
        <w:tc>
          <w:tcPr>
            <w:tcW w:w="1185" w:type="dxa"/>
            <w:shd w:val="clear" w:color="auto" w:fill="auto"/>
            <w:tcMar>
              <w:top w:w="60" w:type="dxa"/>
              <w:left w:w="120" w:type="dxa"/>
              <w:bottom w:w="30" w:type="dxa"/>
              <w:right w:w="120" w:type="dxa"/>
            </w:tcMar>
            <w:vAlign w:val="top"/>
          </w:tcPr>
          <w:p w14:paraId="1362CD0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外部招聘</w:t>
            </w:r>
          </w:p>
        </w:tc>
        <w:tc>
          <w:tcPr>
            <w:tcW w:w="1040" w:type="dxa"/>
            <w:shd w:val="clear" w:color="auto" w:fill="auto"/>
            <w:tcMar>
              <w:top w:w="60" w:type="dxa"/>
              <w:left w:w="120" w:type="dxa"/>
              <w:bottom w:w="30" w:type="dxa"/>
              <w:right w:w="120" w:type="dxa"/>
            </w:tcMar>
            <w:vAlign w:val="top"/>
          </w:tcPr>
          <w:p w14:paraId="5736F11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hint="eastAsia" w:eastAsia="等线" w:cs="Arial"/>
                <w:sz w:val="22"/>
                <w:lang w:val="en-US" w:eastAsia="zh-CN"/>
              </w:rPr>
              <w:t>2025年10</w:t>
            </w:r>
            <w:r>
              <w:rPr>
                <w:rFonts w:ascii="Arial" w:hAnsi="Arial" w:eastAsia="等线" w:cs="Arial"/>
                <w:sz w:val="22"/>
              </w:rPr>
              <w:t>月</w:t>
            </w:r>
          </w:p>
        </w:tc>
      </w:tr>
      <w:tr w14:paraId="4BC00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62" w:hRule="atLeast"/>
        </w:trPr>
        <w:tc>
          <w:tcPr>
            <w:tcW w:w="1185" w:type="dxa"/>
            <w:tcMar>
              <w:top w:w="60" w:type="dxa"/>
              <w:left w:w="120" w:type="dxa"/>
              <w:bottom w:w="30" w:type="dxa"/>
              <w:right w:w="120" w:type="dxa"/>
            </w:tcMar>
          </w:tcPr>
          <w:p w14:paraId="60A5AE9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操作岗</w:t>
            </w:r>
          </w:p>
        </w:tc>
        <w:tc>
          <w:tcPr>
            <w:tcW w:w="1185" w:type="dxa"/>
            <w:vMerge w:val="continue"/>
            <w:tcMar>
              <w:top w:w="60" w:type="dxa"/>
              <w:left w:w="120" w:type="dxa"/>
              <w:bottom w:w="30" w:type="dxa"/>
              <w:right w:w="120" w:type="dxa"/>
            </w:tcMar>
          </w:tcPr>
          <w:p w14:paraId="6B710B9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tcMar>
              <w:top w:w="60" w:type="dxa"/>
              <w:left w:w="120" w:type="dxa"/>
              <w:bottom w:w="30" w:type="dxa"/>
              <w:right w:w="120" w:type="dxa"/>
            </w:tcMar>
          </w:tcPr>
          <w:p w14:paraId="57E9336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服务台专员</w:t>
            </w:r>
          </w:p>
        </w:tc>
        <w:tc>
          <w:tcPr>
            <w:tcW w:w="1225" w:type="dxa"/>
            <w:tcMar>
              <w:top w:w="60" w:type="dxa"/>
              <w:left w:w="120" w:type="dxa"/>
              <w:bottom w:w="30" w:type="dxa"/>
              <w:right w:w="120" w:type="dxa"/>
            </w:tcMar>
          </w:tcPr>
          <w:p w14:paraId="101F5C5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918" w:type="dxa"/>
            <w:vMerge w:val="continue"/>
            <w:tcMar>
              <w:top w:w="60" w:type="dxa"/>
              <w:left w:w="120" w:type="dxa"/>
              <w:bottom w:w="30" w:type="dxa"/>
              <w:right w:w="120" w:type="dxa"/>
            </w:tcMar>
          </w:tcPr>
          <w:p w14:paraId="11BB68A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14:paraId="60ED5F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w:t>
            </w:r>
          </w:p>
        </w:tc>
        <w:tc>
          <w:tcPr>
            <w:tcW w:w="1040" w:type="dxa"/>
            <w:tcMar>
              <w:top w:w="60" w:type="dxa"/>
              <w:left w:w="120" w:type="dxa"/>
              <w:bottom w:w="30" w:type="dxa"/>
              <w:right w:w="120" w:type="dxa"/>
            </w:tcMar>
          </w:tcPr>
          <w:p w14:paraId="544720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2025年</w:t>
            </w:r>
            <w:r>
              <w:rPr>
                <w:rFonts w:ascii="Arial" w:hAnsi="Arial" w:eastAsia="等线" w:cs="Arial"/>
                <w:sz w:val="22"/>
              </w:rPr>
              <w:t>4月</w:t>
            </w:r>
          </w:p>
        </w:tc>
      </w:tr>
      <w:tr w14:paraId="480F0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7" w:hRule="atLeast"/>
        </w:trPr>
        <w:tc>
          <w:tcPr>
            <w:tcW w:w="1185" w:type="dxa"/>
            <w:vMerge w:val="restart"/>
            <w:tcMar>
              <w:top w:w="60" w:type="dxa"/>
              <w:left w:w="120" w:type="dxa"/>
              <w:bottom w:w="30" w:type="dxa"/>
              <w:right w:w="120" w:type="dxa"/>
            </w:tcMar>
          </w:tcPr>
          <w:p w14:paraId="14ABB08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185" w:type="dxa"/>
            <w:vMerge w:val="restart"/>
            <w:tcMar>
              <w:top w:w="60" w:type="dxa"/>
              <w:left w:w="120" w:type="dxa"/>
              <w:bottom w:w="30" w:type="dxa"/>
              <w:right w:w="120" w:type="dxa"/>
            </w:tcMar>
          </w:tcPr>
          <w:p w14:paraId="5C146D9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研发部</w:t>
            </w:r>
          </w:p>
        </w:tc>
        <w:tc>
          <w:tcPr>
            <w:tcW w:w="1412" w:type="dxa"/>
            <w:vMerge w:val="restart"/>
            <w:tcMar>
              <w:top w:w="60" w:type="dxa"/>
              <w:left w:w="120" w:type="dxa"/>
              <w:bottom w:w="30" w:type="dxa"/>
              <w:right w:w="120" w:type="dxa"/>
            </w:tcMar>
          </w:tcPr>
          <w:p w14:paraId="4242B1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w:t>
            </w:r>
          </w:p>
        </w:tc>
        <w:tc>
          <w:tcPr>
            <w:tcW w:w="1225" w:type="dxa"/>
            <w:vMerge w:val="restart"/>
            <w:tcMar>
              <w:top w:w="60" w:type="dxa"/>
              <w:left w:w="120" w:type="dxa"/>
              <w:bottom w:w="30" w:type="dxa"/>
              <w:right w:w="120" w:type="dxa"/>
            </w:tcMar>
          </w:tcPr>
          <w:p w14:paraId="7A194CF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918" w:type="dxa"/>
            <w:vMerge w:val="continue"/>
            <w:tcMar>
              <w:top w:w="60" w:type="dxa"/>
              <w:left w:w="120" w:type="dxa"/>
              <w:bottom w:w="30" w:type="dxa"/>
              <w:right w:w="120" w:type="dxa"/>
            </w:tcMar>
          </w:tcPr>
          <w:p w14:paraId="684AD9F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restart"/>
            <w:tcMar>
              <w:top w:w="60" w:type="dxa"/>
              <w:left w:w="120" w:type="dxa"/>
              <w:bottom w:w="30" w:type="dxa"/>
              <w:right w:w="120" w:type="dxa"/>
            </w:tcMar>
          </w:tcPr>
          <w:p w14:paraId="48372A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外部招聘</w:t>
            </w:r>
          </w:p>
        </w:tc>
        <w:tc>
          <w:tcPr>
            <w:tcW w:w="1040" w:type="dxa"/>
            <w:tcMar>
              <w:top w:w="60" w:type="dxa"/>
              <w:left w:w="120" w:type="dxa"/>
              <w:bottom w:w="30" w:type="dxa"/>
              <w:right w:w="120" w:type="dxa"/>
            </w:tcMar>
          </w:tcPr>
          <w:p w14:paraId="77DC7D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等线"/>
                <w:lang w:val="en-US" w:eastAsia="zh-CN"/>
              </w:rPr>
            </w:pPr>
            <w:r>
              <w:rPr>
                <w:rFonts w:hint="eastAsia" w:eastAsia="等线" w:cs="Arial"/>
                <w:sz w:val="22"/>
                <w:lang w:val="en-US" w:eastAsia="zh-CN"/>
              </w:rPr>
              <w:t>2025年3</w:t>
            </w:r>
            <w:r>
              <w:rPr>
                <w:rFonts w:ascii="Arial" w:hAnsi="Arial" w:eastAsia="等线" w:cs="Arial"/>
                <w:sz w:val="22"/>
              </w:rPr>
              <w:t>月</w:t>
            </w:r>
            <w:r>
              <w:rPr>
                <w:rFonts w:hint="eastAsia" w:eastAsia="等线" w:cs="Arial"/>
                <w:sz w:val="22"/>
                <w:lang w:val="en-US" w:eastAsia="zh-CN"/>
              </w:rPr>
              <w:t>1人</w:t>
            </w:r>
          </w:p>
        </w:tc>
      </w:tr>
      <w:tr w14:paraId="744E0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7" w:hRule="atLeast"/>
        </w:trPr>
        <w:tc>
          <w:tcPr>
            <w:tcW w:w="1185" w:type="dxa"/>
            <w:vMerge w:val="continue"/>
            <w:tcMar>
              <w:top w:w="60" w:type="dxa"/>
              <w:left w:w="120" w:type="dxa"/>
              <w:bottom w:w="30" w:type="dxa"/>
              <w:right w:w="120" w:type="dxa"/>
            </w:tcMar>
          </w:tcPr>
          <w:p w14:paraId="2E7870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continue"/>
            <w:tcMar>
              <w:top w:w="60" w:type="dxa"/>
              <w:left w:w="120" w:type="dxa"/>
              <w:bottom w:w="30" w:type="dxa"/>
              <w:right w:w="120" w:type="dxa"/>
            </w:tcMar>
          </w:tcPr>
          <w:p w14:paraId="5B7871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412" w:type="dxa"/>
            <w:vMerge w:val="continue"/>
            <w:tcMar>
              <w:top w:w="60" w:type="dxa"/>
              <w:left w:w="120" w:type="dxa"/>
              <w:bottom w:w="30" w:type="dxa"/>
              <w:right w:w="120" w:type="dxa"/>
            </w:tcMar>
          </w:tcPr>
          <w:p w14:paraId="0D129ED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225" w:type="dxa"/>
            <w:vMerge w:val="continue"/>
            <w:tcMar>
              <w:top w:w="60" w:type="dxa"/>
              <w:left w:w="120" w:type="dxa"/>
              <w:bottom w:w="30" w:type="dxa"/>
              <w:right w:w="120" w:type="dxa"/>
            </w:tcMar>
          </w:tcPr>
          <w:p w14:paraId="276031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918" w:type="dxa"/>
            <w:vMerge w:val="continue"/>
            <w:tcMar>
              <w:top w:w="60" w:type="dxa"/>
              <w:left w:w="120" w:type="dxa"/>
              <w:bottom w:w="30" w:type="dxa"/>
              <w:right w:w="120" w:type="dxa"/>
            </w:tcMar>
          </w:tcPr>
          <w:p w14:paraId="336235B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vMerge w:val="continue"/>
            <w:tcMar>
              <w:top w:w="60" w:type="dxa"/>
              <w:left w:w="120" w:type="dxa"/>
              <w:bottom w:w="30" w:type="dxa"/>
              <w:right w:w="120" w:type="dxa"/>
            </w:tcMar>
          </w:tcPr>
          <w:p w14:paraId="0E1D521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040" w:type="dxa"/>
            <w:tcMar>
              <w:top w:w="60" w:type="dxa"/>
              <w:left w:w="120" w:type="dxa"/>
              <w:bottom w:w="30" w:type="dxa"/>
              <w:right w:w="120" w:type="dxa"/>
            </w:tcMar>
          </w:tcPr>
          <w:p w14:paraId="6A013F2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ascii="Arial" w:hAnsi="Arial" w:eastAsia="等线" w:cs="Arial"/>
                <w:sz w:val="22"/>
                <w:lang w:val="en-US" w:eastAsia="zh-CN"/>
              </w:rPr>
            </w:pPr>
            <w:r>
              <w:rPr>
                <w:rFonts w:hint="eastAsia" w:eastAsia="等线" w:cs="Arial"/>
                <w:sz w:val="22"/>
                <w:lang w:val="en-US" w:eastAsia="zh-CN"/>
              </w:rPr>
              <w:t>2025年10</w:t>
            </w:r>
            <w:r>
              <w:rPr>
                <w:rFonts w:ascii="Arial" w:hAnsi="Arial" w:eastAsia="等线" w:cs="Arial"/>
                <w:sz w:val="22"/>
              </w:rPr>
              <w:t>月</w:t>
            </w:r>
            <w:r>
              <w:rPr>
                <w:rFonts w:hint="eastAsia" w:eastAsia="等线" w:cs="Arial"/>
                <w:sz w:val="22"/>
                <w:lang w:val="en-US" w:eastAsia="zh-CN"/>
              </w:rPr>
              <w:t>1人</w:t>
            </w:r>
          </w:p>
        </w:tc>
      </w:tr>
      <w:tr w14:paraId="037B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4" w:hRule="atLeast"/>
        </w:trPr>
        <w:tc>
          <w:tcPr>
            <w:tcW w:w="3782" w:type="dxa"/>
            <w:gridSpan w:val="3"/>
            <w:tcMar>
              <w:top w:w="60" w:type="dxa"/>
              <w:left w:w="120" w:type="dxa"/>
              <w:bottom w:w="30" w:type="dxa"/>
              <w:right w:w="120" w:type="dxa"/>
            </w:tcMar>
          </w:tcPr>
          <w:p w14:paraId="51DEFC9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人数总计</w:t>
            </w:r>
          </w:p>
        </w:tc>
        <w:tc>
          <w:tcPr>
            <w:tcW w:w="1225" w:type="dxa"/>
            <w:tcMar>
              <w:top w:w="60" w:type="dxa"/>
              <w:left w:w="120" w:type="dxa"/>
              <w:bottom w:w="30" w:type="dxa"/>
              <w:right w:w="120" w:type="dxa"/>
            </w:tcMar>
          </w:tcPr>
          <w:p w14:paraId="75DC64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6</w:t>
            </w:r>
          </w:p>
        </w:tc>
        <w:tc>
          <w:tcPr>
            <w:tcW w:w="918" w:type="dxa"/>
            <w:vMerge w:val="continue"/>
            <w:tcMar>
              <w:top w:w="60" w:type="dxa"/>
              <w:left w:w="120" w:type="dxa"/>
              <w:bottom w:w="30" w:type="dxa"/>
              <w:right w:w="120" w:type="dxa"/>
            </w:tcMar>
          </w:tcPr>
          <w:p w14:paraId="469C37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185" w:type="dxa"/>
            <w:tcMar>
              <w:top w:w="60" w:type="dxa"/>
              <w:left w:w="120" w:type="dxa"/>
              <w:bottom w:w="30" w:type="dxa"/>
              <w:right w:w="120" w:type="dxa"/>
            </w:tcMar>
          </w:tcPr>
          <w:p w14:paraId="61D164F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040" w:type="dxa"/>
            <w:tcMar>
              <w:top w:w="60" w:type="dxa"/>
              <w:left w:w="120" w:type="dxa"/>
              <w:bottom w:w="30" w:type="dxa"/>
              <w:right w:w="120" w:type="dxa"/>
            </w:tcMar>
          </w:tcPr>
          <w:p w14:paraId="5B6251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r>
    </w:tbl>
    <w:p w14:paraId="024E73CB">
      <w:pPr>
        <w:pStyle w:val="29"/>
        <w:bidi w:val="0"/>
      </w:pPr>
    </w:p>
    <w:p w14:paraId="20FFAAA5">
      <w:pPr>
        <w:pStyle w:val="29"/>
        <w:bidi w:val="0"/>
        <w:rPr>
          <w:rFonts w:hint="eastAsia"/>
          <w:lang w:val="en-US" w:eastAsia="zh-CN"/>
        </w:rPr>
      </w:pPr>
      <w:r>
        <w:rPr>
          <w:rFonts w:hint="default"/>
          <w:lang w:val="en-US" w:eastAsia="zh-CN"/>
        </w:rPr>
        <w:t>根据2025年度工作重点估算人力需求，并对现有人员的分析，进一步完成年度招聘和储备计划。人员招聘计划预计</w:t>
      </w:r>
      <w:r>
        <w:rPr>
          <w:rFonts w:hint="eastAsia"/>
          <w:lang w:val="en-US" w:eastAsia="zh-CN"/>
        </w:rPr>
        <w:t>6</w:t>
      </w:r>
      <w:r>
        <w:rPr>
          <w:rFonts w:hint="default"/>
          <w:lang w:val="en-US" w:eastAsia="zh-CN"/>
        </w:rPr>
        <w:t>人，特别是</w:t>
      </w:r>
      <w:r>
        <w:rPr>
          <w:rFonts w:hint="eastAsia"/>
          <w:lang w:val="en-US" w:eastAsia="zh-CN"/>
        </w:rPr>
        <w:t>会议电视运维工程师1人、数据库运维工程师2人、服务台专员1人及软件研发工程师2人。</w:t>
      </w:r>
    </w:p>
    <w:p w14:paraId="7EE85C4E">
      <w:pPr>
        <w:pStyle w:val="29"/>
        <w:bidi w:val="0"/>
        <w:rPr>
          <w:rFonts w:hint="eastAsia"/>
          <w:lang w:val="en-US" w:eastAsia="zh-CN"/>
        </w:rPr>
      </w:pPr>
      <w:r>
        <w:rPr>
          <w:rFonts w:hint="eastAsia"/>
          <w:lang w:val="en-US" w:eastAsia="zh-CN"/>
        </w:rPr>
        <w:t>人员招聘计划的考核指标为招聘计划完成率，目标值为招聘计划完成率</w:t>
      </w:r>
      <w:r>
        <w:rPr>
          <w:rFonts w:hint="default"/>
          <w:lang w:val="en-US" w:eastAsia="zh-CN"/>
        </w:rPr>
        <w:t>≥9</w:t>
      </w:r>
      <w:r>
        <w:rPr>
          <w:rFonts w:hint="eastAsia"/>
          <w:lang w:val="en-US" w:eastAsia="zh-CN"/>
        </w:rPr>
        <w:t>5</w:t>
      </w:r>
      <w:r>
        <w:rPr>
          <w:rFonts w:hint="default"/>
          <w:lang w:val="en-US" w:eastAsia="zh-CN"/>
        </w:rPr>
        <w:t>%</w:t>
      </w:r>
      <w:r>
        <w:rPr>
          <w:rFonts w:hint="eastAsia"/>
          <w:lang w:val="en-US" w:eastAsia="zh-CN"/>
        </w:rPr>
        <w:t>，计算方式为具体实际招聘人数/计划招聘人数*100%计算</w:t>
      </w:r>
      <w:r>
        <w:rPr>
          <w:rFonts w:hint="default"/>
          <w:lang w:val="en-US" w:eastAsia="zh-CN"/>
        </w:rPr>
        <w:t>，</w:t>
      </w:r>
      <w:r>
        <w:rPr>
          <w:rFonts w:hint="eastAsia"/>
          <w:lang w:val="en-US" w:eastAsia="zh-CN"/>
        </w:rPr>
        <w:t>考核频次为</w:t>
      </w:r>
      <w:r>
        <w:rPr>
          <w:rFonts w:hint="default"/>
          <w:lang w:val="en-US" w:eastAsia="zh-CN"/>
        </w:rPr>
        <w:t>每年度考核一次。</w:t>
      </w:r>
    </w:p>
    <w:p w14:paraId="4FA9A342">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3" w:name="_Toc30280"/>
      <w:r>
        <w:rPr>
          <w:rFonts w:hint="eastAsia"/>
          <w:lang w:val="en-US" w:eastAsia="zh-CN"/>
        </w:rPr>
        <w:t>人员储备计划</w:t>
      </w:r>
      <w:bookmarkEnd w:id="13"/>
    </w:p>
    <w:p w14:paraId="1CFF7E5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t>202</w:t>
      </w:r>
      <w:r>
        <w:rPr>
          <w:rFonts w:hint="eastAsia"/>
          <w:lang w:val="en-US" w:eastAsia="zh-CN"/>
        </w:rPr>
        <w:t>5</w:t>
      </w:r>
      <w:r>
        <w:t>年全年总储备计划14人，其中外部招聘6人、内部选聘8人。计划外部招聘6人，具体为</w:t>
      </w:r>
      <w:r>
        <w:rPr>
          <w:rFonts w:hint="eastAsia"/>
          <w:lang w:val="en-US" w:eastAsia="zh-CN"/>
        </w:rPr>
        <w:t>运维部4人</w:t>
      </w:r>
      <w:r>
        <w:t>、研发部2人；</w:t>
      </w:r>
      <w:r>
        <w:rPr>
          <w:rFonts w:hint="eastAsia"/>
          <w:lang w:val="en-US" w:eastAsia="zh-CN"/>
        </w:rPr>
        <w:t>其中</w:t>
      </w:r>
      <w:r>
        <w:t>技术岗</w:t>
      </w:r>
      <w:r>
        <w:rPr>
          <w:rFonts w:hint="eastAsia"/>
          <w:lang w:val="en-US" w:eastAsia="zh-CN"/>
        </w:rPr>
        <w:t>5</w:t>
      </w:r>
      <w:r>
        <w:t>人，操作岗</w:t>
      </w:r>
      <w:r>
        <w:rPr>
          <w:rFonts w:hint="eastAsia"/>
          <w:lang w:val="en-US" w:eastAsia="zh-CN"/>
        </w:rPr>
        <w:t>1</w:t>
      </w:r>
      <w:r>
        <w:t>人。招聘费用预计10000元（详见本</w:t>
      </w:r>
      <w:r>
        <w:rPr>
          <w:rFonts w:hint="eastAsia"/>
          <w:lang w:val="en-US" w:eastAsia="zh-CN"/>
        </w:rPr>
        <w:t>章节第1小节</w:t>
      </w:r>
      <w:r>
        <w:t>“人员招聘计划”）。</w:t>
      </w:r>
      <w:r>
        <w:rPr>
          <w:rFonts w:hint="eastAsia"/>
          <w:lang w:val="en-US" w:eastAsia="zh-CN"/>
        </w:rPr>
        <w:t>内部储备8人，如下表所示</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60"/>
        <w:gridCol w:w="1173"/>
        <w:gridCol w:w="1414"/>
        <w:gridCol w:w="1626"/>
        <w:gridCol w:w="1694"/>
        <w:gridCol w:w="1213"/>
      </w:tblGrid>
      <w:tr w14:paraId="1568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66C3FDC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岗位类别</w:t>
            </w:r>
          </w:p>
        </w:tc>
        <w:tc>
          <w:tcPr>
            <w:tcW w:w="1173" w:type="dxa"/>
            <w:tcMar>
              <w:top w:w="60" w:type="dxa"/>
              <w:left w:w="120" w:type="dxa"/>
              <w:bottom w:w="30" w:type="dxa"/>
              <w:right w:w="120" w:type="dxa"/>
            </w:tcMar>
          </w:tcPr>
          <w:p w14:paraId="1A10F9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部门名称</w:t>
            </w:r>
          </w:p>
        </w:tc>
        <w:tc>
          <w:tcPr>
            <w:tcW w:w="1414" w:type="dxa"/>
            <w:tcMar>
              <w:top w:w="60" w:type="dxa"/>
              <w:left w:w="120" w:type="dxa"/>
              <w:bottom w:w="30" w:type="dxa"/>
              <w:right w:w="120" w:type="dxa"/>
            </w:tcMar>
          </w:tcPr>
          <w:p w14:paraId="43A2BA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1626" w:type="dxa"/>
            <w:tcMar>
              <w:top w:w="60" w:type="dxa"/>
              <w:left w:w="120" w:type="dxa"/>
              <w:bottom w:w="30" w:type="dxa"/>
              <w:right w:w="120" w:type="dxa"/>
            </w:tcMar>
          </w:tcPr>
          <w:p w14:paraId="11AB528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计划储备人数</w:t>
            </w:r>
          </w:p>
        </w:tc>
        <w:tc>
          <w:tcPr>
            <w:tcW w:w="1694" w:type="dxa"/>
            <w:tcMar>
              <w:top w:w="60" w:type="dxa"/>
              <w:left w:w="120" w:type="dxa"/>
              <w:bottom w:w="30" w:type="dxa"/>
              <w:right w:w="120" w:type="dxa"/>
            </w:tcMar>
          </w:tcPr>
          <w:p w14:paraId="1BD5DC4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计划储备时间</w:t>
            </w:r>
          </w:p>
        </w:tc>
        <w:tc>
          <w:tcPr>
            <w:tcW w:w="1213" w:type="dxa"/>
            <w:tcMar>
              <w:top w:w="60" w:type="dxa"/>
              <w:left w:w="120" w:type="dxa"/>
              <w:bottom w:w="30" w:type="dxa"/>
              <w:right w:w="120" w:type="dxa"/>
            </w:tcMar>
          </w:tcPr>
          <w:p w14:paraId="508561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储备方式</w:t>
            </w:r>
          </w:p>
        </w:tc>
      </w:tr>
      <w:tr w14:paraId="23EB5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166BC0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val="en-US" w:eastAsia="zh-CN"/>
              </w:rPr>
            </w:pPr>
            <w:r>
              <w:rPr>
                <w:rFonts w:hint="eastAsia"/>
                <w:lang w:val="en-US" w:eastAsia="zh-CN"/>
              </w:rPr>
              <w:t>操作岗</w:t>
            </w:r>
          </w:p>
        </w:tc>
        <w:tc>
          <w:tcPr>
            <w:tcW w:w="1173" w:type="dxa"/>
            <w:tcMar>
              <w:top w:w="60" w:type="dxa"/>
              <w:left w:w="120" w:type="dxa"/>
              <w:bottom w:w="30" w:type="dxa"/>
              <w:right w:w="120" w:type="dxa"/>
            </w:tcMar>
          </w:tcPr>
          <w:p w14:paraId="3C2A2F8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val="en-US" w:eastAsia="zh-CN"/>
              </w:rPr>
              <w:t>运维部</w:t>
            </w:r>
          </w:p>
        </w:tc>
        <w:tc>
          <w:tcPr>
            <w:tcW w:w="1414" w:type="dxa"/>
            <w:tcMar>
              <w:top w:w="60" w:type="dxa"/>
              <w:left w:w="120" w:type="dxa"/>
              <w:bottom w:w="30" w:type="dxa"/>
              <w:right w:w="120" w:type="dxa"/>
            </w:tcMar>
          </w:tcPr>
          <w:p w14:paraId="0DA66BA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1626" w:type="dxa"/>
            <w:tcMar>
              <w:top w:w="60" w:type="dxa"/>
              <w:left w:w="120" w:type="dxa"/>
              <w:bottom w:w="30" w:type="dxa"/>
              <w:right w:w="120" w:type="dxa"/>
            </w:tcMar>
          </w:tcPr>
          <w:p w14:paraId="64A3AF4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79C2D07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1月</w:t>
            </w:r>
          </w:p>
        </w:tc>
        <w:tc>
          <w:tcPr>
            <w:tcW w:w="1213" w:type="dxa"/>
            <w:tcMar>
              <w:top w:w="60" w:type="dxa"/>
              <w:left w:w="120" w:type="dxa"/>
              <w:bottom w:w="30" w:type="dxa"/>
              <w:right w:w="120" w:type="dxa"/>
            </w:tcMar>
          </w:tcPr>
          <w:p w14:paraId="1ECBD7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0F02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32A274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14:paraId="31B4D7E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2F50834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传输设备运维工程师</w:t>
            </w:r>
          </w:p>
        </w:tc>
        <w:tc>
          <w:tcPr>
            <w:tcW w:w="1626" w:type="dxa"/>
            <w:tcMar>
              <w:top w:w="60" w:type="dxa"/>
              <w:left w:w="120" w:type="dxa"/>
              <w:bottom w:w="30" w:type="dxa"/>
              <w:right w:w="120" w:type="dxa"/>
            </w:tcMar>
          </w:tcPr>
          <w:p w14:paraId="1AAED06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2B73EF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213" w:type="dxa"/>
            <w:tcMar>
              <w:top w:w="60" w:type="dxa"/>
              <w:left w:w="120" w:type="dxa"/>
              <w:bottom w:w="30" w:type="dxa"/>
              <w:right w:w="120" w:type="dxa"/>
            </w:tcMar>
          </w:tcPr>
          <w:p w14:paraId="62F60C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2DD6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shd w:val="clear" w:color="auto" w:fill="auto"/>
            <w:tcMar>
              <w:top w:w="60" w:type="dxa"/>
              <w:left w:w="120" w:type="dxa"/>
              <w:bottom w:w="30" w:type="dxa"/>
              <w:right w:w="120" w:type="dxa"/>
            </w:tcMar>
            <w:vAlign w:val="top"/>
          </w:tcPr>
          <w:p w14:paraId="243728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技术岗</w:t>
            </w:r>
          </w:p>
        </w:tc>
        <w:tc>
          <w:tcPr>
            <w:tcW w:w="1173" w:type="dxa"/>
            <w:shd w:val="clear" w:color="auto" w:fill="auto"/>
            <w:tcMar>
              <w:top w:w="60" w:type="dxa"/>
              <w:left w:w="120" w:type="dxa"/>
              <w:bottom w:w="30" w:type="dxa"/>
              <w:right w:w="120" w:type="dxa"/>
            </w:tcMar>
            <w:vAlign w:val="top"/>
          </w:tcPr>
          <w:p w14:paraId="05E7D43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运维部</w:t>
            </w:r>
          </w:p>
        </w:tc>
        <w:tc>
          <w:tcPr>
            <w:tcW w:w="1414" w:type="dxa"/>
            <w:shd w:val="clear" w:color="auto" w:fill="auto"/>
            <w:tcMar>
              <w:top w:w="60" w:type="dxa"/>
              <w:left w:w="120" w:type="dxa"/>
              <w:bottom w:w="30" w:type="dxa"/>
              <w:right w:w="120" w:type="dxa"/>
            </w:tcMar>
            <w:vAlign w:val="top"/>
          </w:tcPr>
          <w:p w14:paraId="757970A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项目经理</w:t>
            </w:r>
          </w:p>
        </w:tc>
        <w:tc>
          <w:tcPr>
            <w:tcW w:w="1626" w:type="dxa"/>
            <w:shd w:val="clear" w:color="auto" w:fill="auto"/>
            <w:tcMar>
              <w:top w:w="60" w:type="dxa"/>
              <w:left w:w="120" w:type="dxa"/>
              <w:bottom w:w="30" w:type="dxa"/>
              <w:right w:w="120" w:type="dxa"/>
            </w:tcMar>
            <w:vAlign w:val="top"/>
          </w:tcPr>
          <w:p w14:paraId="0526C99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w:t>
            </w:r>
          </w:p>
        </w:tc>
        <w:tc>
          <w:tcPr>
            <w:tcW w:w="1694" w:type="dxa"/>
            <w:shd w:val="clear" w:color="auto" w:fill="auto"/>
            <w:tcMar>
              <w:top w:w="60" w:type="dxa"/>
              <w:left w:w="120" w:type="dxa"/>
              <w:bottom w:w="30" w:type="dxa"/>
              <w:right w:w="120" w:type="dxa"/>
            </w:tcMar>
            <w:vAlign w:val="top"/>
          </w:tcPr>
          <w:p w14:paraId="04238F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6月</w:t>
            </w:r>
          </w:p>
        </w:tc>
        <w:tc>
          <w:tcPr>
            <w:tcW w:w="1213" w:type="dxa"/>
            <w:shd w:val="clear" w:color="auto" w:fill="auto"/>
            <w:tcMar>
              <w:top w:w="60" w:type="dxa"/>
              <w:left w:w="120" w:type="dxa"/>
              <w:bottom w:w="30" w:type="dxa"/>
              <w:right w:w="120" w:type="dxa"/>
            </w:tcMar>
            <w:vAlign w:val="top"/>
          </w:tcPr>
          <w:p w14:paraId="70B0842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内部选聘</w:t>
            </w:r>
          </w:p>
        </w:tc>
      </w:tr>
      <w:tr w14:paraId="1A29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06247C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173" w:type="dxa"/>
            <w:tcMar>
              <w:top w:w="60" w:type="dxa"/>
              <w:left w:w="120" w:type="dxa"/>
              <w:bottom w:w="30" w:type="dxa"/>
              <w:right w:w="120" w:type="dxa"/>
            </w:tcMar>
          </w:tcPr>
          <w:p w14:paraId="70B28A1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48F941F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项目经理</w:t>
            </w:r>
          </w:p>
        </w:tc>
        <w:tc>
          <w:tcPr>
            <w:tcW w:w="1626" w:type="dxa"/>
            <w:tcMar>
              <w:top w:w="60" w:type="dxa"/>
              <w:left w:w="120" w:type="dxa"/>
              <w:bottom w:w="30" w:type="dxa"/>
              <w:right w:w="120" w:type="dxa"/>
            </w:tcMar>
          </w:tcPr>
          <w:p w14:paraId="41BC3E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694" w:type="dxa"/>
            <w:tcMar>
              <w:top w:w="60" w:type="dxa"/>
              <w:left w:w="120" w:type="dxa"/>
              <w:bottom w:w="30" w:type="dxa"/>
              <w:right w:w="120" w:type="dxa"/>
            </w:tcMar>
          </w:tcPr>
          <w:p w14:paraId="6D1CB9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213" w:type="dxa"/>
            <w:tcMar>
              <w:top w:w="60" w:type="dxa"/>
              <w:left w:w="120" w:type="dxa"/>
              <w:bottom w:w="30" w:type="dxa"/>
              <w:right w:w="120" w:type="dxa"/>
            </w:tcMar>
          </w:tcPr>
          <w:p w14:paraId="7CD66BD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2AADE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56CC50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14:paraId="451921D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4C36C6F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ERP系统运维工程师</w:t>
            </w:r>
          </w:p>
        </w:tc>
        <w:tc>
          <w:tcPr>
            <w:tcW w:w="1626" w:type="dxa"/>
            <w:tcMar>
              <w:top w:w="60" w:type="dxa"/>
              <w:left w:w="120" w:type="dxa"/>
              <w:bottom w:w="30" w:type="dxa"/>
              <w:right w:w="120" w:type="dxa"/>
            </w:tcMar>
          </w:tcPr>
          <w:p w14:paraId="3807C7C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4031CD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213" w:type="dxa"/>
            <w:tcMar>
              <w:top w:w="60" w:type="dxa"/>
              <w:left w:w="120" w:type="dxa"/>
              <w:bottom w:w="30" w:type="dxa"/>
              <w:right w:w="120" w:type="dxa"/>
            </w:tcMar>
          </w:tcPr>
          <w:p w14:paraId="1C61F1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540D2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shd w:val="clear" w:color="auto" w:fill="auto"/>
            <w:tcMar>
              <w:top w:w="60" w:type="dxa"/>
              <w:left w:w="120" w:type="dxa"/>
              <w:bottom w:w="30" w:type="dxa"/>
              <w:right w:w="120" w:type="dxa"/>
            </w:tcMar>
            <w:vAlign w:val="top"/>
          </w:tcPr>
          <w:p w14:paraId="5F9FA1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lang w:val="en-US" w:eastAsia="zh-CN"/>
              </w:rPr>
              <w:t>操作岗</w:t>
            </w:r>
          </w:p>
        </w:tc>
        <w:tc>
          <w:tcPr>
            <w:tcW w:w="1173" w:type="dxa"/>
            <w:shd w:val="clear" w:color="auto" w:fill="auto"/>
            <w:tcMar>
              <w:top w:w="60" w:type="dxa"/>
              <w:left w:w="120" w:type="dxa"/>
              <w:bottom w:w="30" w:type="dxa"/>
              <w:right w:w="120" w:type="dxa"/>
            </w:tcMar>
            <w:vAlign w:val="top"/>
          </w:tcPr>
          <w:p w14:paraId="4548CE9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hint="eastAsia" w:ascii="Arial" w:hAnsi="Arial" w:eastAsia="宋体" w:cs="Arial"/>
                <w:snapToGrid w:val="0"/>
                <w:color w:val="000000"/>
                <w:kern w:val="0"/>
                <w:sz w:val="21"/>
                <w:szCs w:val="21"/>
                <w:lang w:val="en-US" w:eastAsia="zh-CN" w:bidi="ar-SA"/>
              </w:rPr>
            </w:pPr>
            <w:r>
              <w:rPr>
                <w:rFonts w:hint="eastAsia" w:eastAsia="等线" w:cs="Arial"/>
                <w:sz w:val="22"/>
                <w:lang w:val="en-US" w:eastAsia="zh-CN"/>
              </w:rPr>
              <w:t>运维部</w:t>
            </w:r>
          </w:p>
        </w:tc>
        <w:tc>
          <w:tcPr>
            <w:tcW w:w="1414" w:type="dxa"/>
            <w:shd w:val="clear" w:color="auto" w:fill="auto"/>
            <w:tcMar>
              <w:top w:w="60" w:type="dxa"/>
              <w:left w:w="120" w:type="dxa"/>
              <w:bottom w:w="30" w:type="dxa"/>
              <w:right w:w="120" w:type="dxa"/>
            </w:tcMar>
            <w:vAlign w:val="top"/>
          </w:tcPr>
          <w:p w14:paraId="261269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运行监控运维工程师</w:t>
            </w:r>
          </w:p>
        </w:tc>
        <w:tc>
          <w:tcPr>
            <w:tcW w:w="1626" w:type="dxa"/>
            <w:shd w:val="clear" w:color="auto" w:fill="auto"/>
            <w:tcMar>
              <w:top w:w="60" w:type="dxa"/>
              <w:left w:w="120" w:type="dxa"/>
              <w:bottom w:w="30" w:type="dxa"/>
              <w:right w:w="120" w:type="dxa"/>
            </w:tcMar>
            <w:vAlign w:val="top"/>
          </w:tcPr>
          <w:p w14:paraId="45C34E9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w:t>
            </w:r>
          </w:p>
        </w:tc>
        <w:tc>
          <w:tcPr>
            <w:tcW w:w="1694" w:type="dxa"/>
            <w:shd w:val="clear" w:color="auto" w:fill="auto"/>
            <w:tcMar>
              <w:top w:w="60" w:type="dxa"/>
              <w:left w:w="120" w:type="dxa"/>
              <w:bottom w:w="30" w:type="dxa"/>
              <w:right w:w="120" w:type="dxa"/>
            </w:tcMar>
            <w:vAlign w:val="top"/>
          </w:tcPr>
          <w:p w14:paraId="5BCD6AD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10月</w:t>
            </w:r>
          </w:p>
        </w:tc>
        <w:tc>
          <w:tcPr>
            <w:tcW w:w="1213" w:type="dxa"/>
            <w:shd w:val="clear" w:color="auto" w:fill="auto"/>
            <w:tcMar>
              <w:top w:w="60" w:type="dxa"/>
              <w:left w:w="120" w:type="dxa"/>
              <w:bottom w:w="30" w:type="dxa"/>
              <w:right w:w="120" w:type="dxa"/>
            </w:tcMar>
            <w:vAlign w:val="top"/>
          </w:tcPr>
          <w:p w14:paraId="44C6FE9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内部选聘</w:t>
            </w:r>
          </w:p>
        </w:tc>
      </w:tr>
      <w:tr w14:paraId="2E288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60" w:type="dxa"/>
            <w:tcMar>
              <w:top w:w="60" w:type="dxa"/>
              <w:left w:w="120" w:type="dxa"/>
              <w:bottom w:w="30" w:type="dxa"/>
              <w:right w:w="120" w:type="dxa"/>
            </w:tcMar>
          </w:tcPr>
          <w:p w14:paraId="1559A22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操作岗</w:t>
            </w:r>
          </w:p>
        </w:tc>
        <w:tc>
          <w:tcPr>
            <w:tcW w:w="1173" w:type="dxa"/>
            <w:tcMar>
              <w:top w:w="60" w:type="dxa"/>
              <w:left w:w="120" w:type="dxa"/>
              <w:bottom w:w="30" w:type="dxa"/>
              <w:right w:w="120" w:type="dxa"/>
            </w:tcMar>
          </w:tcPr>
          <w:p w14:paraId="3020CE9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w:t>
            </w:r>
          </w:p>
        </w:tc>
        <w:tc>
          <w:tcPr>
            <w:tcW w:w="1414" w:type="dxa"/>
            <w:tcMar>
              <w:top w:w="60" w:type="dxa"/>
              <w:left w:w="120" w:type="dxa"/>
              <w:bottom w:w="30" w:type="dxa"/>
              <w:right w:w="120" w:type="dxa"/>
            </w:tcMar>
          </w:tcPr>
          <w:p w14:paraId="1089CFC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数据库运维工程师</w:t>
            </w:r>
          </w:p>
        </w:tc>
        <w:tc>
          <w:tcPr>
            <w:tcW w:w="1626" w:type="dxa"/>
            <w:tcMar>
              <w:top w:w="60" w:type="dxa"/>
              <w:left w:w="120" w:type="dxa"/>
              <w:bottom w:w="30" w:type="dxa"/>
              <w:right w:w="120" w:type="dxa"/>
            </w:tcMar>
          </w:tcPr>
          <w:p w14:paraId="52B1870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694" w:type="dxa"/>
            <w:tcMar>
              <w:top w:w="60" w:type="dxa"/>
              <w:left w:w="120" w:type="dxa"/>
              <w:bottom w:w="30" w:type="dxa"/>
              <w:right w:w="120" w:type="dxa"/>
            </w:tcMar>
          </w:tcPr>
          <w:p w14:paraId="1BA254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12月</w:t>
            </w:r>
          </w:p>
        </w:tc>
        <w:tc>
          <w:tcPr>
            <w:tcW w:w="1213" w:type="dxa"/>
            <w:tcMar>
              <w:top w:w="60" w:type="dxa"/>
              <w:left w:w="120" w:type="dxa"/>
              <w:bottom w:w="30" w:type="dxa"/>
              <w:right w:w="120" w:type="dxa"/>
            </w:tcMar>
          </w:tcPr>
          <w:p w14:paraId="7E80BFB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内部选聘</w:t>
            </w:r>
          </w:p>
        </w:tc>
      </w:tr>
      <w:tr w14:paraId="758BB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67" w:hRule="atLeast"/>
        </w:trPr>
        <w:tc>
          <w:tcPr>
            <w:tcW w:w="3747" w:type="dxa"/>
            <w:gridSpan w:val="3"/>
            <w:tcMar>
              <w:top w:w="60" w:type="dxa"/>
              <w:left w:w="120" w:type="dxa"/>
              <w:bottom w:w="30" w:type="dxa"/>
              <w:right w:w="120" w:type="dxa"/>
            </w:tcMar>
          </w:tcPr>
          <w:p w14:paraId="4BBCC3A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小计</w:t>
            </w:r>
          </w:p>
        </w:tc>
        <w:tc>
          <w:tcPr>
            <w:tcW w:w="1626" w:type="dxa"/>
            <w:tcMar>
              <w:top w:w="60" w:type="dxa"/>
              <w:left w:w="120" w:type="dxa"/>
              <w:bottom w:w="30" w:type="dxa"/>
              <w:right w:w="120" w:type="dxa"/>
            </w:tcMar>
          </w:tcPr>
          <w:p w14:paraId="12BAE49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c>
          <w:tcPr>
            <w:tcW w:w="1694" w:type="dxa"/>
            <w:tcMar>
              <w:top w:w="60" w:type="dxa"/>
              <w:left w:w="120" w:type="dxa"/>
              <w:bottom w:w="30" w:type="dxa"/>
              <w:right w:w="120" w:type="dxa"/>
            </w:tcMar>
          </w:tcPr>
          <w:p w14:paraId="019E1E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213" w:type="dxa"/>
            <w:tcMar>
              <w:top w:w="60" w:type="dxa"/>
              <w:left w:w="120" w:type="dxa"/>
              <w:bottom w:w="30" w:type="dxa"/>
              <w:right w:w="120" w:type="dxa"/>
            </w:tcMar>
          </w:tcPr>
          <w:p w14:paraId="355699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r>
    </w:tbl>
    <w:p w14:paraId="24B60B34">
      <w:pPr>
        <w:pStyle w:val="29"/>
        <w:bidi w:val="0"/>
        <w:rPr>
          <w:rFonts w:hint="eastAsia"/>
          <w:lang w:val="en-US" w:eastAsia="zh-CN"/>
        </w:rPr>
      </w:pPr>
      <w:r>
        <w:rPr>
          <w:rFonts w:hint="default"/>
          <w:lang w:val="en-US" w:eastAsia="zh-CN"/>
        </w:rPr>
        <w:t>内部储备，从现有运维工程师选拔。要求人员储备</w:t>
      </w:r>
      <w:r>
        <w:rPr>
          <w:rFonts w:hint="eastAsia"/>
          <w:lang w:val="en-US" w:eastAsia="zh-CN"/>
        </w:rPr>
        <w:t>计划</w:t>
      </w:r>
      <w:r>
        <w:rPr>
          <w:rFonts w:hint="default"/>
          <w:lang w:val="en-US" w:eastAsia="zh-CN"/>
        </w:rPr>
        <w:t>完成</w:t>
      </w:r>
      <w:r>
        <w:rPr>
          <w:rFonts w:hint="eastAsia"/>
          <w:lang w:val="en-US" w:eastAsia="zh-CN"/>
        </w:rPr>
        <w:t>为100</w:t>
      </w:r>
      <w:r>
        <w:rPr>
          <w:rFonts w:hint="default"/>
          <w:lang w:val="en-US" w:eastAsia="zh-CN"/>
        </w:rPr>
        <w:t>%</w:t>
      </w:r>
      <w:r>
        <w:rPr>
          <w:rFonts w:hint="eastAsia"/>
          <w:lang w:val="en-US" w:eastAsia="zh-CN"/>
        </w:rPr>
        <w:t>，</w:t>
      </w:r>
      <w:r>
        <w:rPr>
          <w:rFonts w:hint="default"/>
          <w:lang w:val="en-US" w:eastAsia="zh-CN"/>
        </w:rPr>
        <w:t>具体</w:t>
      </w:r>
      <w:r>
        <w:rPr>
          <w:rFonts w:hint="eastAsia"/>
          <w:lang w:val="en-US" w:eastAsia="zh-CN"/>
        </w:rPr>
        <w:t>完成</w:t>
      </w:r>
      <w:r>
        <w:rPr>
          <w:rFonts w:hint="default"/>
          <w:lang w:val="en-US" w:eastAsia="zh-CN"/>
        </w:rPr>
        <w:t>率按实际储备人数/</w:t>
      </w:r>
      <w:r>
        <w:rPr>
          <w:rFonts w:hint="eastAsia"/>
          <w:lang w:val="en-US" w:eastAsia="zh-CN"/>
        </w:rPr>
        <w:t>计划储备</w:t>
      </w:r>
      <w:r>
        <w:rPr>
          <w:rFonts w:hint="default"/>
          <w:lang w:val="en-US" w:eastAsia="zh-CN"/>
        </w:rPr>
        <w:t>人员</w:t>
      </w:r>
      <w:r>
        <w:rPr>
          <w:rFonts w:hint="eastAsia"/>
          <w:lang w:val="en-US" w:eastAsia="zh-CN"/>
        </w:rPr>
        <w:t>*100%</w:t>
      </w:r>
      <w:r>
        <w:rPr>
          <w:rFonts w:hint="default"/>
          <w:lang w:val="en-US" w:eastAsia="zh-CN"/>
        </w:rPr>
        <w:t>计算</w:t>
      </w:r>
      <w:r>
        <w:rPr>
          <w:rFonts w:hint="eastAsia"/>
          <w:lang w:val="en-US" w:eastAsia="zh-CN"/>
        </w:rPr>
        <w:t>，每年考核一次。</w:t>
      </w:r>
    </w:p>
    <w:p w14:paraId="7FC4D6CE">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3" w:name="_GoBack"/>
      <w:bookmarkEnd w:id="53"/>
      <w:bookmarkStart w:id="14" w:name="_Toc31976"/>
      <w:r>
        <w:rPr>
          <w:rFonts w:hint="eastAsia"/>
          <w:lang w:val="en-US" w:eastAsia="zh-CN"/>
        </w:rPr>
        <w:t>人员培训计划</w:t>
      </w:r>
      <w:bookmarkEnd w:id="14"/>
    </w:p>
    <w:p w14:paraId="45CB4DB2">
      <w:pPr>
        <w:pStyle w:val="29"/>
        <w:keepNext w:val="0"/>
        <w:keepLines w:val="0"/>
        <w:pageBreakBefore w:val="0"/>
        <w:widowControl w:val="0"/>
        <w:kinsoku w:val="0"/>
        <w:wordWrap/>
        <w:overflowPunct/>
        <w:autoSpaceDE w:val="0"/>
        <w:autoSpaceDN w:val="0"/>
        <w:bidi w:val="0"/>
        <w:adjustRightInd w:val="0"/>
        <w:snapToGrid w:val="0"/>
        <w:textAlignment w:val="baseline"/>
      </w:pPr>
      <w:r>
        <w:t>通过培训，可以提高员工的综合素质，促使员工操作技能和职位得到更高的提升；搭建员工学习新技术和新方法的平台，并创造机会让员工将所学的知识应用于工作实践，以确保公司收益增长，促进公司稳步发展；根据公司需要，组织员工参加各种资质或从业资格的培训考试，获得相应的资质或资格证书。</w:t>
      </w:r>
    </w:p>
    <w:p w14:paraId="758E6E47">
      <w:pPr>
        <w:pStyle w:val="29"/>
        <w:keepNext w:val="0"/>
        <w:keepLines w:val="0"/>
        <w:pageBreakBefore w:val="0"/>
        <w:widowControl w:val="0"/>
        <w:kinsoku w:val="0"/>
        <w:wordWrap/>
        <w:overflowPunct/>
        <w:autoSpaceDE w:val="0"/>
        <w:autoSpaceDN w:val="0"/>
        <w:bidi w:val="0"/>
        <w:adjustRightInd w:val="0"/>
        <w:snapToGrid w:val="0"/>
        <w:textAlignment w:val="baseline"/>
      </w:pPr>
      <w:r>
        <w:t>2025年培训投入预算</w:t>
      </w:r>
      <w:r>
        <w:rPr>
          <w:rFonts w:hint="eastAsia"/>
          <w:lang w:val="en-US" w:eastAsia="zh-CN"/>
        </w:rPr>
        <w:t>1</w:t>
      </w:r>
      <w:r>
        <w:t>万元。</w:t>
      </w:r>
    </w:p>
    <w:p w14:paraId="502A2BC3">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t>公司</w:t>
      </w:r>
      <w:r>
        <w:rPr>
          <w:rFonts w:hint="eastAsia"/>
          <w:lang w:eastAsia="zh-CN"/>
        </w:rPr>
        <w:t>人力部</w:t>
      </w:r>
      <w:r>
        <w:t>根据预算和培训要求，仔细获取各个部门、各个岗位的培训需求，制定培训计划，并完成培训计划的实施。</w:t>
      </w:r>
      <w:r>
        <w:rPr>
          <w:rFonts w:hint="eastAsia"/>
          <w:lang w:val="en-US" w:eastAsia="zh-CN"/>
        </w:rPr>
        <w:t>要求培训完成率</w:t>
      </w:r>
      <w:r>
        <w:rPr>
          <w:rFonts w:hint="default"/>
          <w:lang w:val="en-US" w:eastAsia="zh-CN"/>
        </w:rPr>
        <w:t>≥9</w:t>
      </w:r>
      <w:r>
        <w:rPr>
          <w:rFonts w:hint="eastAsia"/>
          <w:lang w:val="en-US" w:eastAsia="zh-CN"/>
        </w:rPr>
        <w:t>8</w:t>
      </w:r>
      <w:r>
        <w:rPr>
          <w:rFonts w:hint="default"/>
          <w:lang w:val="en-US" w:eastAsia="zh-CN"/>
        </w:rPr>
        <w:t>%</w:t>
      </w:r>
      <w:r>
        <w:rPr>
          <w:rFonts w:hint="eastAsia"/>
          <w:lang w:val="en-US" w:eastAsia="zh-CN"/>
        </w:rPr>
        <w:t>，具体完成率按实际培训次数</w:t>
      </w:r>
      <w:r>
        <w:rPr>
          <w:rFonts w:hint="eastAsia"/>
        </w:rPr>
        <w:t>/计划培训</w:t>
      </w:r>
      <w:r>
        <w:rPr>
          <w:rFonts w:hint="eastAsia"/>
          <w:lang w:val="en-US" w:eastAsia="zh-CN"/>
        </w:rPr>
        <w:t>次数</w:t>
      </w:r>
      <w:r>
        <w:rPr>
          <w:rFonts w:hint="eastAsia"/>
        </w:rPr>
        <w:t>*100%</w:t>
      </w:r>
      <w:r>
        <w:rPr>
          <w:rFonts w:hint="eastAsia"/>
          <w:lang w:val="en-US" w:eastAsia="zh-CN"/>
        </w:rPr>
        <w:t>计算，每年考核一次。</w:t>
      </w:r>
    </w:p>
    <w:p w14:paraId="3DD03BD6">
      <w:pPr>
        <w:keepNext w:val="0"/>
        <w:keepLines w:val="0"/>
        <w:pageBreakBefore w:val="0"/>
        <w:widowControl w:val="0"/>
        <w:kinsoku w:val="0"/>
        <w:wordWrap/>
        <w:overflowPunct/>
        <w:autoSpaceDE w:val="0"/>
        <w:autoSpaceDN w:val="0"/>
        <w:bidi w:val="0"/>
        <w:adjustRightInd w:val="0"/>
        <w:snapToGrid w:val="0"/>
        <w:spacing w:line="25" w:lineRule="auto"/>
        <w:textAlignment w:val="baseline"/>
        <w:rPr>
          <w:rFonts w:ascii="Arial"/>
          <w:sz w:val="2"/>
        </w:rPr>
      </w:pPr>
    </w:p>
    <w:p w14:paraId="0C60751E">
      <w:pPr>
        <w:pStyle w:val="29"/>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r>
        <w:rPr>
          <w:rFonts w:hint="eastAsia"/>
          <w:lang w:val="en-US" w:eastAsia="zh-CN"/>
        </w:rPr>
        <w:t>2025年培训计划表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185"/>
        <w:gridCol w:w="1185"/>
        <w:gridCol w:w="1185"/>
        <w:gridCol w:w="1185"/>
        <w:gridCol w:w="1185"/>
        <w:gridCol w:w="1185"/>
      </w:tblGrid>
      <w:tr w14:paraId="64594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C6AE50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序号</w:t>
            </w:r>
          </w:p>
        </w:tc>
        <w:tc>
          <w:tcPr>
            <w:tcW w:w="1185" w:type="dxa"/>
            <w:tcMar>
              <w:top w:w="60" w:type="dxa"/>
              <w:left w:w="120" w:type="dxa"/>
              <w:bottom w:w="30" w:type="dxa"/>
              <w:right w:w="120" w:type="dxa"/>
            </w:tcMar>
          </w:tcPr>
          <w:p w14:paraId="47AEB7B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培训类别</w:t>
            </w:r>
          </w:p>
        </w:tc>
        <w:tc>
          <w:tcPr>
            <w:tcW w:w="1185" w:type="dxa"/>
            <w:tcMar>
              <w:top w:w="60" w:type="dxa"/>
              <w:left w:w="120" w:type="dxa"/>
              <w:bottom w:w="30" w:type="dxa"/>
              <w:right w:w="120" w:type="dxa"/>
            </w:tcMar>
          </w:tcPr>
          <w:p w14:paraId="6B1AC40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培训内容</w:t>
            </w:r>
          </w:p>
        </w:tc>
        <w:tc>
          <w:tcPr>
            <w:tcW w:w="1185" w:type="dxa"/>
            <w:tcMar>
              <w:top w:w="60" w:type="dxa"/>
              <w:left w:w="120" w:type="dxa"/>
              <w:bottom w:w="30" w:type="dxa"/>
              <w:right w:w="120" w:type="dxa"/>
            </w:tcMar>
          </w:tcPr>
          <w:p w14:paraId="323EC96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培训对象</w:t>
            </w:r>
          </w:p>
        </w:tc>
        <w:tc>
          <w:tcPr>
            <w:tcW w:w="1185" w:type="dxa"/>
            <w:tcMar>
              <w:top w:w="60" w:type="dxa"/>
              <w:left w:w="120" w:type="dxa"/>
              <w:bottom w:w="30" w:type="dxa"/>
              <w:right w:w="120" w:type="dxa"/>
            </w:tcMar>
          </w:tcPr>
          <w:p w14:paraId="66CE39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计划培训时间</w:t>
            </w:r>
          </w:p>
        </w:tc>
        <w:tc>
          <w:tcPr>
            <w:tcW w:w="1185" w:type="dxa"/>
            <w:tcMar>
              <w:top w:w="60" w:type="dxa"/>
              <w:left w:w="120" w:type="dxa"/>
              <w:bottom w:w="30" w:type="dxa"/>
              <w:right w:w="120" w:type="dxa"/>
            </w:tcMar>
          </w:tcPr>
          <w:p w14:paraId="664DD9F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培训讲师</w:t>
            </w:r>
          </w:p>
        </w:tc>
        <w:tc>
          <w:tcPr>
            <w:tcW w:w="1185" w:type="dxa"/>
            <w:tcMar>
              <w:top w:w="60" w:type="dxa"/>
              <w:left w:w="120" w:type="dxa"/>
              <w:bottom w:w="30" w:type="dxa"/>
              <w:right w:w="120" w:type="dxa"/>
            </w:tcMar>
          </w:tcPr>
          <w:p w14:paraId="262961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计划课时</w:t>
            </w:r>
          </w:p>
        </w:tc>
      </w:tr>
      <w:tr w14:paraId="1CBA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3A836A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22F2B1C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68DACF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新员工入职培训</w:t>
            </w:r>
          </w:p>
        </w:tc>
        <w:tc>
          <w:tcPr>
            <w:tcW w:w="1185" w:type="dxa"/>
            <w:tcMar>
              <w:top w:w="60" w:type="dxa"/>
              <w:left w:w="120" w:type="dxa"/>
              <w:bottom w:w="30" w:type="dxa"/>
              <w:right w:w="120" w:type="dxa"/>
            </w:tcMar>
          </w:tcPr>
          <w:p w14:paraId="7D2848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新员工</w:t>
            </w:r>
          </w:p>
        </w:tc>
        <w:tc>
          <w:tcPr>
            <w:tcW w:w="1185" w:type="dxa"/>
            <w:tcMar>
              <w:top w:w="60" w:type="dxa"/>
              <w:left w:w="120" w:type="dxa"/>
              <w:bottom w:w="30" w:type="dxa"/>
              <w:right w:w="120" w:type="dxa"/>
            </w:tcMar>
          </w:tcPr>
          <w:p w14:paraId="46C000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1B1084F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0494276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1C301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56F3460">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573574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58B785E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4D卓越团队</w:t>
            </w:r>
          </w:p>
        </w:tc>
        <w:tc>
          <w:tcPr>
            <w:tcW w:w="1185" w:type="dxa"/>
            <w:tcMar>
              <w:top w:w="60" w:type="dxa"/>
              <w:left w:w="120" w:type="dxa"/>
              <w:bottom w:w="30" w:type="dxa"/>
              <w:right w:w="120" w:type="dxa"/>
            </w:tcMar>
          </w:tcPr>
          <w:p w14:paraId="07C2CAE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503D021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19979C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35992F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7B2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5C81CD3">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681AA5A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26D97C8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情景领导</w:t>
            </w:r>
          </w:p>
        </w:tc>
        <w:tc>
          <w:tcPr>
            <w:tcW w:w="1185" w:type="dxa"/>
            <w:tcMar>
              <w:top w:w="60" w:type="dxa"/>
              <w:left w:w="120" w:type="dxa"/>
              <w:bottom w:w="30" w:type="dxa"/>
              <w:right w:w="120" w:type="dxa"/>
            </w:tcMar>
          </w:tcPr>
          <w:p w14:paraId="5EBE6E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1D050D5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4月</w:t>
            </w:r>
          </w:p>
        </w:tc>
        <w:tc>
          <w:tcPr>
            <w:tcW w:w="1185" w:type="dxa"/>
            <w:tcMar>
              <w:top w:w="60" w:type="dxa"/>
              <w:left w:w="120" w:type="dxa"/>
              <w:bottom w:w="30" w:type="dxa"/>
              <w:right w:w="120" w:type="dxa"/>
            </w:tcMar>
          </w:tcPr>
          <w:p w14:paraId="0880A58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5E5E5E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335B0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08E9B5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B901F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3FDE40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目标设定与沟通</w:t>
            </w:r>
          </w:p>
        </w:tc>
        <w:tc>
          <w:tcPr>
            <w:tcW w:w="1185" w:type="dxa"/>
            <w:tcMar>
              <w:top w:w="60" w:type="dxa"/>
              <w:left w:w="120" w:type="dxa"/>
              <w:bottom w:w="30" w:type="dxa"/>
              <w:right w:w="120" w:type="dxa"/>
            </w:tcMar>
          </w:tcPr>
          <w:p w14:paraId="377B8D7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6347633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5月</w:t>
            </w:r>
          </w:p>
        </w:tc>
        <w:tc>
          <w:tcPr>
            <w:tcW w:w="1185" w:type="dxa"/>
            <w:tcMar>
              <w:top w:w="60" w:type="dxa"/>
              <w:left w:w="120" w:type="dxa"/>
              <w:bottom w:w="30" w:type="dxa"/>
              <w:right w:w="120" w:type="dxa"/>
            </w:tcMar>
          </w:tcPr>
          <w:p w14:paraId="2DCD57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FA0DA4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3DC58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967F8A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1DE31B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5F6A34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团队变革领导力</w:t>
            </w:r>
          </w:p>
        </w:tc>
        <w:tc>
          <w:tcPr>
            <w:tcW w:w="1185" w:type="dxa"/>
            <w:tcMar>
              <w:top w:w="60" w:type="dxa"/>
              <w:left w:w="120" w:type="dxa"/>
              <w:bottom w:w="30" w:type="dxa"/>
              <w:right w:w="120" w:type="dxa"/>
            </w:tcMar>
          </w:tcPr>
          <w:p w14:paraId="4DD4F2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153174F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6月</w:t>
            </w:r>
          </w:p>
        </w:tc>
        <w:tc>
          <w:tcPr>
            <w:tcW w:w="1185" w:type="dxa"/>
            <w:tcMar>
              <w:top w:w="60" w:type="dxa"/>
              <w:left w:w="120" w:type="dxa"/>
              <w:bottom w:w="30" w:type="dxa"/>
              <w:right w:w="120" w:type="dxa"/>
            </w:tcMar>
          </w:tcPr>
          <w:p w14:paraId="732F9A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2FAAAD2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1D2E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71B417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1185" w:type="dxa"/>
            <w:shd w:val="clear" w:color="auto" w:fill="auto"/>
            <w:tcMar>
              <w:top w:w="60" w:type="dxa"/>
              <w:left w:w="120" w:type="dxa"/>
              <w:bottom w:w="30" w:type="dxa"/>
              <w:right w:w="120" w:type="dxa"/>
            </w:tcMar>
            <w:vAlign w:val="top"/>
          </w:tcPr>
          <w:p w14:paraId="53BCF5B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185" w:type="dxa"/>
            <w:shd w:val="clear" w:color="auto" w:fill="auto"/>
            <w:tcMar>
              <w:top w:w="60" w:type="dxa"/>
              <w:left w:w="120" w:type="dxa"/>
              <w:bottom w:w="30" w:type="dxa"/>
              <w:right w:w="120" w:type="dxa"/>
            </w:tcMar>
            <w:vAlign w:val="top"/>
          </w:tcPr>
          <w:p w14:paraId="2649F5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185" w:type="dxa"/>
            <w:shd w:val="clear" w:color="auto" w:fill="auto"/>
            <w:tcMar>
              <w:top w:w="60" w:type="dxa"/>
              <w:left w:w="120" w:type="dxa"/>
              <w:bottom w:w="30" w:type="dxa"/>
              <w:right w:w="120" w:type="dxa"/>
            </w:tcMar>
            <w:vAlign w:val="top"/>
          </w:tcPr>
          <w:p w14:paraId="63C0DBD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185" w:type="dxa"/>
            <w:shd w:val="clear" w:color="auto" w:fill="auto"/>
            <w:tcMar>
              <w:top w:w="60" w:type="dxa"/>
              <w:left w:w="120" w:type="dxa"/>
              <w:bottom w:w="30" w:type="dxa"/>
              <w:right w:w="120" w:type="dxa"/>
            </w:tcMar>
            <w:vAlign w:val="top"/>
          </w:tcPr>
          <w:p w14:paraId="387776B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6月</w:t>
            </w:r>
          </w:p>
        </w:tc>
        <w:tc>
          <w:tcPr>
            <w:tcW w:w="1185" w:type="dxa"/>
            <w:shd w:val="clear" w:color="auto" w:fill="auto"/>
            <w:tcMar>
              <w:top w:w="60" w:type="dxa"/>
              <w:left w:w="120" w:type="dxa"/>
              <w:bottom w:w="30" w:type="dxa"/>
              <w:right w:w="120" w:type="dxa"/>
            </w:tcMar>
            <w:vAlign w:val="top"/>
          </w:tcPr>
          <w:p w14:paraId="4827B81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1185" w:type="dxa"/>
            <w:shd w:val="clear" w:color="auto" w:fill="auto"/>
            <w:tcMar>
              <w:top w:w="60" w:type="dxa"/>
              <w:left w:w="120" w:type="dxa"/>
              <w:bottom w:w="30" w:type="dxa"/>
              <w:right w:w="120" w:type="dxa"/>
            </w:tcMar>
            <w:vAlign w:val="top"/>
          </w:tcPr>
          <w:p w14:paraId="35E75E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61231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B09086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1EF22B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655511C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教练型管理</w:t>
            </w:r>
          </w:p>
        </w:tc>
        <w:tc>
          <w:tcPr>
            <w:tcW w:w="1185" w:type="dxa"/>
            <w:tcMar>
              <w:top w:w="60" w:type="dxa"/>
              <w:left w:w="120" w:type="dxa"/>
              <w:bottom w:w="30" w:type="dxa"/>
              <w:right w:w="120" w:type="dxa"/>
            </w:tcMar>
          </w:tcPr>
          <w:p w14:paraId="5723EAE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管理&amp;储备人员</w:t>
            </w:r>
          </w:p>
        </w:tc>
        <w:tc>
          <w:tcPr>
            <w:tcW w:w="1185" w:type="dxa"/>
            <w:tcMar>
              <w:top w:w="60" w:type="dxa"/>
              <w:left w:w="120" w:type="dxa"/>
              <w:bottom w:w="30" w:type="dxa"/>
              <w:right w:w="120" w:type="dxa"/>
            </w:tcMar>
          </w:tcPr>
          <w:p w14:paraId="752399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0FCC5A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6E12ADC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52F9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27E94F1">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17B2E60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5D16743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高效能人士时间管理</w:t>
            </w:r>
          </w:p>
        </w:tc>
        <w:tc>
          <w:tcPr>
            <w:tcW w:w="1185" w:type="dxa"/>
            <w:tcMar>
              <w:top w:w="60" w:type="dxa"/>
              <w:left w:w="120" w:type="dxa"/>
              <w:bottom w:w="30" w:type="dxa"/>
              <w:right w:w="120" w:type="dxa"/>
            </w:tcMar>
          </w:tcPr>
          <w:p w14:paraId="18DF781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08E1AE0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8月</w:t>
            </w:r>
          </w:p>
        </w:tc>
        <w:tc>
          <w:tcPr>
            <w:tcW w:w="1185" w:type="dxa"/>
            <w:tcMar>
              <w:top w:w="60" w:type="dxa"/>
              <w:left w:w="120" w:type="dxa"/>
              <w:bottom w:w="30" w:type="dxa"/>
              <w:right w:w="120" w:type="dxa"/>
            </w:tcMar>
          </w:tcPr>
          <w:p w14:paraId="53F4409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3E7E89C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00D1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E86F80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4E3036C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管理类</w:t>
            </w:r>
          </w:p>
        </w:tc>
        <w:tc>
          <w:tcPr>
            <w:tcW w:w="1185" w:type="dxa"/>
            <w:tcMar>
              <w:top w:w="60" w:type="dxa"/>
              <w:left w:w="120" w:type="dxa"/>
              <w:bottom w:w="30" w:type="dxa"/>
              <w:right w:w="120" w:type="dxa"/>
            </w:tcMar>
          </w:tcPr>
          <w:p w14:paraId="5137655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沟通_影响技术</w:t>
            </w:r>
          </w:p>
        </w:tc>
        <w:tc>
          <w:tcPr>
            <w:tcW w:w="1185" w:type="dxa"/>
            <w:tcMar>
              <w:top w:w="60" w:type="dxa"/>
              <w:left w:w="120" w:type="dxa"/>
              <w:bottom w:w="30" w:type="dxa"/>
              <w:right w:w="120" w:type="dxa"/>
            </w:tcMar>
          </w:tcPr>
          <w:p w14:paraId="08B09B8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6D63530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185" w:type="dxa"/>
            <w:tcMar>
              <w:top w:w="60" w:type="dxa"/>
              <w:left w:w="120" w:type="dxa"/>
              <w:bottom w:w="30" w:type="dxa"/>
              <w:right w:w="120" w:type="dxa"/>
            </w:tcMar>
          </w:tcPr>
          <w:p w14:paraId="133C5E3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380D4B4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2F8A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90FBB1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rPr>
                <w:rFonts w:ascii="Arial" w:hAnsi="Arial" w:eastAsia="等线" w:cs="Arial"/>
                <w:sz w:val="22"/>
              </w:rPr>
            </w:pPr>
          </w:p>
        </w:tc>
        <w:tc>
          <w:tcPr>
            <w:tcW w:w="1185" w:type="dxa"/>
            <w:shd w:val="clear" w:color="auto" w:fill="auto"/>
            <w:tcMar>
              <w:top w:w="60" w:type="dxa"/>
              <w:left w:w="120" w:type="dxa"/>
              <w:bottom w:w="30" w:type="dxa"/>
              <w:right w:w="120" w:type="dxa"/>
            </w:tcMar>
            <w:vAlign w:val="top"/>
          </w:tcPr>
          <w:p w14:paraId="309DA4E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管理类</w:t>
            </w:r>
          </w:p>
        </w:tc>
        <w:tc>
          <w:tcPr>
            <w:tcW w:w="1185" w:type="dxa"/>
            <w:shd w:val="clear" w:color="auto" w:fill="auto"/>
            <w:tcMar>
              <w:top w:w="60" w:type="dxa"/>
              <w:left w:w="120" w:type="dxa"/>
              <w:bottom w:w="30" w:type="dxa"/>
              <w:right w:w="120" w:type="dxa"/>
            </w:tcMar>
            <w:vAlign w:val="top"/>
          </w:tcPr>
          <w:p w14:paraId="5AC03D7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新员工入职培训</w:t>
            </w:r>
          </w:p>
        </w:tc>
        <w:tc>
          <w:tcPr>
            <w:tcW w:w="1185" w:type="dxa"/>
            <w:shd w:val="clear" w:color="auto" w:fill="auto"/>
            <w:tcMar>
              <w:top w:w="60" w:type="dxa"/>
              <w:left w:w="120" w:type="dxa"/>
              <w:bottom w:w="30" w:type="dxa"/>
              <w:right w:w="120" w:type="dxa"/>
            </w:tcMar>
            <w:vAlign w:val="top"/>
          </w:tcPr>
          <w:p w14:paraId="3500C5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新员工</w:t>
            </w:r>
          </w:p>
        </w:tc>
        <w:tc>
          <w:tcPr>
            <w:tcW w:w="1185" w:type="dxa"/>
            <w:shd w:val="clear" w:color="auto" w:fill="auto"/>
            <w:tcMar>
              <w:top w:w="60" w:type="dxa"/>
              <w:left w:w="120" w:type="dxa"/>
              <w:bottom w:w="30" w:type="dxa"/>
              <w:right w:w="120" w:type="dxa"/>
            </w:tcMar>
            <w:vAlign w:val="top"/>
          </w:tcPr>
          <w:p w14:paraId="790D2DD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9月</w:t>
            </w:r>
          </w:p>
        </w:tc>
        <w:tc>
          <w:tcPr>
            <w:tcW w:w="1185" w:type="dxa"/>
            <w:shd w:val="clear" w:color="auto" w:fill="auto"/>
            <w:tcMar>
              <w:top w:w="60" w:type="dxa"/>
              <w:left w:w="120" w:type="dxa"/>
              <w:bottom w:w="30" w:type="dxa"/>
              <w:right w:w="120" w:type="dxa"/>
            </w:tcMar>
            <w:vAlign w:val="top"/>
          </w:tcPr>
          <w:p w14:paraId="51F131E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内部</w:t>
            </w:r>
          </w:p>
        </w:tc>
        <w:tc>
          <w:tcPr>
            <w:tcW w:w="1185" w:type="dxa"/>
            <w:shd w:val="clear" w:color="auto" w:fill="auto"/>
            <w:tcMar>
              <w:top w:w="60" w:type="dxa"/>
              <w:left w:w="120" w:type="dxa"/>
              <w:bottom w:w="30" w:type="dxa"/>
              <w:right w:w="120" w:type="dxa"/>
            </w:tcMar>
            <w:vAlign w:val="top"/>
          </w:tcPr>
          <w:p w14:paraId="4439FE6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leftChars="0"/>
              <w:jc w:val="left"/>
              <w:textAlignment w:val="baseline"/>
              <w:rPr>
                <w:rFonts w:ascii="Arial" w:hAnsi="Arial" w:eastAsia="宋体" w:cs="Arial"/>
                <w:snapToGrid w:val="0"/>
                <w:color w:val="000000"/>
                <w:kern w:val="0"/>
                <w:sz w:val="21"/>
                <w:szCs w:val="21"/>
                <w:lang w:val="en-US" w:eastAsia="en-US" w:bidi="ar-SA"/>
              </w:rPr>
            </w:pPr>
            <w:r>
              <w:rPr>
                <w:rFonts w:ascii="Arial" w:hAnsi="Arial" w:eastAsia="等线" w:cs="Arial"/>
                <w:sz w:val="22"/>
              </w:rPr>
              <w:t>2</w:t>
            </w:r>
          </w:p>
        </w:tc>
      </w:tr>
      <w:tr w14:paraId="34931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B62FE7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4E5F8D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资质类</w:t>
            </w:r>
          </w:p>
        </w:tc>
        <w:tc>
          <w:tcPr>
            <w:tcW w:w="1185" w:type="dxa"/>
            <w:tcMar>
              <w:top w:w="60" w:type="dxa"/>
              <w:left w:w="120" w:type="dxa"/>
              <w:bottom w:w="30" w:type="dxa"/>
              <w:right w:w="120" w:type="dxa"/>
            </w:tcMar>
          </w:tcPr>
          <w:p w14:paraId="386901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ITSS应用经理</w:t>
            </w:r>
          </w:p>
        </w:tc>
        <w:tc>
          <w:tcPr>
            <w:tcW w:w="1185" w:type="dxa"/>
            <w:tcMar>
              <w:top w:w="60" w:type="dxa"/>
              <w:left w:w="120" w:type="dxa"/>
              <w:bottom w:w="30" w:type="dxa"/>
              <w:right w:w="120" w:type="dxa"/>
            </w:tcMar>
          </w:tcPr>
          <w:p w14:paraId="293C2C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储备人员</w:t>
            </w:r>
          </w:p>
        </w:tc>
        <w:tc>
          <w:tcPr>
            <w:tcW w:w="1185" w:type="dxa"/>
            <w:tcMar>
              <w:top w:w="60" w:type="dxa"/>
              <w:left w:w="120" w:type="dxa"/>
              <w:bottom w:w="30" w:type="dxa"/>
              <w:right w:w="120" w:type="dxa"/>
            </w:tcMar>
          </w:tcPr>
          <w:p w14:paraId="2895B43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10月</w:t>
            </w:r>
          </w:p>
        </w:tc>
        <w:tc>
          <w:tcPr>
            <w:tcW w:w="1185" w:type="dxa"/>
            <w:tcMar>
              <w:top w:w="60" w:type="dxa"/>
              <w:left w:w="120" w:type="dxa"/>
              <w:bottom w:w="30" w:type="dxa"/>
              <w:right w:w="120" w:type="dxa"/>
            </w:tcMar>
          </w:tcPr>
          <w:p w14:paraId="514DCAE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外派</w:t>
            </w:r>
          </w:p>
        </w:tc>
        <w:tc>
          <w:tcPr>
            <w:tcW w:w="1185" w:type="dxa"/>
            <w:tcMar>
              <w:top w:w="60" w:type="dxa"/>
              <w:left w:w="120" w:type="dxa"/>
              <w:bottom w:w="30" w:type="dxa"/>
              <w:right w:w="120" w:type="dxa"/>
            </w:tcMar>
          </w:tcPr>
          <w:p w14:paraId="7A402C6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w:t>
            </w:r>
          </w:p>
        </w:tc>
      </w:tr>
      <w:tr w14:paraId="7527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4D2E655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28B6184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25D5C73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ITSS运维服务体系1.2版培训</w:t>
            </w:r>
          </w:p>
        </w:tc>
        <w:tc>
          <w:tcPr>
            <w:tcW w:w="1185" w:type="dxa"/>
            <w:tcMar>
              <w:top w:w="60" w:type="dxa"/>
              <w:left w:w="120" w:type="dxa"/>
              <w:bottom w:w="30" w:type="dxa"/>
              <w:right w:w="120" w:type="dxa"/>
            </w:tcMar>
          </w:tcPr>
          <w:p w14:paraId="56497C4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55F684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1月</w:t>
            </w:r>
          </w:p>
        </w:tc>
        <w:tc>
          <w:tcPr>
            <w:tcW w:w="1185" w:type="dxa"/>
            <w:tcMar>
              <w:top w:w="60" w:type="dxa"/>
              <w:left w:w="120" w:type="dxa"/>
              <w:bottom w:w="30" w:type="dxa"/>
              <w:right w:w="120" w:type="dxa"/>
            </w:tcMar>
          </w:tcPr>
          <w:p w14:paraId="1F06EE0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829041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r>
      <w:tr w14:paraId="3760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1637A8A">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29E1B95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641B225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运维人员岗位要求及基本技能</w:t>
            </w:r>
          </w:p>
        </w:tc>
        <w:tc>
          <w:tcPr>
            <w:tcW w:w="1185" w:type="dxa"/>
            <w:tcMar>
              <w:top w:w="60" w:type="dxa"/>
              <w:left w:w="120" w:type="dxa"/>
              <w:bottom w:w="30" w:type="dxa"/>
              <w:right w:w="120" w:type="dxa"/>
            </w:tcMar>
          </w:tcPr>
          <w:p w14:paraId="0FCC9CC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全员</w:t>
            </w:r>
          </w:p>
        </w:tc>
        <w:tc>
          <w:tcPr>
            <w:tcW w:w="1185" w:type="dxa"/>
            <w:tcMar>
              <w:top w:w="60" w:type="dxa"/>
              <w:left w:w="120" w:type="dxa"/>
              <w:bottom w:w="30" w:type="dxa"/>
              <w:right w:w="120" w:type="dxa"/>
            </w:tcMar>
          </w:tcPr>
          <w:p w14:paraId="76B17B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2月</w:t>
            </w:r>
          </w:p>
        </w:tc>
        <w:tc>
          <w:tcPr>
            <w:tcW w:w="1185" w:type="dxa"/>
            <w:tcMar>
              <w:top w:w="60" w:type="dxa"/>
              <w:left w:w="120" w:type="dxa"/>
              <w:bottom w:w="30" w:type="dxa"/>
              <w:right w:w="120" w:type="dxa"/>
            </w:tcMar>
          </w:tcPr>
          <w:p w14:paraId="432A05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365D23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14C0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0C064A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442D60D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67D8A83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运维人员入场准备工作指南</w:t>
            </w:r>
          </w:p>
        </w:tc>
        <w:tc>
          <w:tcPr>
            <w:tcW w:w="1185" w:type="dxa"/>
            <w:tcMar>
              <w:top w:w="60" w:type="dxa"/>
              <w:left w:w="120" w:type="dxa"/>
              <w:bottom w:w="30" w:type="dxa"/>
              <w:right w:w="120" w:type="dxa"/>
            </w:tcMar>
          </w:tcPr>
          <w:p w14:paraId="7B5ADE0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BACF22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3A64FC6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D7FF7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0F7ED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7092FF88">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1D94A8E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382824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运维项目管理规范</w:t>
            </w:r>
          </w:p>
        </w:tc>
        <w:tc>
          <w:tcPr>
            <w:tcW w:w="1185" w:type="dxa"/>
            <w:tcMar>
              <w:top w:w="60" w:type="dxa"/>
              <w:left w:w="120" w:type="dxa"/>
              <w:bottom w:w="30" w:type="dxa"/>
              <w:right w:w="120" w:type="dxa"/>
            </w:tcMar>
          </w:tcPr>
          <w:p w14:paraId="360F0B5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414EBD1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4月</w:t>
            </w:r>
          </w:p>
        </w:tc>
        <w:tc>
          <w:tcPr>
            <w:tcW w:w="1185" w:type="dxa"/>
            <w:tcMar>
              <w:top w:w="60" w:type="dxa"/>
              <w:left w:w="120" w:type="dxa"/>
              <w:bottom w:w="30" w:type="dxa"/>
              <w:right w:w="120" w:type="dxa"/>
            </w:tcMar>
          </w:tcPr>
          <w:p w14:paraId="21A32A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3BAB40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6118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5AE59F3">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5F689F1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6E8101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服务报告编写指南</w:t>
            </w:r>
          </w:p>
        </w:tc>
        <w:tc>
          <w:tcPr>
            <w:tcW w:w="1185" w:type="dxa"/>
            <w:tcMar>
              <w:top w:w="60" w:type="dxa"/>
              <w:left w:w="120" w:type="dxa"/>
              <w:bottom w:w="30" w:type="dxa"/>
              <w:right w:w="120" w:type="dxa"/>
            </w:tcMar>
          </w:tcPr>
          <w:p w14:paraId="418597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8CFE11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7C885B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386A514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142C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3580E1F">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288073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规范类</w:t>
            </w:r>
          </w:p>
        </w:tc>
        <w:tc>
          <w:tcPr>
            <w:tcW w:w="1185" w:type="dxa"/>
            <w:tcMar>
              <w:top w:w="60" w:type="dxa"/>
              <w:left w:w="120" w:type="dxa"/>
              <w:bottom w:w="30" w:type="dxa"/>
              <w:right w:w="120" w:type="dxa"/>
            </w:tcMar>
          </w:tcPr>
          <w:p w14:paraId="5C2FA1D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项目经理实战与提高</w:t>
            </w:r>
          </w:p>
        </w:tc>
        <w:tc>
          <w:tcPr>
            <w:tcW w:w="1185" w:type="dxa"/>
            <w:tcMar>
              <w:top w:w="60" w:type="dxa"/>
              <w:left w:w="120" w:type="dxa"/>
              <w:bottom w:w="30" w:type="dxa"/>
              <w:right w:w="120" w:type="dxa"/>
            </w:tcMar>
          </w:tcPr>
          <w:p w14:paraId="2989AAB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1E8D048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185" w:type="dxa"/>
            <w:tcMar>
              <w:top w:w="60" w:type="dxa"/>
              <w:left w:w="120" w:type="dxa"/>
              <w:bottom w:w="30" w:type="dxa"/>
              <w:right w:w="120" w:type="dxa"/>
            </w:tcMar>
          </w:tcPr>
          <w:p w14:paraId="323099A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502E7E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670F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3A0F4AB">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5F4DE25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4111DF2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《信息通信一体化调度运行支撑平台SG-I6000》业务功能介绍</w:t>
            </w:r>
          </w:p>
        </w:tc>
        <w:tc>
          <w:tcPr>
            <w:tcW w:w="1185" w:type="dxa"/>
            <w:tcMar>
              <w:top w:w="60" w:type="dxa"/>
              <w:left w:w="120" w:type="dxa"/>
              <w:bottom w:w="30" w:type="dxa"/>
              <w:right w:w="120" w:type="dxa"/>
            </w:tcMar>
          </w:tcPr>
          <w:p w14:paraId="7A3B095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F39938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1月</w:t>
            </w:r>
          </w:p>
        </w:tc>
        <w:tc>
          <w:tcPr>
            <w:tcW w:w="1185" w:type="dxa"/>
            <w:tcMar>
              <w:top w:w="60" w:type="dxa"/>
              <w:left w:w="120" w:type="dxa"/>
              <w:bottom w:w="30" w:type="dxa"/>
              <w:right w:w="120" w:type="dxa"/>
            </w:tcMar>
          </w:tcPr>
          <w:p w14:paraId="55E8EA5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89AE10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076F4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395703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30EE6D1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3AB6B12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信息系统性能监控工具使用介绍</w:t>
            </w:r>
          </w:p>
        </w:tc>
        <w:tc>
          <w:tcPr>
            <w:tcW w:w="1185" w:type="dxa"/>
            <w:tcMar>
              <w:top w:w="60" w:type="dxa"/>
              <w:left w:w="120" w:type="dxa"/>
              <w:bottom w:w="30" w:type="dxa"/>
              <w:right w:w="120" w:type="dxa"/>
            </w:tcMar>
          </w:tcPr>
          <w:p w14:paraId="692B514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1027306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2月</w:t>
            </w:r>
          </w:p>
        </w:tc>
        <w:tc>
          <w:tcPr>
            <w:tcW w:w="1185" w:type="dxa"/>
            <w:tcMar>
              <w:top w:w="60" w:type="dxa"/>
              <w:left w:w="120" w:type="dxa"/>
              <w:bottom w:w="30" w:type="dxa"/>
              <w:right w:w="120" w:type="dxa"/>
            </w:tcMar>
          </w:tcPr>
          <w:p w14:paraId="3D487D5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81EF40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r>
      <w:tr w14:paraId="1D9B6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ABE5F5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50D2CEB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10A5E7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资产管理平台工具使用介绍</w:t>
            </w:r>
          </w:p>
        </w:tc>
        <w:tc>
          <w:tcPr>
            <w:tcW w:w="1185" w:type="dxa"/>
            <w:tcMar>
              <w:top w:w="60" w:type="dxa"/>
              <w:left w:w="120" w:type="dxa"/>
              <w:bottom w:w="30" w:type="dxa"/>
              <w:right w:w="120" w:type="dxa"/>
            </w:tcMar>
          </w:tcPr>
          <w:p w14:paraId="0B9EDC4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2E5D78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3月</w:t>
            </w:r>
          </w:p>
        </w:tc>
        <w:tc>
          <w:tcPr>
            <w:tcW w:w="1185" w:type="dxa"/>
            <w:tcMar>
              <w:top w:w="60" w:type="dxa"/>
              <w:left w:w="120" w:type="dxa"/>
              <w:bottom w:w="30" w:type="dxa"/>
              <w:right w:w="120" w:type="dxa"/>
            </w:tcMar>
          </w:tcPr>
          <w:p w14:paraId="3A83ABE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78943C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r>
      <w:tr w14:paraId="3426B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A945C4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684E1B4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1A8BFF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Oracle数据库性能优化及故障排除</w:t>
            </w:r>
          </w:p>
        </w:tc>
        <w:tc>
          <w:tcPr>
            <w:tcW w:w="1185" w:type="dxa"/>
            <w:tcMar>
              <w:top w:w="60" w:type="dxa"/>
              <w:left w:w="120" w:type="dxa"/>
              <w:bottom w:w="30" w:type="dxa"/>
              <w:right w:w="120" w:type="dxa"/>
            </w:tcMar>
          </w:tcPr>
          <w:p w14:paraId="6F08F1B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4B97C85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4月</w:t>
            </w:r>
          </w:p>
        </w:tc>
        <w:tc>
          <w:tcPr>
            <w:tcW w:w="1185" w:type="dxa"/>
            <w:tcMar>
              <w:top w:w="60" w:type="dxa"/>
              <w:left w:w="120" w:type="dxa"/>
              <w:bottom w:w="30" w:type="dxa"/>
              <w:right w:w="120" w:type="dxa"/>
            </w:tcMar>
          </w:tcPr>
          <w:p w14:paraId="7E6EC7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4D858BC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7D491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4CDCD92">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8E21F6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063377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软件架构设计原则</w:t>
            </w:r>
          </w:p>
        </w:tc>
        <w:tc>
          <w:tcPr>
            <w:tcW w:w="1185" w:type="dxa"/>
            <w:tcMar>
              <w:top w:w="60" w:type="dxa"/>
              <w:left w:w="120" w:type="dxa"/>
              <w:bottom w:w="30" w:type="dxa"/>
              <w:right w:w="120" w:type="dxa"/>
            </w:tcMar>
          </w:tcPr>
          <w:p w14:paraId="03E817A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09DA133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217921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180B550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D9C4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F94B7CC">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399F8E0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6D96B66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JavaScript编程与应用开发</w:t>
            </w:r>
          </w:p>
        </w:tc>
        <w:tc>
          <w:tcPr>
            <w:tcW w:w="1185" w:type="dxa"/>
            <w:tcMar>
              <w:top w:w="60" w:type="dxa"/>
              <w:left w:w="120" w:type="dxa"/>
              <w:bottom w:w="30" w:type="dxa"/>
              <w:right w:w="120" w:type="dxa"/>
            </w:tcMar>
          </w:tcPr>
          <w:p w14:paraId="4E54AA6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42B0C7B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8月</w:t>
            </w:r>
          </w:p>
        </w:tc>
        <w:tc>
          <w:tcPr>
            <w:tcW w:w="1185" w:type="dxa"/>
            <w:tcMar>
              <w:top w:w="60" w:type="dxa"/>
              <w:left w:w="120" w:type="dxa"/>
              <w:bottom w:w="30" w:type="dxa"/>
              <w:right w:w="120" w:type="dxa"/>
            </w:tcMar>
          </w:tcPr>
          <w:p w14:paraId="63EE829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5D7AC93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1B916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D954BDC">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0F30D9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70887CB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阿里数据中台业务讨论会</w:t>
            </w:r>
          </w:p>
        </w:tc>
        <w:tc>
          <w:tcPr>
            <w:tcW w:w="1185" w:type="dxa"/>
            <w:tcMar>
              <w:top w:w="60" w:type="dxa"/>
              <w:left w:w="120" w:type="dxa"/>
              <w:bottom w:w="30" w:type="dxa"/>
              <w:right w:w="120" w:type="dxa"/>
            </w:tcMar>
          </w:tcPr>
          <w:p w14:paraId="26CCC97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5E37C15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9月</w:t>
            </w:r>
          </w:p>
        </w:tc>
        <w:tc>
          <w:tcPr>
            <w:tcW w:w="1185" w:type="dxa"/>
            <w:tcMar>
              <w:top w:w="60" w:type="dxa"/>
              <w:left w:w="120" w:type="dxa"/>
              <w:bottom w:w="30" w:type="dxa"/>
              <w:right w:w="120" w:type="dxa"/>
            </w:tcMar>
          </w:tcPr>
          <w:p w14:paraId="3625F7D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549B41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7E9C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51F2D5D">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14D53A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2CFADAF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操作系统&amp;虚拟化培训</w:t>
            </w:r>
          </w:p>
        </w:tc>
        <w:tc>
          <w:tcPr>
            <w:tcW w:w="1185" w:type="dxa"/>
            <w:tcMar>
              <w:top w:w="60" w:type="dxa"/>
              <w:left w:w="120" w:type="dxa"/>
              <w:bottom w:w="30" w:type="dxa"/>
              <w:right w:w="120" w:type="dxa"/>
            </w:tcMar>
          </w:tcPr>
          <w:p w14:paraId="6990805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7FFA9A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10月</w:t>
            </w:r>
          </w:p>
        </w:tc>
        <w:tc>
          <w:tcPr>
            <w:tcW w:w="1185" w:type="dxa"/>
            <w:tcMar>
              <w:top w:w="60" w:type="dxa"/>
              <w:left w:w="120" w:type="dxa"/>
              <w:bottom w:w="30" w:type="dxa"/>
              <w:right w:w="120" w:type="dxa"/>
            </w:tcMar>
          </w:tcPr>
          <w:p w14:paraId="0E4551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0864BFF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31BA3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1AFE157">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2C7BF0D0">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7736E42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黑麋峰抽水蓄能电站调度通信系统介绍</w:t>
            </w:r>
          </w:p>
        </w:tc>
        <w:tc>
          <w:tcPr>
            <w:tcW w:w="1185" w:type="dxa"/>
            <w:tcMar>
              <w:top w:w="60" w:type="dxa"/>
              <w:left w:w="120" w:type="dxa"/>
              <w:bottom w:w="30" w:type="dxa"/>
              <w:right w:w="120" w:type="dxa"/>
            </w:tcMar>
          </w:tcPr>
          <w:p w14:paraId="274CEC9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67B94CD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11月</w:t>
            </w:r>
          </w:p>
        </w:tc>
        <w:tc>
          <w:tcPr>
            <w:tcW w:w="1185" w:type="dxa"/>
            <w:tcMar>
              <w:top w:w="60" w:type="dxa"/>
              <w:left w:w="120" w:type="dxa"/>
              <w:bottom w:w="30" w:type="dxa"/>
              <w:right w:w="120" w:type="dxa"/>
            </w:tcMar>
          </w:tcPr>
          <w:p w14:paraId="47F1C3A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6A97194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2345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2DBB836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1061E7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技术类</w:t>
            </w:r>
          </w:p>
        </w:tc>
        <w:tc>
          <w:tcPr>
            <w:tcW w:w="1185" w:type="dxa"/>
            <w:tcMar>
              <w:top w:w="60" w:type="dxa"/>
              <w:left w:w="120" w:type="dxa"/>
              <w:bottom w:w="30" w:type="dxa"/>
              <w:right w:w="120" w:type="dxa"/>
            </w:tcMar>
          </w:tcPr>
          <w:p w14:paraId="0365AFA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数据库及中间件运行维护和技术支持服务运维方案交流</w:t>
            </w:r>
          </w:p>
        </w:tc>
        <w:tc>
          <w:tcPr>
            <w:tcW w:w="1185" w:type="dxa"/>
            <w:tcMar>
              <w:top w:w="60" w:type="dxa"/>
              <w:left w:w="120" w:type="dxa"/>
              <w:bottom w:w="30" w:type="dxa"/>
              <w:right w:w="120" w:type="dxa"/>
            </w:tcMar>
          </w:tcPr>
          <w:p w14:paraId="4783D12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4D5CB5D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12月</w:t>
            </w:r>
          </w:p>
        </w:tc>
        <w:tc>
          <w:tcPr>
            <w:tcW w:w="1185" w:type="dxa"/>
            <w:tcMar>
              <w:top w:w="60" w:type="dxa"/>
              <w:left w:w="120" w:type="dxa"/>
              <w:bottom w:w="30" w:type="dxa"/>
              <w:right w:w="120" w:type="dxa"/>
            </w:tcMar>
          </w:tcPr>
          <w:p w14:paraId="38466C8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内部</w:t>
            </w:r>
          </w:p>
        </w:tc>
        <w:tc>
          <w:tcPr>
            <w:tcW w:w="1185" w:type="dxa"/>
            <w:tcMar>
              <w:top w:w="60" w:type="dxa"/>
              <w:left w:w="120" w:type="dxa"/>
              <w:bottom w:w="30" w:type="dxa"/>
              <w:right w:w="120" w:type="dxa"/>
            </w:tcMar>
          </w:tcPr>
          <w:p w14:paraId="26FB753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r>
      <w:tr w14:paraId="52C5B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371EE9A9">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74D6EEB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2E99723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双赢谈判技巧</w:t>
            </w:r>
          </w:p>
        </w:tc>
        <w:tc>
          <w:tcPr>
            <w:tcW w:w="1185" w:type="dxa"/>
            <w:tcMar>
              <w:top w:w="60" w:type="dxa"/>
              <w:left w:w="120" w:type="dxa"/>
              <w:bottom w:w="30" w:type="dxa"/>
              <w:right w:w="120" w:type="dxa"/>
            </w:tcMar>
          </w:tcPr>
          <w:p w14:paraId="76F7003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3D6D656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7月</w:t>
            </w:r>
          </w:p>
        </w:tc>
        <w:tc>
          <w:tcPr>
            <w:tcW w:w="1185" w:type="dxa"/>
            <w:tcMar>
              <w:top w:w="60" w:type="dxa"/>
              <w:left w:w="120" w:type="dxa"/>
              <w:bottom w:w="30" w:type="dxa"/>
              <w:right w:w="120" w:type="dxa"/>
            </w:tcMar>
          </w:tcPr>
          <w:p w14:paraId="1A57B55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1B9FF83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15CC2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5A2623E5">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3C04552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4BB14D5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渠道开发与管理</w:t>
            </w:r>
          </w:p>
        </w:tc>
        <w:tc>
          <w:tcPr>
            <w:tcW w:w="1185" w:type="dxa"/>
            <w:tcMar>
              <w:top w:w="60" w:type="dxa"/>
              <w:left w:w="120" w:type="dxa"/>
              <w:bottom w:w="30" w:type="dxa"/>
              <w:right w:w="120" w:type="dxa"/>
            </w:tcMar>
          </w:tcPr>
          <w:p w14:paraId="0E15F9F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7EDF712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8月</w:t>
            </w:r>
          </w:p>
        </w:tc>
        <w:tc>
          <w:tcPr>
            <w:tcW w:w="1185" w:type="dxa"/>
            <w:tcMar>
              <w:top w:w="60" w:type="dxa"/>
              <w:left w:w="120" w:type="dxa"/>
              <w:bottom w:w="30" w:type="dxa"/>
              <w:right w:w="120" w:type="dxa"/>
            </w:tcMar>
          </w:tcPr>
          <w:p w14:paraId="7FB8B22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7ECD38E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6757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608A5F9E">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571020A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34CE7DE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商业画布-商业思维</w:t>
            </w:r>
          </w:p>
        </w:tc>
        <w:tc>
          <w:tcPr>
            <w:tcW w:w="1185" w:type="dxa"/>
            <w:tcMar>
              <w:top w:w="60" w:type="dxa"/>
              <w:left w:w="120" w:type="dxa"/>
              <w:bottom w:w="30" w:type="dxa"/>
              <w:right w:w="120" w:type="dxa"/>
            </w:tcMar>
          </w:tcPr>
          <w:p w14:paraId="28B8C5E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0549AFF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11月</w:t>
            </w:r>
          </w:p>
        </w:tc>
        <w:tc>
          <w:tcPr>
            <w:tcW w:w="1185" w:type="dxa"/>
            <w:tcMar>
              <w:top w:w="60" w:type="dxa"/>
              <w:left w:w="120" w:type="dxa"/>
              <w:bottom w:w="30" w:type="dxa"/>
              <w:right w:w="120" w:type="dxa"/>
            </w:tcMar>
          </w:tcPr>
          <w:p w14:paraId="4993FB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2F18B2D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r w14:paraId="0FD97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01E65676">
            <w:pPr>
              <w:keepNext w:val="0"/>
              <w:keepLines w:val="0"/>
              <w:pageBreakBefore w:val="0"/>
              <w:widowControl w:val="0"/>
              <w:numPr>
                <w:ilvl w:val="0"/>
                <w:numId w:val="3"/>
              </w:numPr>
              <w:kinsoku w:val="0"/>
              <w:wordWrap/>
              <w:overflowPunct/>
              <w:topLinePunct w:val="0"/>
              <w:autoSpaceDE w:val="0"/>
              <w:autoSpaceDN w:val="0"/>
              <w:bidi w:val="0"/>
              <w:adjustRightInd w:val="0"/>
              <w:snapToGrid w:val="0"/>
              <w:spacing w:before="120" w:after="120" w:line="288" w:lineRule="auto"/>
              <w:ind w:left="425" w:leftChars="0" w:hanging="425" w:firstLineChars="0"/>
              <w:jc w:val="left"/>
              <w:textAlignment w:val="baseline"/>
            </w:pPr>
          </w:p>
        </w:tc>
        <w:tc>
          <w:tcPr>
            <w:tcW w:w="1185" w:type="dxa"/>
            <w:tcMar>
              <w:top w:w="60" w:type="dxa"/>
              <w:left w:w="120" w:type="dxa"/>
              <w:bottom w:w="30" w:type="dxa"/>
              <w:right w:w="120" w:type="dxa"/>
            </w:tcMar>
          </w:tcPr>
          <w:p w14:paraId="4BFA400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营销类</w:t>
            </w:r>
          </w:p>
        </w:tc>
        <w:tc>
          <w:tcPr>
            <w:tcW w:w="1185" w:type="dxa"/>
            <w:tcMar>
              <w:top w:w="60" w:type="dxa"/>
              <w:left w:w="120" w:type="dxa"/>
              <w:bottom w:w="30" w:type="dxa"/>
              <w:right w:w="120" w:type="dxa"/>
            </w:tcMar>
          </w:tcPr>
          <w:p w14:paraId="4097CBF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客户服务技能提升</w:t>
            </w:r>
          </w:p>
        </w:tc>
        <w:tc>
          <w:tcPr>
            <w:tcW w:w="1185" w:type="dxa"/>
            <w:tcMar>
              <w:top w:w="60" w:type="dxa"/>
              <w:left w:w="120" w:type="dxa"/>
              <w:bottom w:w="30" w:type="dxa"/>
              <w:right w:w="120" w:type="dxa"/>
            </w:tcMar>
          </w:tcPr>
          <w:p w14:paraId="47FB288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运维服务人员</w:t>
            </w:r>
          </w:p>
        </w:tc>
        <w:tc>
          <w:tcPr>
            <w:tcW w:w="1185" w:type="dxa"/>
            <w:tcMar>
              <w:top w:w="60" w:type="dxa"/>
              <w:left w:w="120" w:type="dxa"/>
              <w:bottom w:w="30" w:type="dxa"/>
              <w:right w:w="120" w:type="dxa"/>
            </w:tcMar>
          </w:tcPr>
          <w:p w14:paraId="2749602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12月</w:t>
            </w:r>
          </w:p>
        </w:tc>
        <w:tc>
          <w:tcPr>
            <w:tcW w:w="1185" w:type="dxa"/>
            <w:tcMar>
              <w:top w:w="60" w:type="dxa"/>
              <w:left w:w="120" w:type="dxa"/>
              <w:bottom w:w="30" w:type="dxa"/>
              <w:right w:w="120" w:type="dxa"/>
            </w:tcMar>
          </w:tcPr>
          <w:p w14:paraId="29AB4FCB">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外部</w:t>
            </w:r>
          </w:p>
        </w:tc>
        <w:tc>
          <w:tcPr>
            <w:tcW w:w="1185" w:type="dxa"/>
            <w:tcMar>
              <w:top w:w="60" w:type="dxa"/>
              <w:left w:w="120" w:type="dxa"/>
              <w:bottom w:w="30" w:type="dxa"/>
              <w:right w:w="120" w:type="dxa"/>
            </w:tcMar>
          </w:tcPr>
          <w:p w14:paraId="16EF80A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3</w:t>
            </w:r>
          </w:p>
        </w:tc>
      </w:tr>
    </w:tbl>
    <w:p w14:paraId="56658087">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5" w:name="_Toc25631"/>
      <w:r>
        <w:rPr>
          <w:rFonts w:hint="eastAsia"/>
          <w:lang w:val="en-US" w:eastAsia="zh-CN"/>
        </w:rPr>
        <w:t>人员备份计划</w:t>
      </w:r>
      <w:bookmarkEnd w:id="15"/>
    </w:p>
    <w:p w14:paraId="3A1A7C9A">
      <w:pPr>
        <w:pStyle w:val="29"/>
        <w:rPr>
          <w:rFonts w:hint="default"/>
          <w:lang w:val="en-US" w:eastAsia="zh-CN"/>
        </w:rPr>
      </w:pPr>
      <w:r>
        <w:rPr>
          <w:rFonts w:hint="eastAsia"/>
          <w:lang w:val="en-US" w:eastAsia="zh-CN"/>
        </w:rPr>
        <w:t>人员备份的考核指标是备份计划完成率，计算方式为</w:t>
      </w:r>
      <w:r>
        <w:rPr>
          <w:rFonts w:hint="eastAsia" w:cs="宋体"/>
          <w:snapToGrid w:val="0"/>
          <w:color w:val="000000"/>
          <w:kern w:val="0"/>
          <w:sz w:val="24"/>
          <w:szCs w:val="24"/>
          <w:lang w:val="en-US" w:eastAsia="zh-CN" w:bidi="ar-SA"/>
        </w:rPr>
        <w:t>实际备份人数/计划备份人数*100%，目标值为≥90%，考核周期为年度考核。以下是人员备份计划</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185"/>
        <w:gridCol w:w="1565"/>
        <w:gridCol w:w="805"/>
        <w:gridCol w:w="1185"/>
        <w:gridCol w:w="1185"/>
        <w:gridCol w:w="1185"/>
        <w:gridCol w:w="1397"/>
      </w:tblGrid>
      <w:tr w14:paraId="049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tcMar>
              <w:top w:w="60" w:type="dxa"/>
              <w:left w:w="120" w:type="dxa"/>
              <w:bottom w:w="30" w:type="dxa"/>
              <w:right w:w="120" w:type="dxa"/>
            </w:tcMar>
          </w:tcPr>
          <w:p w14:paraId="147C6D6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岗位类别</w:t>
            </w:r>
          </w:p>
        </w:tc>
        <w:tc>
          <w:tcPr>
            <w:tcW w:w="1565" w:type="dxa"/>
            <w:tcMar>
              <w:top w:w="60" w:type="dxa"/>
              <w:left w:w="120" w:type="dxa"/>
              <w:bottom w:w="30" w:type="dxa"/>
              <w:right w:w="120" w:type="dxa"/>
            </w:tcMar>
          </w:tcPr>
          <w:p w14:paraId="2F891A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岗位名称</w:t>
            </w:r>
          </w:p>
        </w:tc>
        <w:tc>
          <w:tcPr>
            <w:tcW w:w="805" w:type="dxa"/>
            <w:tcMar>
              <w:top w:w="60" w:type="dxa"/>
              <w:left w:w="120" w:type="dxa"/>
              <w:bottom w:w="30" w:type="dxa"/>
              <w:right w:w="120" w:type="dxa"/>
            </w:tcMar>
          </w:tcPr>
          <w:p w14:paraId="51B8B5B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互备人数</w:t>
            </w:r>
          </w:p>
        </w:tc>
        <w:tc>
          <w:tcPr>
            <w:tcW w:w="1185" w:type="dxa"/>
            <w:tcMar>
              <w:top w:w="60" w:type="dxa"/>
              <w:left w:w="120" w:type="dxa"/>
              <w:bottom w:w="30" w:type="dxa"/>
              <w:right w:w="120" w:type="dxa"/>
            </w:tcMar>
          </w:tcPr>
          <w:p w14:paraId="26159F2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岗位角色（A）</w:t>
            </w:r>
          </w:p>
        </w:tc>
        <w:tc>
          <w:tcPr>
            <w:tcW w:w="1185" w:type="dxa"/>
            <w:tcMar>
              <w:top w:w="60" w:type="dxa"/>
              <w:left w:w="120" w:type="dxa"/>
              <w:bottom w:w="30" w:type="dxa"/>
              <w:right w:w="120" w:type="dxa"/>
            </w:tcMar>
          </w:tcPr>
          <w:p w14:paraId="3CB3CF7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岗位角色（B）</w:t>
            </w:r>
          </w:p>
        </w:tc>
        <w:tc>
          <w:tcPr>
            <w:tcW w:w="1185" w:type="dxa"/>
            <w:tcMar>
              <w:top w:w="60" w:type="dxa"/>
              <w:left w:w="120" w:type="dxa"/>
              <w:bottom w:w="30" w:type="dxa"/>
              <w:right w:w="120" w:type="dxa"/>
            </w:tcMar>
          </w:tcPr>
          <w:p w14:paraId="36D03C6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储备方式</w:t>
            </w:r>
          </w:p>
        </w:tc>
        <w:tc>
          <w:tcPr>
            <w:tcW w:w="1397" w:type="dxa"/>
            <w:tcMar>
              <w:top w:w="60" w:type="dxa"/>
              <w:left w:w="120" w:type="dxa"/>
              <w:bottom w:w="30" w:type="dxa"/>
              <w:right w:w="120" w:type="dxa"/>
            </w:tcMar>
          </w:tcPr>
          <w:p w14:paraId="557B4C75">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计划时间</w:t>
            </w:r>
          </w:p>
        </w:tc>
      </w:tr>
      <w:tr w14:paraId="63040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067FF9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管理岗</w:t>
            </w:r>
          </w:p>
        </w:tc>
        <w:tc>
          <w:tcPr>
            <w:tcW w:w="1565" w:type="dxa"/>
            <w:tcMar>
              <w:top w:w="60" w:type="dxa"/>
              <w:left w:w="120" w:type="dxa"/>
              <w:bottom w:w="30" w:type="dxa"/>
              <w:right w:w="120" w:type="dxa"/>
            </w:tcMar>
          </w:tcPr>
          <w:p w14:paraId="0FA44C6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运维部经理</w:t>
            </w:r>
          </w:p>
        </w:tc>
        <w:tc>
          <w:tcPr>
            <w:tcW w:w="805" w:type="dxa"/>
            <w:tcMar>
              <w:top w:w="60" w:type="dxa"/>
              <w:left w:w="120" w:type="dxa"/>
              <w:bottom w:w="30" w:type="dxa"/>
              <w:right w:w="120" w:type="dxa"/>
            </w:tcMar>
          </w:tcPr>
          <w:p w14:paraId="08EFDE5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3FFBDA2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运维部经理</w:t>
            </w:r>
          </w:p>
        </w:tc>
        <w:tc>
          <w:tcPr>
            <w:tcW w:w="1185" w:type="dxa"/>
            <w:tcMar>
              <w:top w:w="60" w:type="dxa"/>
              <w:left w:w="120" w:type="dxa"/>
              <w:bottom w:w="30" w:type="dxa"/>
              <w:right w:w="120" w:type="dxa"/>
            </w:tcMar>
          </w:tcPr>
          <w:p w14:paraId="7A89EDF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1185" w:type="dxa"/>
            <w:vMerge w:val="restart"/>
            <w:tcMar>
              <w:top w:w="60" w:type="dxa"/>
              <w:left w:w="120" w:type="dxa"/>
              <w:bottom w:w="30" w:type="dxa"/>
              <w:right w:w="120" w:type="dxa"/>
            </w:tcMar>
          </w:tcPr>
          <w:p w14:paraId="01BB4AF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岗位互备</w:t>
            </w:r>
          </w:p>
        </w:tc>
        <w:tc>
          <w:tcPr>
            <w:tcW w:w="1397" w:type="dxa"/>
            <w:tcMar>
              <w:top w:w="60" w:type="dxa"/>
              <w:left w:w="120" w:type="dxa"/>
              <w:bottom w:w="30" w:type="dxa"/>
              <w:right w:w="120" w:type="dxa"/>
            </w:tcMar>
          </w:tcPr>
          <w:p w14:paraId="02E25D4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2025年3月</w:t>
            </w:r>
          </w:p>
        </w:tc>
      </w:tr>
      <w:tr w14:paraId="7B82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3095F7F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0BCC8D3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eastAsia="等线" w:cs="Arial"/>
                <w:sz w:val="22"/>
                <w:lang w:val="en-US" w:eastAsia="zh-CN"/>
              </w:rPr>
              <w:t>研发部经理</w:t>
            </w:r>
          </w:p>
        </w:tc>
        <w:tc>
          <w:tcPr>
            <w:tcW w:w="805" w:type="dxa"/>
            <w:tcMar>
              <w:top w:w="60" w:type="dxa"/>
              <w:left w:w="120" w:type="dxa"/>
              <w:bottom w:w="30" w:type="dxa"/>
              <w:right w:w="120" w:type="dxa"/>
            </w:tcMar>
          </w:tcPr>
          <w:p w14:paraId="1AFD656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1</w:t>
            </w:r>
          </w:p>
        </w:tc>
        <w:tc>
          <w:tcPr>
            <w:tcW w:w="1185" w:type="dxa"/>
            <w:tcMar>
              <w:top w:w="60" w:type="dxa"/>
              <w:left w:w="120" w:type="dxa"/>
              <w:bottom w:w="30" w:type="dxa"/>
              <w:right w:w="120" w:type="dxa"/>
            </w:tcMar>
          </w:tcPr>
          <w:p w14:paraId="3F7357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val="en-US" w:eastAsia="zh-CN"/>
              </w:rPr>
              <w:t>研发部经理</w:t>
            </w:r>
          </w:p>
        </w:tc>
        <w:tc>
          <w:tcPr>
            <w:tcW w:w="1185" w:type="dxa"/>
            <w:tcMar>
              <w:top w:w="60" w:type="dxa"/>
              <w:left w:w="120" w:type="dxa"/>
              <w:bottom w:w="30" w:type="dxa"/>
              <w:right w:w="120" w:type="dxa"/>
            </w:tcMar>
          </w:tcPr>
          <w:p w14:paraId="686282F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软件研发工程师</w:t>
            </w:r>
          </w:p>
        </w:tc>
        <w:tc>
          <w:tcPr>
            <w:tcW w:w="1185" w:type="dxa"/>
            <w:vMerge w:val="continue"/>
            <w:tcMar>
              <w:top w:w="60" w:type="dxa"/>
              <w:left w:w="120" w:type="dxa"/>
              <w:bottom w:w="30" w:type="dxa"/>
              <w:right w:w="120" w:type="dxa"/>
            </w:tcMar>
          </w:tcPr>
          <w:p w14:paraId="7AAFB41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34B8ED6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2025年3月</w:t>
            </w:r>
          </w:p>
        </w:tc>
      </w:tr>
      <w:tr w14:paraId="01F1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restart"/>
            <w:tcMar>
              <w:top w:w="60" w:type="dxa"/>
              <w:left w:w="120" w:type="dxa"/>
              <w:bottom w:w="30" w:type="dxa"/>
              <w:right w:w="120" w:type="dxa"/>
            </w:tcMar>
          </w:tcPr>
          <w:p w14:paraId="71E2F8B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技术岗</w:t>
            </w:r>
          </w:p>
        </w:tc>
        <w:tc>
          <w:tcPr>
            <w:tcW w:w="1565" w:type="dxa"/>
            <w:tcMar>
              <w:top w:w="60" w:type="dxa"/>
              <w:left w:w="120" w:type="dxa"/>
              <w:bottom w:w="30" w:type="dxa"/>
              <w:right w:w="120" w:type="dxa"/>
            </w:tcMar>
          </w:tcPr>
          <w:p w14:paraId="093652B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805" w:type="dxa"/>
            <w:tcMar>
              <w:top w:w="60" w:type="dxa"/>
              <w:left w:w="120" w:type="dxa"/>
              <w:bottom w:w="30" w:type="dxa"/>
              <w:right w:w="120" w:type="dxa"/>
            </w:tcMar>
          </w:tcPr>
          <w:p w14:paraId="48F02B9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628D98A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应急通信运维工程师</w:t>
            </w:r>
          </w:p>
        </w:tc>
        <w:tc>
          <w:tcPr>
            <w:tcW w:w="1185" w:type="dxa"/>
            <w:tcMar>
              <w:top w:w="60" w:type="dxa"/>
              <w:left w:w="120" w:type="dxa"/>
              <w:bottom w:w="30" w:type="dxa"/>
              <w:right w:w="120" w:type="dxa"/>
            </w:tcMar>
          </w:tcPr>
          <w:p w14:paraId="6EE0336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传输设备运维工程师</w:t>
            </w:r>
          </w:p>
        </w:tc>
        <w:tc>
          <w:tcPr>
            <w:tcW w:w="1185" w:type="dxa"/>
            <w:vMerge w:val="continue"/>
            <w:tcMar>
              <w:top w:w="60" w:type="dxa"/>
              <w:left w:w="120" w:type="dxa"/>
              <w:bottom w:w="30" w:type="dxa"/>
              <w:right w:w="120" w:type="dxa"/>
            </w:tcMar>
          </w:tcPr>
          <w:p w14:paraId="6D20557A">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762C217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2025年7月</w:t>
            </w:r>
          </w:p>
        </w:tc>
      </w:tr>
      <w:tr w14:paraId="0D6B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543B285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612FC8A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805" w:type="dxa"/>
            <w:tcMar>
              <w:top w:w="60" w:type="dxa"/>
              <w:left w:w="120" w:type="dxa"/>
              <w:bottom w:w="30" w:type="dxa"/>
              <w:right w:w="120" w:type="dxa"/>
            </w:tcMar>
          </w:tcPr>
          <w:p w14:paraId="448E98C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2</w:t>
            </w:r>
          </w:p>
        </w:tc>
        <w:tc>
          <w:tcPr>
            <w:tcW w:w="1185" w:type="dxa"/>
            <w:tcMar>
              <w:top w:w="60" w:type="dxa"/>
              <w:left w:w="120" w:type="dxa"/>
              <w:bottom w:w="30" w:type="dxa"/>
              <w:right w:w="120" w:type="dxa"/>
            </w:tcMar>
          </w:tcPr>
          <w:p w14:paraId="3590CB1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基础环境运维工程师</w:t>
            </w:r>
          </w:p>
        </w:tc>
        <w:tc>
          <w:tcPr>
            <w:tcW w:w="1185" w:type="dxa"/>
            <w:tcMar>
              <w:top w:w="60" w:type="dxa"/>
              <w:left w:w="120" w:type="dxa"/>
              <w:bottom w:w="30" w:type="dxa"/>
              <w:right w:w="120" w:type="dxa"/>
            </w:tcMar>
          </w:tcPr>
          <w:p w14:paraId="480B82AD">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会议电视运维工程师</w:t>
            </w:r>
          </w:p>
        </w:tc>
        <w:tc>
          <w:tcPr>
            <w:tcW w:w="1185" w:type="dxa"/>
            <w:vMerge w:val="continue"/>
            <w:tcMar>
              <w:top w:w="60" w:type="dxa"/>
              <w:left w:w="120" w:type="dxa"/>
              <w:bottom w:w="30" w:type="dxa"/>
              <w:right w:w="120" w:type="dxa"/>
            </w:tcMar>
          </w:tcPr>
          <w:p w14:paraId="1A7CC70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1C43BED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r>
      <w:tr w14:paraId="1A84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85" w:type="dxa"/>
            <w:vMerge w:val="continue"/>
            <w:tcMar>
              <w:top w:w="60" w:type="dxa"/>
              <w:left w:w="120" w:type="dxa"/>
              <w:bottom w:w="30" w:type="dxa"/>
              <w:right w:w="120" w:type="dxa"/>
            </w:tcMar>
          </w:tcPr>
          <w:p w14:paraId="58F17A12">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565" w:type="dxa"/>
            <w:tcMar>
              <w:top w:w="60" w:type="dxa"/>
              <w:left w:w="120" w:type="dxa"/>
              <w:bottom w:w="30" w:type="dxa"/>
              <w:right w:w="120" w:type="dxa"/>
            </w:tcMar>
          </w:tcPr>
          <w:p w14:paraId="0BCC9B76">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eastAsia" w:eastAsia="宋体"/>
                <w:lang w:eastAsia="zh-CN"/>
              </w:rPr>
            </w:pPr>
            <w:r>
              <w:rPr>
                <w:rFonts w:hint="eastAsia" w:eastAsia="等线" w:cs="Arial"/>
                <w:sz w:val="22"/>
                <w:lang w:eastAsia="zh-CN"/>
              </w:rPr>
              <w:t>软件研发工程师</w:t>
            </w:r>
          </w:p>
        </w:tc>
        <w:tc>
          <w:tcPr>
            <w:tcW w:w="805" w:type="dxa"/>
            <w:tcMar>
              <w:top w:w="60" w:type="dxa"/>
              <w:left w:w="120" w:type="dxa"/>
              <w:bottom w:w="30" w:type="dxa"/>
              <w:right w:w="120" w:type="dxa"/>
            </w:tcMar>
          </w:tcPr>
          <w:p w14:paraId="23B6F5C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4</w:t>
            </w:r>
          </w:p>
        </w:tc>
        <w:tc>
          <w:tcPr>
            <w:tcW w:w="1185" w:type="dxa"/>
            <w:tcMar>
              <w:top w:w="60" w:type="dxa"/>
              <w:left w:w="120" w:type="dxa"/>
              <w:bottom w:w="30" w:type="dxa"/>
              <w:right w:w="120" w:type="dxa"/>
            </w:tcMar>
          </w:tcPr>
          <w:p w14:paraId="046BAA8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软件研发工程师（中级）</w:t>
            </w:r>
          </w:p>
        </w:tc>
        <w:tc>
          <w:tcPr>
            <w:tcW w:w="1185" w:type="dxa"/>
            <w:tcMar>
              <w:top w:w="60" w:type="dxa"/>
              <w:left w:w="120" w:type="dxa"/>
              <w:bottom w:w="30" w:type="dxa"/>
              <w:right w:w="120" w:type="dxa"/>
            </w:tcMar>
          </w:tcPr>
          <w:p w14:paraId="2B22D2E4">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eastAsia="等线" w:cs="Arial"/>
                <w:sz w:val="22"/>
                <w:lang w:eastAsia="zh-CN"/>
              </w:rPr>
              <w:t>软件研发工程师</w:t>
            </w:r>
            <w:r>
              <w:rPr>
                <w:rFonts w:ascii="Arial" w:hAnsi="Arial" w:eastAsia="等线" w:cs="Arial"/>
                <w:sz w:val="22"/>
              </w:rPr>
              <w:t>（初级）</w:t>
            </w:r>
          </w:p>
        </w:tc>
        <w:tc>
          <w:tcPr>
            <w:tcW w:w="1185" w:type="dxa"/>
            <w:vMerge w:val="continue"/>
            <w:tcMar>
              <w:top w:w="60" w:type="dxa"/>
              <w:left w:w="120" w:type="dxa"/>
              <w:bottom w:w="30" w:type="dxa"/>
              <w:right w:w="120" w:type="dxa"/>
            </w:tcMar>
          </w:tcPr>
          <w:p w14:paraId="77E4668C">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c>
          <w:tcPr>
            <w:tcW w:w="1397" w:type="dxa"/>
            <w:tcMar>
              <w:top w:w="60" w:type="dxa"/>
              <w:left w:w="120" w:type="dxa"/>
              <w:bottom w:w="30" w:type="dxa"/>
              <w:right w:w="120" w:type="dxa"/>
            </w:tcMar>
          </w:tcPr>
          <w:p w14:paraId="19251D0E">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hint="eastAsia"/>
                <w:lang w:val="en-US" w:eastAsia="zh-CN"/>
              </w:rPr>
              <w:t>2025年8月</w:t>
            </w:r>
          </w:p>
        </w:tc>
      </w:tr>
      <w:tr w14:paraId="7B65C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50" w:type="dxa"/>
            <w:gridSpan w:val="2"/>
            <w:tcMar>
              <w:top w:w="60" w:type="dxa"/>
              <w:left w:w="120" w:type="dxa"/>
              <w:bottom w:w="30" w:type="dxa"/>
              <w:right w:w="120" w:type="dxa"/>
            </w:tcMar>
          </w:tcPr>
          <w:p w14:paraId="1A023C13">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合计</w:t>
            </w:r>
          </w:p>
        </w:tc>
        <w:tc>
          <w:tcPr>
            <w:tcW w:w="805" w:type="dxa"/>
            <w:tcMar>
              <w:top w:w="60" w:type="dxa"/>
              <w:left w:w="120" w:type="dxa"/>
              <w:bottom w:w="30" w:type="dxa"/>
              <w:right w:w="120" w:type="dxa"/>
            </w:tcMar>
          </w:tcPr>
          <w:p w14:paraId="6192DD41">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rPr>
                <w:rFonts w:hint="default" w:eastAsia="宋体"/>
                <w:lang w:val="en-US" w:eastAsia="zh-CN"/>
              </w:rPr>
            </w:pPr>
            <w:r>
              <w:rPr>
                <w:rFonts w:hint="eastAsia"/>
                <w:lang w:val="en-US" w:eastAsia="zh-CN"/>
              </w:rPr>
              <w:t>10</w:t>
            </w:r>
          </w:p>
        </w:tc>
        <w:tc>
          <w:tcPr>
            <w:tcW w:w="1185" w:type="dxa"/>
            <w:tcMar>
              <w:top w:w="60" w:type="dxa"/>
              <w:left w:w="120" w:type="dxa"/>
              <w:bottom w:w="30" w:type="dxa"/>
              <w:right w:w="120" w:type="dxa"/>
            </w:tcMar>
          </w:tcPr>
          <w:p w14:paraId="6C57BBE8">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185" w:type="dxa"/>
            <w:tcMar>
              <w:top w:w="60" w:type="dxa"/>
              <w:left w:w="120" w:type="dxa"/>
              <w:bottom w:w="30" w:type="dxa"/>
              <w:right w:w="120" w:type="dxa"/>
            </w:tcMar>
          </w:tcPr>
          <w:p w14:paraId="3EC5F929">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185" w:type="dxa"/>
            <w:tcMar>
              <w:top w:w="60" w:type="dxa"/>
              <w:left w:w="120" w:type="dxa"/>
              <w:bottom w:w="30" w:type="dxa"/>
              <w:right w:w="120" w:type="dxa"/>
            </w:tcMar>
          </w:tcPr>
          <w:p w14:paraId="7BE887B7">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r>
              <w:rPr>
                <w:rFonts w:ascii="Arial" w:hAnsi="Arial" w:eastAsia="等线" w:cs="Arial"/>
                <w:sz w:val="22"/>
              </w:rPr>
              <w:t>-</w:t>
            </w:r>
          </w:p>
        </w:tc>
        <w:tc>
          <w:tcPr>
            <w:tcW w:w="1397" w:type="dxa"/>
            <w:tcMar>
              <w:top w:w="60" w:type="dxa"/>
              <w:left w:w="120" w:type="dxa"/>
              <w:bottom w:w="30" w:type="dxa"/>
              <w:right w:w="120" w:type="dxa"/>
            </w:tcMar>
          </w:tcPr>
          <w:p w14:paraId="0A4DD81F">
            <w:pPr>
              <w:keepNext w:val="0"/>
              <w:keepLines w:val="0"/>
              <w:pageBreakBefore w:val="0"/>
              <w:widowControl w:val="0"/>
              <w:kinsoku w:val="0"/>
              <w:wordWrap/>
              <w:overflowPunct/>
              <w:topLinePunct w:val="0"/>
              <w:autoSpaceDE w:val="0"/>
              <w:autoSpaceDN w:val="0"/>
              <w:bidi w:val="0"/>
              <w:adjustRightInd w:val="0"/>
              <w:snapToGrid w:val="0"/>
              <w:spacing w:before="120" w:after="120" w:line="288" w:lineRule="auto"/>
              <w:ind w:left="0"/>
              <w:jc w:val="left"/>
              <w:textAlignment w:val="baseline"/>
            </w:pPr>
          </w:p>
        </w:tc>
      </w:tr>
    </w:tbl>
    <w:p w14:paraId="64D749F5">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6" w:name="_Toc31526"/>
      <w:r>
        <w:rPr>
          <w:rFonts w:hint="eastAsia"/>
          <w:lang w:val="en-US" w:eastAsia="zh-CN"/>
        </w:rPr>
        <w:t>人员绩效考核计划</w:t>
      </w:r>
      <w:bookmarkEnd w:id="16"/>
    </w:p>
    <w:p w14:paraId="09CCF21F">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rPr>
      </w:pPr>
      <w:r>
        <w:t>每季度在运维部会议上公开绩效考核成绩，让员工更加清楚自己的绩效情况，做到公平、公正</w:t>
      </w:r>
      <w:r>
        <w:rPr>
          <w:rFonts w:hint="eastAsia"/>
          <w:lang w:eastAsia="zh-CN"/>
        </w:rPr>
        <w:t>、</w:t>
      </w:r>
      <w:r>
        <w:rPr>
          <w:rFonts w:hint="eastAsia"/>
          <w:lang w:val="en-US" w:eastAsia="zh-CN"/>
        </w:rPr>
        <w:t>公开。</w:t>
      </w:r>
      <w:r>
        <w:t>要求绩效考核</w:t>
      </w:r>
      <w:r>
        <w:rPr>
          <w:rFonts w:hint="eastAsia"/>
          <w:lang w:val="en-US" w:eastAsia="zh-CN"/>
        </w:rPr>
        <w:t>覆盖</w:t>
      </w:r>
      <w:r>
        <w:t>率</w:t>
      </w:r>
      <w:r>
        <w:rPr>
          <w:rFonts w:hint="eastAsia"/>
          <w:lang w:val="en-US" w:eastAsia="zh-CN"/>
        </w:rPr>
        <w:t>达到100%</w:t>
      </w:r>
      <w:r>
        <w:rPr>
          <w:rFonts w:hint="eastAsia"/>
          <w:lang w:eastAsia="zh-CN"/>
        </w:rPr>
        <w:t>，</w:t>
      </w:r>
      <w:r>
        <w:rPr>
          <w:rFonts w:hint="eastAsia"/>
          <w:lang w:val="en-US" w:eastAsia="zh-CN"/>
        </w:rPr>
        <w:t>具体合格率参与绩效考核运维人数</w:t>
      </w:r>
      <w:r>
        <w:rPr>
          <w:rFonts w:hint="eastAsia"/>
        </w:rPr>
        <w:t>/</w:t>
      </w:r>
      <w:r>
        <w:rPr>
          <w:rFonts w:hint="eastAsia"/>
          <w:lang w:val="en-US" w:eastAsia="zh-CN"/>
        </w:rPr>
        <w:t>运维</w:t>
      </w:r>
      <w:r>
        <w:rPr>
          <w:rFonts w:hint="eastAsia"/>
        </w:rPr>
        <w:t>人员总数*100%</w:t>
      </w:r>
      <w:r>
        <w:rPr>
          <w:rFonts w:hint="eastAsia"/>
          <w:lang w:val="en-US" w:eastAsia="zh-CN"/>
        </w:rPr>
        <w:t>计算，每季度进行考核</w:t>
      </w:r>
    </w:p>
    <w:p w14:paraId="04BB2C99">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7" w:name="_Toc22076"/>
      <w:r>
        <w:rPr>
          <w:rFonts w:hint="eastAsia"/>
          <w:lang w:val="en-US" w:eastAsia="zh-CN"/>
        </w:rPr>
        <w:t>人员能力评价计划</w:t>
      </w:r>
      <w:bookmarkEnd w:id="17"/>
    </w:p>
    <w:p w14:paraId="6E3C9A45">
      <w:pPr>
        <w:pStyle w:val="29"/>
        <w:keepNext w:val="0"/>
        <w:keepLines w:val="0"/>
        <w:pageBreakBefore w:val="0"/>
        <w:widowControl w:val="0"/>
        <w:kinsoku w:val="0"/>
        <w:wordWrap/>
        <w:overflowPunct/>
        <w:autoSpaceDE w:val="0"/>
        <w:autoSpaceDN w:val="0"/>
        <w:bidi w:val="0"/>
        <w:adjustRightInd w:val="0"/>
        <w:snapToGrid w:val="0"/>
        <w:textAlignment w:val="baseline"/>
      </w:pPr>
      <w:r>
        <w:t>每季度在运维部会议上公开能力评价结果，让员工更加清楚自己的能力情况，做到公平、公正、公开。人员</w:t>
      </w:r>
      <w:r>
        <w:rPr>
          <w:rFonts w:hint="eastAsia"/>
          <w:lang w:val="en-US" w:eastAsia="zh-CN"/>
        </w:rPr>
        <w:t>技能评定覆盖率为100</w:t>
      </w:r>
      <w:r>
        <w:t>%</w:t>
      </w:r>
      <w:r>
        <w:rPr>
          <w:rFonts w:hint="eastAsia"/>
          <w:lang w:eastAsia="zh-CN"/>
        </w:rPr>
        <w:t>，</w:t>
      </w:r>
      <w:r>
        <w:rPr>
          <w:rFonts w:hint="eastAsia"/>
          <w:lang w:val="en-US" w:eastAsia="zh-CN"/>
        </w:rPr>
        <w:t>具体合格率参与技能评定的运维人员</w:t>
      </w:r>
      <w:r>
        <w:rPr>
          <w:rFonts w:hint="eastAsia"/>
        </w:rPr>
        <w:t>/</w:t>
      </w:r>
      <w:r>
        <w:rPr>
          <w:rFonts w:hint="eastAsia"/>
          <w:lang w:val="en-US" w:eastAsia="zh-CN"/>
        </w:rPr>
        <w:t>运维</w:t>
      </w:r>
      <w:r>
        <w:rPr>
          <w:rFonts w:hint="eastAsia"/>
        </w:rPr>
        <w:t>人员总数*100%</w:t>
      </w:r>
      <w:r>
        <w:rPr>
          <w:rFonts w:hint="eastAsia"/>
          <w:lang w:val="en-US" w:eastAsia="zh-CN"/>
        </w:rPr>
        <w:t>计算</w:t>
      </w:r>
      <w:r>
        <w:t>。</w:t>
      </w:r>
    </w:p>
    <w:p w14:paraId="0A2D6CFA">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8" w:name="_Toc4581"/>
      <w:bookmarkStart w:id="19" w:name="_Toc17424"/>
      <w:r>
        <w:rPr>
          <w:rFonts w:hint="eastAsia"/>
          <w:lang w:val="en-US" w:eastAsia="zh-CN"/>
        </w:rPr>
        <w:t>资源</w:t>
      </w:r>
      <w:bookmarkEnd w:id="18"/>
    </w:p>
    <w:p w14:paraId="765AD808">
      <w:pPr>
        <w:keepNext w:val="0"/>
        <w:keepLines w:val="0"/>
        <w:pageBreakBefore w:val="0"/>
        <w:widowControl w:val="0"/>
        <w:kinsoku w:val="0"/>
        <w:wordWrap/>
        <w:overflowPunct/>
        <w:autoSpaceDE w:val="0"/>
        <w:autoSpaceDN w:val="0"/>
        <w:bidi w:val="0"/>
        <w:adjustRightInd w:val="0"/>
        <w:snapToGrid w:val="0"/>
        <w:spacing w:before="207" w:line="219" w:lineRule="auto"/>
        <w:ind w:left="450"/>
        <w:textAlignment w:val="baseline"/>
        <w:rPr>
          <w:rFonts w:ascii="宋体" w:hAnsi="宋体" w:eastAsia="宋体" w:cs="宋体"/>
          <w:sz w:val="24"/>
          <w:szCs w:val="24"/>
        </w:rPr>
      </w:pPr>
      <w:r>
        <w:rPr>
          <w:rFonts w:ascii="宋体" w:hAnsi="宋体" w:eastAsia="宋体" w:cs="宋体"/>
          <w:spacing w:val="1"/>
          <w:sz w:val="24"/>
          <w:szCs w:val="24"/>
        </w:rPr>
        <w:t>总结202</w:t>
      </w:r>
      <w:r>
        <w:rPr>
          <w:rFonts w:hint="eastAsia" w:ascii="宋体" w:hAnsi="宋体" w:eastAsia="宋体" w:cs="宋体"/>
          <w:spacing w:val="1"/>
          <w:sz w:val="24"/>
          <w:szCs w:val="24"/>
          <w:lang w:val="en-US" w:eastAsia="zh-CN"/>
        </w:rPr>
        <w:t>4</w:t>
      </w:r>
      <w:r>
        <w:rPr>
          <w:rFonts w:ascii="宋体" w:hAnsi="宋体" w:eastAsia="宋体" w:cs="宋体"/>
          <w:spacing w:val="1"/>
          <w:sz w:val="24"/>
          <w:szCs w:val="24"/>
        </w:rPr>
        <w:t>年运维服务工作中资源情况，发现我们还存在不</w:t>
      </w:r>
      <w:r>
        <w:rPr>
          <w:rFonts w:ascii="宋体" w:hAnsi="宋体" w:eastAsia="宋体" w:cs="宋体"/>
          <w:sz w:val="24"/>
          <w:szCs w:val="24"/>
        </w:rPr>
        <w:t>少可以优化的地</w:t>
      </w:r>
    </w:p>
    <w:p w14:paraId="478950DE">
      <w:pPr>
        <w:keepNext w:val="0"/>
        <w:keepLines w:val="0"/>
        <w:pageBreakBefore w:val="0"/>
        <w:widowControl w:val="0"/>
        <w:kinsoku w:val="0"/>
        <w:wordWrap/>
        <w:overflowPunct/>
        <w:autoSpaceDE w:val="0"/>
        <w:autoSpaceDN w:val="0"/>
        <w:bidi w:val="0"/>
        <w:adjustRightInd w:val="0"/>
        <w:snapToGrid w:val="0"/>
        <w:spacing w:before="113" w:line="219" w:lineRule="auto"/>
        <w:ind w:left="24"/>
        <w:textAlignment w:val="baseline"/>
        <w:rPr>
          <w:rFonts w:hint="eastAsia" w:ascii="宋体" w:hAnsi="宋体" w:eastAsia="宋体" w:cs="宋体"/>
          <w:sz w:val="24"/>
          <w:szCs w:val="24"/>
          <w:lang w:eastAsia="zh-CN"/>
        </w:rPr>
      </w:pPr>
      <w:r>
        <w:rPr>
          <w:rFonts w:ascii="宋体" w:hAnsi="宋体" w:eastAsia="宋体" w:cs="宋体"/>
          <w:sz w:val="24"/>
          <w:szCs w:val="24"/>
        </w:rPr>
        <w:t>方，比如计划运维需要更详细</w:t>
      </w:r>
      <w:r>
        <w:rPr>
          <w:rFonts w:hint="eastAsia" w:ascii="宋体" w:hAnsi="宋体" w:eastAsia="宋体" w:cs="宋体"/>
          <w:sz w:val="24"/>
          <w:szCs w:val="24"/>
          <w:lang w:val="en-US" w:eastAsia="zh-CN"/>
        </w:rPr>
        <w:t>禅道项目管理</w:t>
      </w:r>
      <w:r>
        <w:rPr>
          <w:rFonts w:ascii="宋体" w:hAnsi="宋体" w:eastAsia="宋体" w:cs="宋体"/>
          <w:spacing w:val="-1"/>
          <w:sz w:val="24"/>
          <w:szCs w:val="24"/>
        </w:rPr>
        <w:t>系统需要</w:t>
      </w:r>
      <w:r>
        <w:rPr>
          <w:rFonts w:hint="eastAsia" w:ascii="宋体" w:hAnsi="宋体" w:eastAsia="宋体" w:cs="宋体"/>
          <w:spacing w:val="-1"/>
          <w:sz w:val="24"/>
          <w:szCs w:val="24"/>
          <w:lang w:val="en-US" w:eastAsia="zh-CN"/>
        </w:rPr>
        <w:t>在2025年进行</w:t>
      </w:r>
      <w:r>
        <w:rPr>
          <w:rFonts w:ascii="宋体" w:hAnsi="宋体" w:eastAsia="宋体" w:cs="宋体"/>
          <w:spacing w:val="-1"/>
          <w:sz w:val="24"/>
          <w:szCs w:val="24"/>
        </w:rPr>
        <w:t>开发提升等</w:t>
      </w:r>
      <w:r>
        <w:rPr>
          <w:rFonts w:hint="eastAsia" w:ascii="宋体" w:hAnsi="宋体" w:cs="宋体"/>
          <w:spacing w:val="-1"/>
          <w:sz w:val="24"/>
          <w:szCs w:val="24"/>
          <w:lang w:eastAsia="zh-CN"/>
        </w:rPr>
        <w:t>。</w:t>
      </w:r>
    </w:p>
    <w:p w14:paraId="7ED103BC">
      <w:pPr>
        <w:pStyle w:val="31"/>
        <w:keepNext w:val="0"/>
        <w:keepLines w:val="0"/>
        <w:pageBreakBefore w:val="0"/>
        <w:widowControl w:val="0"/>
        <w:kinsoku w:val="0"/>
        <w:wordWrap/>
        <w:overflowPunct/>
        <w:autoSpaceDE w:val="0"/>
        <w:autoSpaceDN w:val="0"/>
        <w:bidi w:val="0"/>
        <w:adjustRightInd w:val="0"/>
        <w:snapToGrid w:val="0"/>
        <w:textAlignment w:val="baseline"/>
      </w:pPr>
      <w:bookmarkStart w:id="20" w:name="bookmark66"/>
      <w:bookmarkEnd w:id="20"/>
      <w:bookmarkStart w:id="21" w:name="bookmark16"/>
      <w:bookmarkEnd w:id="21"/>
      <w:bookmarkStart w:id="22" w:name="bookmark17"/>
      <w:bookmarkEnd w:id="22"/>
      <w:bookmarkStart w:id="23" w:name="_Toc12253"/>
      <w:r>
        <w:t>运行维护工具</w:t>
      </w:r>
      <w:bookmarkEnd w:id="23"/>
    </w:p>
    <w:p w14:paraId="75BF525E">
      <w:pPr>
        <w:pStyle w:val="29"/>
        <w:keepNext w:val="0"/>
        <w:keepLines w:val="0"/>
        <w:pageBreakBefore w:val="0"/>
        <w:widowControl w:val="0"/>
        <w:kinsoku w:val="0"/>
        <w:wordWrap/>
        <w:overflowPunct/>
        <w:autoSpaceDE w:val="0"/>
        <w:autoSpaceDN w:val="0"/>
        <w:bidi w:val="0"/>
        <w:adjustRightInd w:val="0"/>
        <w:snapToGrid w:val="0"/>
        <w:textAlignment w:val="baseline"/>
      </w:pPr>
      <w:r>
        <w:t>运维工具在2025 年的应用需要加强以下几个方面的工作：</w:t>
      </w:r>
    </w:p>
    <w:p w14:paraId="489E1600">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pPr>
      <w:r>
        <w:t>加强流程管理工具的改进工作：对于驻场服务项目，本年度要重点收集使用意见，对工具进行改进，提高工具的实用性；</w:t>
      </w:r>
    </w:p>
    <w:p w14:paraId="79DC973F">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pPr>
      <w:r>
        <w:t>继续加强自动化监控管理工具的应用：部分有条件的项目，已经上线自动化监控管理工具，需要对运维部的主要运维工程师加强自动化监控管理工具的培训，提升操作能力。</w:t>
      </w:r>
    </w:p>
    <w:p w14:paraId="6F2706EA">
      <w:pPr>
        <w:pStyle w:val="29"/>
        <w:keepNext w:val="0"/>
        <w:keepLines w:val="0"/>
        <w:pageBreakBefore w:val="0"/>
        <w:widowControl w:val="0"/>
        <w:numPr>
          <w:ilvl w:val="0"/>
          <w:numId w:val="4"/>
        </w:numPr>
        <w:kinsoku w:val="0"/>
        <w:wordWrap/>
        <w:overflowPunct/>
        <w:autoSpaceDE w:val="0"/>
        <w:autoSpaceDN w:val="0"/>
        <w:bidi w:val="0"/>
        <w:adjustRightInd w:val="0"/>
        <w:snapToGrid w:val="0"/>
        <w:ind w:left="425" w:leftChars="0" w:hanging="425" w:firstLineChars="0"/>
        <w:textAlignment w:val="baseline"/>
      </w:pPr>
      <w:r>
        <w:rPr>
          <w:rFonts w:hint="eastAsia"/>
          <w:lang w:val="en-US" w:eastAsia="zh-CN"/>
        </w:rPr>
        <w:t>运维工具至少自评估一次。</w:t>
      </w:r>
    </w:p>
    <w:p w14:paraId="01807185">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4" w:name="_Toc31758"/>
      <w:r>
        <w:rPr>
          <w:rFonts w:hint="eastAsia"/>
          <w:lang w:val="en-US" w:eastAsia="zh-CN"/>
        </w:rPr>
        <w:t>服务台</w:t>
      </w:r>
      <w:bookmarkEnd w:id="24"/>
    </w:p>
    <w:p w14:paraId="55F039E4">
      <w:pPr>
        <w:keepNext w:val="0"/>
        <w:keepLines w:val="0"/>
        <w:pageBreakBefore w:val="0"/>
        <w:widowControl w:val="0"/>
        <w:kinsoku w:val="0"/>
        <w:wordWrap/>
        <w:overflowPunct/>
        <w:autoSpaceDE w:val="0"/>
        <w:autoSpaceDN w:val="0"/>
        <w:bidi w:val="0"/>
        <w:adjustRightInd w:val="0"/>
        <w:snapToGrid w:val="0"/>
        <w:spacing w:line="219" w:lineRule="auto"/>
        <w:ind w:left="443"/>
        <w:textAlignment w:val="baseline"/>
        <w:rPr>
          <w:rFonts w:hint="eastAsia" w:ascii="宋体" w:hAnsi="宋体" w:eastAsia="宋体" w:cs="宋体"/>
          <w:sz w:val="24"/>
          <w:szCs w:val="24"/>
          <w:lang w:eastAsia="zh-CN"/>
        </w:rPr>
      </w:pPr>
      <w:r>
        <w:rPr>
          <w:rFonts w:ascii="宋体" w:hAnsi="宋体" w:eastAsia="宋体" w:cs="宋体"/>
          <w:spacing w:val="-1"/>
          <w:sz w:val="24"/>
          <w:szCs w:val="24"/>
        </w:rPr>
        <w:t>针对客户投诉，2025年规划做出更好的要求</w:t>
      </w:r>
      <w:r>
        <w:rPr>
          <w:rFonts w:hint="eastAsia" w:ascii="宋体" w:hAnsi="宋体" w:eastAsia="宋体" w:cs="宋体"/>
          <w:spacing w:val="-1"/>
          <w:sz w:val="24"/>
          <w:szCs w:val="24"/>
          <w:lang w:eastAsia="zh-CN"/>
        </w:rPr>
        <w:t>：</w:t>
      </w:r>
    </w:p>
    <w:p w14:paraId="34373E06">
      <w:pPr>
        <w:keepNext w:val="0"/>
        <w:keepLines w:val="0"/>
        <w:pageBreakBefore w:val="0"/>
        <w:widowControl w:val="0"/>
        <w:numPr>
          <w:ilvl w:val="0"/>
          <w:numId w:val="5"/>
        </w:numPr>
        <w:kinsoku w:val="0"/>
        <w:wordWrap/>
        <w:overflowPunct/>
        <w:autoSpaceDE w:val="0"/>
        <w:autoSpaceDN w:val="0"/>
        <w:bidi w:val="0"/>
        <w:adjustRightInd w:val="0"/>
        <w:snapToGrid w:val="0"/>
        <w:spacing w:before="184" w:line="219"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优化客户满意度调查，做好对客户的服务，确保客户满意度≥95分。</w:t>
      </w:r>
    </w:p>
    <w:p w14:paraId="3C0019A2">
      <w:pPr>
        <w:keepNext w:val="0"/>
        <w:keepLines w:val="0"/>
        <w:pageBreakBefore w:val="0"/>
        <w:widowControl w:val="0"/>
        <w:numPr>
          <w:ilvl w:val="0"/>
          <w:numId w:val="5"/>
        </w:numPr>
        <w:kinsoku w:val="0"/>
        <w:wordWrap/>
        <w:overflowPunct/>
        <w:autoSpaceDE w:val="0"/>
        <w:autoSpaceDN w:val="0"/>
        <w:bidi w:val="0"/>
        <w:adjustRightInd w:val="0"/>
        <w:snapToGrid w:val="0"/>
        <w:spacing w:before="183" w:line="365" w:lineRule="auto"/>
        <w:ind w:left="425" w:leftChars="0" w:right="15" w:hanging="425" w:firstLineChars="0"/>
        <w:textAlignment w:val="baseline"/>
        <w:rPr>
          <w:rFonts w:ascii="宋体" w:hAnsi="宋体" w:eastAsia="宋体" w:cs="宋体"/>
          <w:sz w:val="24"/>
          <w:szCs w:val="24"/>
        </w:rPr>
      </w:pPr>
      <w:r>
        <w:rPr>
          <w:rFonts w:ascii="宋体" w:hAnsi="宋体" w:eastAsia="宋体" w:cs="宋体"/>
          <w:spacing w:val="-1"/>
          <w:sz w:val="24"/>
          <w:szCs w:val="24"/>
        </w:rPr>
        <w:t>对服务台日常工作记录的完整性，用户评价记</w:t>
      </w:r>
      <w:r>
        <w:rPr>
          <w:rFonts w:ascii="宋体" w:hAnsi="宋体" w:eastAsia="宋体" w:cs="宋体"/>
          <w:spacing w:val="-2"/>
          <w:sz w:val="24"/>
          <w:szCs w:val="24"/>
        </w:rPr>
        <w:t>录的完整性等指标进行评价改</w:t>
      </w:r>
      <w:r>
        <w:rPr>
          <w:rFonts w:ascii="宋体" w:hAnsi="宋体" w:eastAsia="宋体" w:cs="宋体"/>
          <w:spacing w:val="-4"/>
          <w:sz w:val="24"/>
          <w:szCs w:val="24"/>
        </w:rPr>
        <w:t>进。</w:t>
      </w:r>
    </w:p>
    <w:p w14:paraId="1EA64A8C">
      <w:pPr>
        <w:pStyle w:val="29"/>
        <w:keepNext w:val="0"/>
        <w:keepLines w:val="0"/>
        <w:pageBreakBefore w:val="0"/>
        <w:widowControl w:val="0"/>
        <w:numPr>
          <w:ilvl w:val="0"/>
          <w:numId w:val="5"/>
        </w:numPr>
        <w:kinsoku w:val="0"/>
        <w:wordWrap/>
        <w:overflowPunct/>
        <w:autoSpaceDE w:val="0"/>
        <w:autoSpaceDN w:val="0"/>
        <w:bidi w:val="0"/>
        <w:adjustRightInd w:val="0"/>
        <w:snapToGrid w:val="0"/>
        <w:ind w:left="425" w:leftChars="0" w:hanging="425" w:firstLineChars="0"/>
        <w:textAlignment w:val="baseline"/>
        <w:rPr>
          <w:rFonts w:ascii="宋体" w:hAnsi="宋体" w:eastAsia="宋体" w:cs="宋体"/>
          <w:spacing w:val="-4"/>
          <w:sz w:val="24"/>
          <w:szCs w:val="24"/>
        </w:rPr>
      </w:pPr>
      <w:r>
        <w:rPr>
          <w:rFonts w:ascii="宋体" w:hAnsi="宋体" w:eastAsia="宋体" w:cs="宋体"/>
          <w:spacing w:val="2"/>
          <w:sz w:val="24"/>
          <w:szCs w:val="24"/>
        </w:rPr>
        <w:t>针对客户投诉，2025年规划做出更好的</w:t>
      </w:r>
      <w:r>
        <w:rPr>
          <w:rFonts w:ascii="宋体" w:hAnsi="宋体" w:eastAsia="宋体" w:cs="宋体"/>
          <w:spacing w:val="1"/>
          <w:sz w:val="24"/>
          <w:szCs w:val="24"/>
        </w:rPr>
        <w:t>要求，要求每个客户投诉都要进行</w:t>
      </w:r>
      <w:r>
        <w:rPr>
          <w:rFonts w:ascii="宋体" w:hAnsi="宋体" w:eastAsia="宋体" w:cs="宋体"/>
          <w:spacing w:val="-4"/>
          <w:sz w:val="24"/>
          <w:szCs w:val="24"/>
        </w:rPr>
        <w:t>当天有效处理，投诉24小时内有效处理率100%。</w:t>
      </w:r>
    </w:p>
    <w:p w14:paraId="0CF89E2F">
      <w:pPr>
        <w:keepNext w:val="0"/>
        <w:keepLines w:val="0"/>
        <w:pageBreakBefore w:val="0"/>
        <w:widowControl w:val="0"/>
        <w:numPr>
          <w:ilvl w:val="0"/>
          <w:numId w:val="5"/>
        </w:numPr>
        <w:kinsoku w:val="0"/>
        <w:wordWrap/>
        <w:overflowPunct/>
        <w:autoSpaceDE w:val="0"/>
        <w:autoSpaceDN w:val="0"/>
        <w:bidi w:val="0"/>
        <w:adjustRightInd w:val="0"/>
        <w:snapToGrid w:val="0"/>
        <w:spacing w:before="78" w:line="362" w:lineRule="auto"/>
        <w:ind w:left="425" w:leftChars="0" w:right="87" w:hanging="425" w:firstLineChars="0"/>
        <w:textAlignment w:val="baseline"/>
        <w:rPr>
          <w:rFonts w:ascii="宋体" w:hAnsi="宋体" w:eastAsia="宋体" w:cs="宋体"/>
          <w:sz w:val="24"/>
          <w:szCs w:val="24"/>
        </w:rPr>
      </w:pPr>
      <w:r>
        <w:rPr>
          <w:rFonts w:ascii="宋体" w:hAnsi="宋体" w:eastAsia="宋体" w:cs="宋体"/>
          <w:spacing w:val="2"/>
          <w:sz w:val="24"/>
          <w:szCs w:val="24"/>
        </w:rPr>
        <w:t>成功回访事件数占事件总数的比例，2025</w:t>
      </w:r>
      <w:r>
        <w:rPr>
          <w:rFonts w:ascii="宋体" w:hAnsi="宋体" w:eastAsia="宋体" w:cs="宋体"/>
          <w:spacing w:val="-47"/>
          <w:sz w:val="24"/>
          <w:szCs w:val="24"/>
        </w:rPr>
        <w:t xml:space="preserve"> </w:t>
      </w:r>
      <w:r>
        <w:rPr>
          <w:rFonts w:ascii="宋体" w:hAnsi="宋体" w:eastAsia="宋体" w:cs="宋体"/>
          <w:spacing w:val="2"/>
          <w:sz w:val="24"/>
          <w:szCs w:val="24"/>
        </w:rPr>
        <w:t>年规</w:t>
      </w:r>
      <w:r>
        <w:rPr>
          <w:rFonts w:ascii="宋体" w:hAnsi="宋体" w:eastAsia="宋体" w:cs="宋体"/>
          <w:spacing w:val="1"/>
          <w:sz w:val="24"/>
          <w:szCs w:val="24"/>
        </w:rPr>
        <w:t>划成功回访事件覆盖率目标</w:t>
      </w:r>
      <w:r>
        <w:rPr>
          <w:rFonts w:ascii="宋体" w:hAnsi="宋体" w:eastAsia="宋体" w:cs="宋体"/>
          <w:spacing w:val="-3"/>
          <w:sz w:val="24"/>
          <w:szCs w:val="24"/>
        </w:rPr>
        <w:t>应达到</w:t>
      </w:r>
      <w:r>
        <w:rPr>
          <w:rFonts w:ascii="宋体" w:hAnsi="宋体" w:eastAsia="宋体" w:cs="宋体"/>
          <w:spacing w:val="-49"/>
          <w:sz w:val="24"/>
          <w:szCs w:val="24"/>
        </w:rPr>
        <w:t xml:space="preserve"> </w:t>
      </w:r>
      <w:r>
        <w:rPr>
          <w:rFonts w:hint="eastAsia" w:ascii="宋体" w:hAnsi="宋体" w:cs="宋体"/>
          <w:spacing w:val="-49"/>
          <w:sz w:val="24"/>
          <w:szCs w:val="24"/>
          <w:lang w:val="en-US" w:eastAsia="zh-CN"/>
        </w:rPr>
        <w:t>95</w:t>
      </w:r>
      <w:r>
        <w:rPr>
          <w:rFonts w:ascii="宋体" w:hAnsi="宋体" w:eastAsia="宋体" w:cs="宋体"/>
          <w:spacing w:val="-3"/>
          <w:sz w:val="24"/>
          <w:szCs w:val="24"/>
        </w:rPr>
        <w:t>%</w:t>
      </w:r>
      <w:r>
        <w:rPr>
          <w:rFonts w:hint="eastAsia" w:ascii="宋体" w:hAnsi="宋体" w:cs="宋体"/>
          <w:spacing w:val="-3"/>
          <w:sz w:val="24"/>
          <w:szCs w:val="24"/>
          <w:lang w:eastAsia="zh-CN"/>
        </w:rPr>
        <w:t>，</w:t>
      </w:r>
      <w:r>
        <w:rPr>
          <w:rFonts w:hint="eastAsia" w:ascii="宋体" w:hAnsi="宋体" w:cs="宋体"/>
          <w:spacing w:val="-3"/>
          <w:sz w:val="24"/>
          <w:szCs w:val="24"/>
          <w:lang w:val="en-US" w:eastAsia="zh-CN"/>
        </w:rPr>
        <w:t>每半年考核一次</w:t>
      </w:r>
      <w:r>
        <w:rPr>
          <w:rFonts w:ascii="宋体" w:hAnsi="宋体" w:eastAsia="宋体" w:cs="宋体"/>
          <w:spacing w:val="-3"/>
          <w:sz w:val="24"/>
          <w:szCs w:val="24"/>
        </w:rPr>
        <w:t>。</w:t>
      </w:r>
    </w:p>
    <w:p w14:paraId="1F2E3F35">
      <w:pPr>
        <w:keepNext w:val="0"/>
        <w:keepLines w:val="0"/>
        <w:pageBreakBefore w:val="0"/>
        <w:widowControl w:val="0"/>
        <w:numPr>
          <w:ilvl w:val="0"/>
          <w:numId w:val="5"/>
        </w:numPr>
        <w:kinsoku w:val="0"/>
        <w:wordWrap/>
        <w:overflowPunct/>
        <w:autoSpaceDE w:val="0"/>
        <w:autoSpaceDN w:val="0"/>
        <w:bidi w:val="0"/>
        <w:adjustRightInd w:val="0"/>
        <w:snapToGrid w:val="0"/>
        <w:spacing w:before="78" w:line="362" w:lineRule="auto"/>
        <w:ind w:left="425" w:leftChars="0" w:right="87" w:hanging="425" w:firstLineChars="0"/>
        <w:textAlignment w:val="baseline"/>
        <w:rPr>
          <w:rFonts w:ascii="宋体" w:hAnsi="宋体" w:eastAsia="宋体" w:cs="宋体"/>
          <w:sz w:val="24"/>
          <w:szCs w:val="24"/>
        </w:rPr>
      </w:pPr>
      <w:r>
        <w:rPr>
          <w:rFonts w:hint="eastAsia" w:ascii="宋体" w:hAnsi="宋体" w:cs="宋体"/>
          <w:spacing w:val="-3"/>
          <w:sz w:val="24"/>
          <w:szCs w:val="24"/>
          <w:lang w:val="en-US" w:eastAsia="zh-CN"/>
        </w:rPr>
        <w:t>服务台成功派单数占服务台派单总数的比例，要求不低于95%，每季度考核一次。</w:t>
      </w:r>
    </w:p>
    <w:p w14:paraId="4131C03E">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5" w:name="_Toc6745"/>
      <w:r>
        <w:rPr>
          <w:rFonts w:hint="eastAsia"/>
          <w:lang w:val="en-US" w:eastAsia="zh-CN"/>
        </w:rPr>
        <w:t>备件库</w:t>
      </w:r>
      <w:bookmarkEnd w:id="25"/>
    </w:p>
    <w:p w14:paraId="58CA057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为确保运维服务的连续性与应急响应效率，公司将加强对备件库的标准化管理。备件管理工作的考核以季度为周期开展，核心指标为备件</w:t>
      </w:r>
      <w:r>
        <w:rPr>
          <w:rFonts w:hint="eastAsia"/>
          <w:lang w:val="en-US" w:eastAsia="zh-CN"/>
        </w:rPr>
        <w:t>可用</w:t>
      </w:r>
      <w:r>
        <w:t>率，目标值为不低于95%</w:t>
      </w:r>
      <w:r>
        <w:rPr>
          <w:rFonts w:hint="eastAsia"/>
          <w:lang w:eastAsia="zh-CN"/>
        </w:rPr>
        <w:t>，</w:t>
      </w:r>
      <w:r>
        <w:rPr>
          <w:rFonts w:hint="eastAsia"/>
          <w:lang w:val="en-US" w:eastAsia="zh-CN"/>
        </w:rPr>
        <w:t>计算方式为</w:t>
      </w:r>
      <w:r>
        <w:rPr>
          <w:spacing w:val="-4"/>
          <w:sz w:val="24"/>
          <w:szCs w:val="24"/>
        </w:rPr>
        <w:t>备品备件出库合格数/备品备件出库总数</w:t>
      </w:r>
      <w:r>
        <w:rPr>
          <w:spacing w:val="58"/>
          <w:sz w:val="24"/>
          <w:szCs w:val="24"/>
        </w:rPr>
        <w:t xml:space="preserve"> </w:t>
      </w:r>
      <w:r>
        <w:rPr>
          <w:spacing w:val="-4"/>
          <w:sz w:val="24"/>
          <w:szCs w:val="24"/>
        </w:rPr>
        <w:t>×</w:t>
      </w:r>
      <w:r>
        <w:rPr>
          <w:sz w:val="24"/>
          <w:szCs w:val="24"/>
        </w:rPr>
        <w:t xml:space="preserve"> </w:t>
      </w:r>
      <w:r>
        <w:rPr>
          <w:spacing w:val="-7"/>
          <w:sz w:val="24"/>
          <w:szCs w:val="24"/>
        </w:rPr>
        <w:t>100</w:t>
      </w:r>
      <w:r>
        <w:rPr>
          <w:spacing w:val="2"/>
          <w:sz w:val="24"/>
          <w:szCs w:val="24"/>
        </w:rPr>
        <w:t xml:space="preserve"> </w:t>
      </w:r>
      <w:r>
        <w:rPr>
          <w:spacing w:val="-7"/>
          <w:sz w:val="24"/>
          <w:szCs w:val="24"/>
        </w:rPr>
        <w:t>%</w:t>
      </w:r>
      <w:r>
        <w:rPr>
          <w:rFonts w:hint="eastAsia"/>
          <w:lang w:val="en-US" w:eastAsia="zh-CN"/>
        </w:rPr>
        <w:t>。该</w:t>
      </w:r>
      <w:r>
        <w:t>指标旨在确保库存台账与实际物资一致，支持运维团队快速精准地获取所需备件，切实提升服务保障能力。</w:t>
      </w:r>
    </w:p>
    <w:p w14:paraId="5F69F4A6">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6" w:name="_Toc5970"/>
      <w:r>
        <w:rPr>
          <w:rFonts w:hint="eastAsia"/>
          <w:lang w:val="en-US" w:eastAsia="zh-CN"/>
        </w:rPr>
        <w:t>服务知识</w:t>
      </w:r>
      <w:bookmarkEnd w:id="26"/>
    </w:p>
    <w:p w14:paraId="4045B3DE">
      <w:pPr>
        <w:pStyle w:val="29"/>
        <w:keepNext w:val="0"/>
        <w:keepLines w:val="0"/>
        <w:pageBreakBefore w:val="0"/>
        <w:widowControl w:val="0"/>
        <w:kinsoku w:val="0"/>
        <w:wordWrap/>
        <w:overflowPunct/>
        <w:autoSpaceDE w:val="0"/>
        <w:autoSpaceDN w:val="0"/>
        <w:bidi w:val="0"/>
        <w:adjustRightInd w:val="0"/>
        <w:snapToGrid w:val="0"/>
        <w:textAlignment w:val="baseline"/>
      </w:pPr>
      <w:r>
        <w:t>202</w:t>
      </w:r>
      <w:r>
        <w:rPr>
          <w:rFonts w:hint="eastAsia"/>
          <w:lang w:val="en-US" w:eastAsia="zh-CN"/>
        </w:rPr>
        <w:t>4</w:t>
      </w:r>
      <w:r>
        <w:t>年在服务知识维护和利用方面有了较大的提高，也为运维工作的效率、质量的提高起到很好的支撑作用，但在服务知识入库审核、服务知识的覆盖面等方面还存在不足。2025年规划在服务知识覆盖面、知识入库审核等多个方面进行优化完善。</w:t>
      </w:r>
    </w:p>
    <w:p w14:paraId="601F855E">
      <w:pPr>
        <w:pStyle w:val="29"/>
        <w:keepNext w:val="0"/>
        <w:keepLines w:val="0"/>
        <w:pageBreakBefore w:val="0"/>
        <w:widowControl w:val="0"/>
        <w:kinsoku w:val="0"/>
        <w:wordWrap/>
        <w:overflowPunct/>
        <w:autoSpaceDE w:val="0"/>
        <w:autoSpaceDN w:val="0"/>
        <w:bidi w:val="0"/>
        <w:adjustRightInd w:val="0"/>
        <w:snapToGrid w:val="0"/>
        <w:textAlignment w:val="baseline"/>
      </w:pPr>
      <w:r>
        <w:t>2025年的服务知识</w:t>
      </w:r>
      <w:r>
        <w:rPr>
          <w:rFonts w:hint="eastAsia"/>
          <w:lang w:val="en-US" w:eastAsia="zh-CN"/>
        </w:rPr>
        <w:t>录入条数</w:t>
      </w:r>
      <w:r>
        <w:t>将</w:t>
      </w:r>
      <w:r>
        <w:rPr>
          <w:rFonts w:hint="eastAsia"/>
          <w:lang w:val="en-US" w:eastAsia="zh-CN"/>
        </w:rPr>
        <w:t>提高</w:t>
      </w:r>
      <w:r>
        <w:t>，</w:t>
      </w:r>
      <w:r>
        <w:rPr>
          <w:rFonts w:hint="eastAsia"/>
          <w:lang w:val="en-US" w:eastAsia="zh-CN"/>
        </w:rPr>
        <w:t>加强服务知识有效性审核，提高服务知识利用率</w:t>
      </w:r>
      <w:r>
        <w:t>。每季度</w:t>
      </w:r>
      <w:r>
        <w:rPr>
          <w:rFonts w:hint="eastAsia"/>
          <w:lang w:val="en-US" w:eastAsia="zh-CN"/>
        </w:rPr>
        <w:t>服务知识录入条数</w:t>
      </w:r>
      <w:r>
        <w:t>需达到≥</w:t>
      </w:r>
      <w:r>
        <w:rPr>
          <w:rFonts w:hint="eastAsia"/>
          <w:lang w:val="en-US" w:eastAsia="zh-CN"/>
        </w:rPr>
        <w:t>20条</w:t>
      </w:r>
      <w:r>
        <w:t>。</w:t>
      </w:r>
    </w:p>
    <w:p w14:paraId="489EE185">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7" w:name="_Toc14223"/>
      <w:r>
        <w:rPr>
          <w:rFonts w:hint="eastAsia"/>
          <w:lang w:val="en-US" w:eastAsia="zh-CN"/>
        </w:rPr>
        <w:t>最终软件库</w:t>
      </w:r>
      <w:bookmarkEnd w:id="27"/>
    </w:p>
    <w:p w14:paraId="572B2818">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default"/>
        </w:rPr>
        <w:t>为规范软件资源管理、保障系统稳定运行，公司拟制定《</w:t>
      </w:r>
      <w:r>
        <w:rPr>
          <w:rFonts w:hint="eastAsia"/>
          <w:lang w:val="en-US" w:eastAsia="zh-CN"/>
        </w:rPr>
        <w:t>最终软件库管理制度</w:t>
      </w:r>
      <w:r>
        <w:rPr>
          <w:rFonts w:hint="default"/>
        </w:rPr>
        <w:t>》，明确功能测试、安全漏洞扫描、兼容性验证等为必检项目，所有软件须全部达标后方可正式入库。公司设立专职审核团队，负责对拟入库软件开展全流程质量把关，完整留存测试报告及审核记录，确保过程可追溯、责任可落实。</w:t>
      </w:r>
    </w:p>
    <w:p w14:paraId="3E35B7F4">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通过严格执行该标准，公司致力于实现软件库中资源的持续高可用性，年度软件</w:t>
      </w:r>
      <w:r>
        <w:rPr>
          <w:rFonts w:hint="eastAsia"/>
          <w:lang w:val="en-US" w:eastAsia="zh-CN"/>
        </w:rPr>
        <w:t>入库合格率</w:t>
      </w:r>
      <w:r>
        <w:rPr>
          <w:rFonts w:hint="default"/>
        </w:rPr>
        <w:t>目标设定为不低于9</w:t>
      </w:r>
      <w:r>
        <w:rPr>
          <w:rFonts w:hint="eastAsia"/>
          <w:lang w:val="en-US" w:eastAsia="zh-CN"/>
        </w:rPr>
        <w:t>8</w:t>
      </w:r>
      <w:r>
        <w:rPr>
          <w:rFonts w:hint="default"/>
        </w:rPr>
        <w:t>%</w:t>
      </w:r>
      <w:r>
        <w:rPr>
          <w:rFonts w:hint="eastAsia"/>
          <w:lang w:eastAsia="zh-CN"/>
        </w:rPr>
        <w:t>，</w:t>
      </w:r>
      <w:r>
        <w:rPr>
          <w:rFonts w:hint="eastAsia"/>
          <w:lang w:val="en-US" w:eastAsia="zh-CN"/>
        </w:rPr>
        <w:t>合格率按合格入库软件数量</w:t>
      </w:r>
      <w:r>
        <w:rPr>
          <w:rFonts w:hint="eastAsia"/>
        </w:rPr>
        <w:t>/</w:t>
      </w:r>
      <w:r>
        <w:rPr>
          <w:rFonts w:hint="eastAsia"/>
          <w:lang w:val="en-US" w:eastAsia="zh-CN"/>
        </w:rPr>
        <w:t>总入库</w:t>
      </w:r>
      <w:r>
        <w:rPr>
          <w:rFonts w:hint="eastAsia"/>
        </w:rPr>
        <w:t>数量</w:t>
      </w:r>
      <w:r>
        <w:rPr>
          <w:rFonts w:hint="eastAsia"/>
          <w:lang w:eastAsia="zh-CN"/>
        </w:rPr>
        <w:t>*</w:t>
      </w:r>
      <w:r>
        <w:rPr>
          <w:rFonts w:hint="eastAsia"/>
        </w:rPr>
        <w:t>100%</w:t>
      </w:r>
      <w:r>
        <w:rPr>
          <w:rFonts w:hint="eastAsia"/>
          <w:lang w:val="en-US" w:eastAsia="zh-CN"/>
        </w:rPr>
        <w:t>计算</w:t>
      </w:r>
      <w:r>
        <w:rPr>
          <w:rFonts w:hint="default"/>
        </w:rPr>
        <w:t>。</w:t>
      </w:r>
    </w:p>
    <w:p w14:paraId="1DA94378">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8" w:name="_Toc30029"/>
      <w:r>
        <w:rPr>
          <w:rFonts w:hint="eastAsia"/>
          <w:lang w:val="en-US" w:eastAsia="zh-CN"/>
        </w:rPr>
        <w:t>服务数据</w:t>
      </w:r>
      <w:bookmarkEnd w:id="28"/>
    </w:p>
    <w:p w14:paraId="1089E1D8">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default"/>
        </w:rPr>
        <w:t>为提升运维数据的规范性与一致性，公司将制定并推行《</w:t>
      </w:r>
      <w:r>
        <w:rPr>
          <w:rFonts w:hint="eastAsia"/>
          <w:lang w:val="en-US" w:eastAsia="zh-CN"/>
        </w:rPr>
        <w:t>服务数据管理制度</w:t>
      </w:r>
      <w:r>
        <w:rPr>
          <w:rFonts w:hint="default"/>
        </w:rPr>
        <w:t>》，明确监控数据、故障记录、工单处理流程等各类数据的录入格式、字段定义及必填项规范。该</w:t>
      </w:r>
      <w:r>
        <w:rPr>
          <w:rFonts w:hint="eastAsia"/>
          <w:lang w:val="en-US" w:eastAsia="zh-CN"/>
        </w:rPr>
        <w:t>制度</w:t>
      </w:r>
      <w:r>
        <w:rPr>
          <w:rFonts w:hint="default"/>
        </w:rPr>
        <w:t>将作为数据采集工作的基本依据，为实现数据驱动决策奠定基础。</w:t>
      </w:r>
    </w:p>
    <w:p w14:paraId="43E117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rPr>
        <w:t>公司将组织运维人员参与专项培训，结合真实案例深入讲解标准要求与操作流程，并对参训人员进行考核，实行持证上岗机制，确保其熟练掌握数据采集标准后方可参与实际工作，从源头提升</w:t>
      </w:r>
      <w:r>
        <w:rPr>
          <w:rFonts w:hint="default"/>
          <w:lang w:val="en-US" w:eastAsia="zh-CN"/>
        </w:rPr>
        <w:t>数据质量。通过上述措施，</w:t>
      </w:r>
      <w:r>
        <w:rPr>
          <w:rFonts w:hint="eastAsia"/>
          <w:lang w:val="en-US" w:eastAsia="zh-CN"/>
        </w:rPr>
        <w:t>致力于服务数据分析利用，每季度不得少于2次</w:t>
      </w:r>
      <w:r>
        <w:rPr>
          <w:rFonts w:hint="default"/>
          <w:lang w:val="en-US" w:eastAsia="zh-CN"/>
        </w:rPr>
        <w:t>。</w:t>
      </w:r>
    </w:p>
    <w:p w14:paraId="135CADE2">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9" w:name="_Toc29917"/>
      <w:r>
        <w:rPr>
          <w:rFonts w:hint="eastAsia"/>
          <w:lang w:val="en-US" w:eastAsia="zh-CN"/>
        </w:rPr>
        <w:t>技术</w:t>
      </w:r>
      <w:bookmarkEnd w:id="29"/>
    </w:p>
    <w:p w14:paraId="7D29C6EA">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根据公司2025年度经营计划部署，为系统化应对生产运维过程中现存及潜在的技术挑战，我部已建立起软件研发产品化的常态化机制。该机制旨在通过对重点、难点技术问题开展专题研究与技术攻关，形成可落地、可推广的技术实施方案与解决方案，从而有效提升运维工作效率与服务质量，持续增强用户满意度。2025年度具体技术研发目标、重点项目及实施</w:t>
      </w:r>
      <w:r>
        <w:rPr>
          <w:rFonts w:hint="eastAsia"/>
          <w:lang w:val="en-US" w:eastAsia="zh-CN"/>
        </w:rPr>
        <w:t>计划</w:t>
      </w:r>
      <w:r>
        <w:t>见《</w:t>
      </w:r>
      <w:r>
        <w:rPr>
          <w:rFonts w:hint="eastAsia"/>
        </w:rPr>
        <w:t>2025年运维研发规划</w:t>
      </w:r>
      <w:r>
        <w:t>》</w:t>
      </w:r>
    </w:p>
    <w:p w14:paraId="68E71AE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0" w:name="_Toc20287"/>
      <w:r>
        <w:rPr>
          <w:rFonts w:hint="eastAsia"/>
          <w:lang w:val="en-US" w:eastAsia="zh-CN"/>
        </w:rPr>
        <w:t>过程</w:t>
      </w:r>
      <w:bookmarkEnd w:id="30"/>
    </w:p>
    <w:p w14:paraId="003E8200">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1" w:name="_Toc27284"/>
      <w:r>
        <w:rPr>
          <w:rFonts w:hint="eastAsia"/>
          <w:lang w:val="en-US" w:eastAsia="zh-CN"/>
        </w:rPr>
        <w:t>过程框架设计</w:t>
      </w:r>
      <w:bookmarkEnd w:id="31"/>
    </w:p>
    <w:p w14:paraId="65DF3591">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t>2025年，过程框架设计管理工作将重点推进框架的持续优化与迭代。依据前期调研及运行反馈，以</w:t>
      </w:r>
      <w:r>
        <w:rPr>
          <w:rFonts w:hint="eastAsia"/>
          <w:lang w:val="en-US" w:eastAsia="zh-CN"/>
        </w:rPr>
        <w:t>年度</w:t>
      </w:r>
      <w:r>
        <w:t>为周期对现有过程框架进行评估与动态调整。</w:t>
      </w:r>
      <w:r>
        <w:rPr>
          <w:rFonts w:hint="eastAsia"/>
          <w:lang w:val="en-US" w:eastAsia="zh-CN"/>
        </w:rPr>
        <w:t>要求每年至少自评估一次。</w:t>
      </w:r>
      <w:r>
        <w:t>例如，为高效响应紧急业务软件上线需求，将专门设计并增设“快速审核通道”，明确简化的审核流程与权责分工，精简冗余及非必要环节，在保障质量与合规的前提下，显著提升紧急需求的响应与交付速度</w:t>
      </w:r>
    </w:p>
    <w:p w14:paraId="617D7506">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2" w:name="_Toc14357"/>
      <w:r>
        <w:rPr>
          <w:rFonts w:hint="eastAsia"/>
          <w:lang w:val="en-US" w:eastAsia="zh-CN"/>
        </w:rPr>
        <w:t>服务级别管理</w:t>
      </w:r>
      <w:bookmarkEnd w:id="32"/>
    </w:p>
    <w:p w14:paraId="0A9A02D7">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t>2025年，服务级别管理工作将重点强化服务级别协议（SLA）的常态化监测与执行力度。要求各项目在运维过程中，对所有影响服务级别指标达成的事件进行完整跟踪与记录，并依据协议要求，按</w:t>
      </w:r>
      <w:r>
        <w:rPr>
          <w:rFonts w:hint="eastAsia"/>
          <w:lang w:val="en-US" w:eastAsia="zh-CN"/>
        </w:rPr>
        <w:t>年</w:t>
      </w:r>
      <w:r>
        <w:t>量化计算各项关键指标数值。相关统计结果与达标情况需定期在服务报告中予以正式发布，以便各方清晰掌握服务水平现状，并为持续的服务优化提供数据支撑。</w:t>
      </w:r>
      <w:r>
        <w:rPr>
          <w:rFonts w:hint="eastAsia"/>
          <w:lang w:val="en-US" w:eastAsia="zh-CN"/>
        </w:rPr>
        <w:t>要求每年的SLA达成率不得低于95%。</w:t>
      </w:r>
    </w:p>
    <w:p w14:paraId="4A6D41C3">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3" w:name="_Toc21574"/>
      <w:r>
        <w:rPr>
          <w:rFonts w:hint="eastAsia"/>
          <w:lang w:val="en-US" w:eastAsia="zh-CN"/>
        </w:rPr>
        <w:t>服务报告管理</w:t>
      </w:r>
      <w:bookmarkEnd w:id="33"/>
    </w:p>
    <w:p w14:paraId="105C0FC6">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default"/>
        </w:rPr>
        <w:t>2025年，服务报告管理工作将重点围绕以下两方面深入开展：</w:t>
      </w:r>
    </w:p>
    <w:p w14:paraId="497444FA">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强化服务事件的精细化统计与深度分析：加强对各运维对象事件与性能状况的系统化统计，注重对统计数据的多维度分析与解读，并基于分析结果提出明确改进建议，应避免简单罗列数据的流水账式记录，突出报告的分析性与决策支持价值；</w:t>
      </w:r>
    </w:p>
    <w:p w14:paraId="55E5F678">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增加项目运行状况的综合总结：在每月服务报告末章增设项目运行整体综述，系统梳理当月运维基本情况，重点归纳典型问题与风险隐患，并对该月项目运行状态做出结论性评价，旨在为项目管理与客户决策提供清晰、结论性的参考依据。</w:t>
      </w:r>
    </w:p>
    <w:p w14:paraId="5CA0B955">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rPr>
      </w:pPr>
      <w:r>
        <w:rPr>
          <w:rFonts w:hint="eastAsia"/>
          <w:lang w:val="en-US" w:eastAsia="zh-CN"/>
        </w:rPr>
        <w:t>每季度对服务报告及时提交率进行考核，要求不低于95%，计算方式为</w:t>
      </w:r>
      <w:r>
        <w:rPr>
          <w:spacing w:val="-1"/>
          <w:sz w:val="24"/>
          <w:szCs w:val="24"/>
        </w:rPr>
        <w:t>服务报告按时提交的数量/应提交的服务报</w:t>
      </w:r>
      <w:r>
        <w:rPr>
          <w:spacing w:val="-10"/>
          <w:sz w:val="24"/>
          <w:szCs w:val="24"/>
        </w:rPr>
        <w:t>告数量×100 %</w:t>
      </w:r>
    </w:p>
    <w:p w14:paraId="0DE26117">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4" w:name="_Toc2057"/>
      <w:r>
        <w:rPr>
          <w:rFonts w:hint="eastAsia"/>
          <w:lang w:val="en-US" w:eastAsia="zh-CN"/>
        </w:rPr>
        <w:t>事件管理</w:t>
      </w:r>
      <w:bookmarkEnd w:id="34"/>
    </w:p>
    <w:p w14:paraId="3A6D1F53">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default"/>
        </w:rPr>
        <w:t>2025年，事件管理工作将重点围绕以下两方面进行深化与优化：</w:t>
      </w:r>
    </w:p>
    <w:p w14:paraId="2C5B50C5">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加强事件记录的深度分析与价值挖掘：对事件记录开展多维度、体系化的分析，深入识别事件背后的根本原因、影响范围和发生规律，为服务改进、资源规划及经营管理决策提供更加全面和精准的数据支持；</w:t>
      </w:r>
    </w:p>
    <w:p w14:paraId="5DD07542">
      <w:pPr>
        <w:pStyle w:val="29"/>
        <w:keepNext w:val="0"/>
        <w:keepLines w:val="0"/>
        <w:pageBreakBefore w:val="0"/>
        <w:widowControl w:val="0"/>
        <w:numPr>
          <w:ilvl w:val="0"/>
          <w:numId w:val="7"/>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优化事件分类机制：对现有事件单分类模式进行系统性改进，建立更灵活、更精细的多维度分类体系，提升事件统计与分析的可定制性和可扩展性，以满足不同层面的管理洞察与报表需求。</w:t>
      </w:r>
    </w:p>
    <w:p w14:paraId="2DC37966">
      <w:pPr>
        <w:pStyle w:val="29"/>
        <w:keepNext w:val="0"/>
        <w:keepLines w:val="0"/>
        <w:pageBreakBefore w:val="0"/>
        <w:widowControl w:val="0"/>
        <w:numPr>
          <w:ilvl w:val="0"/>
          <w:numId w:val="6"/>
        </w:numPr>
        <w:kinsoku w:val="0"/>
        <w:wordWrap/>
        <w:overflowPunct/>
        <w:autoSpaceDE w:val="0"/>
        <w:autoSpaceDN w:val="0"/>
        <w:bidi w:val="0"/>
        <w:adjustRightInd w:val="0"/>
        <w:snapToGrid w:val="0"/>
        <w:ind w:left="425" w:leftChars="0" w:hanging="425" w:firstLineChars="0"/>
        <w:textAlignment w:val="baseline"/>
        <w:rPr>
          <w:rFonts w:hint="default"/>
        </w:rPr>
      </w:pPr>
      <w:r>
        <w:rPr>
          <w:rFonts w:hint="eastAsia"/>
          <w:lang w:val="en-US" w:eastAsia="zh-CN"/>
        </w:rPr>
        <w:t>每月对事件及时响应率和事件解决率进行考核，均要求不低于90%</w:t>
      </w:r>
    </w:p>
    <w:p w14:paraId="39BC34BD">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5" w:name="_Toc20586"/>
      <w:r>
        <w:rPr>
          <w:rFonts w:hint="eastAsia"/>
          <w:lang w:val="en-US" w:eastAsia="zh-CN"/>
        </w:rPr>
        <w:t>问题管理</w:t>
      </w:r>
      <w:bookmarkEnd w:id="35"/>
    </w:p>
    <w:p w14:paraId="2AC72B13">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pPr>
      <w:r>
        <w:rPr>
          <w:rFonts w:hint="default"/>
        </w:rPr>
        <w:t>强化流程间协同机制：重点加强问题管理流程与事件管理、服务级别管理（SLA）等流程的有效互动与信息共享，建立常态化联动机制，确保重大事件可及时转化为问题记录，并通过根本原因分析推动服务改进，从而全面提升问题管理在风险预防与决策支持中的价值赋能。</w:t>
      </w:r>
    </w:p>
    <w:p w14:paraId="06B60542">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rPr>
      </w:pPr>
      <w:r>
        <w:rPr>
          <w:rFonts w:hint="default"/>
        </w:rPr>
        <w:t>推动问题管理流程持续改进：系统梳理并分析各项目组在问题流程实践中存在的差异与短板，针对流程依从性、分类一致性、解决时效性等关键环节进行持续优化，建立闭环改进机制，提升问题管理的整体成熟度和运行效率。</w:t>
      </w:r>
    </w:p>
    <w:p w14:paraId="40C30817">
      <w:pPr>
        <w:pStyle w:val="29"/>
        <w:keepNext w:val="0"/>
        <w:keepLines w:val="0"/>
        <w:pageBreakBefore w:val="0"/>
        <w:widowControl w:val="0"/>
        <w:numPr>
          <w:ilvl w:val="0"/>
          <w:numId w:val="8"/>
        </w:numPr>
        <w:kinsoku w:val="0"/>
        <w:wordWrap/>
        <w:overflowPunct/>
        <w:autoSpaceDE w:val="0"/>
        <w:autoSpaceDN w:val="0"/>
        <w:bidi w:val="0"/>
        <w:adjustRightInd w:val="0"/>
        <w:snapToGrid w:val="0"/>
        <w:ind w:left="425" w:leftChars="0" w:hanging="425" w:firstLineChars="0"/>
        <w:textAlignment w:val="baseline"/>
        <w:rPr>
          <w:rFonts w:hint="default"/>
        </w:rPr>
      </w:pPr>
      <w:r>
        <w:rPr>
          <w:rFonts w:hint="eastAsia"/>
          <w:lang w:val="en-US" w:eastAsia="zh-CN"/>
        </w:rPr>
        <w:t>按季度对问题解决率进行考核，计算方式为</w:t>
      </w:r>
      <w:r>
        <w:rPr>
          <w:spacing w:val="-4"/>
          <w:sz w:val="24"/>
          <w:szCs w:val="24"/>
        </w:rPr>
        <w:t>实际解决的问题数/问题总数</w:t>
      </w:r>
      <w:r>
        <w:rPr>
          <w:spacing w:val="60"/>
          <w:sz w:val="24"/>
          <w:szCs w:val="24"/>
        </w:rPr>
        <w:t xml:space="preserve"> </w:t>
      </w:r>
      <w:r>
        <w:rPr>
          <w:spacing w:val="-4"/>
          <w:sz w:val="24"/>
          <w:szCs w:val="24"/>
        </w:rPr>
        <w:t>× 100 %</w:t>
      </w:r>
      <w:r>
        <w:rPr>
          <w:rFonts w:hint="eastAsia"/>
          <w:spacing w:val="-4"/>
          <w:sz w:val="24"/>
          <w:szCs w:val="24"/>
          <w:lang w:eastAsia="zh-CN"/>
        </w:rPr>
        <w:t>，</w:t>
      </w:r>
      <w:r>
        <w:rPr>
          <w:rFonts w:hint="eastAsia"/>
          <w:spacing w:val="-4"/>
          <w:sz w:val="24"/>
          <w:szCs w:val="24"/>
          <w:lang w:val="en-US" w:eastAsia="zh-CN"/>
        </w:rPr>
        <w:t>要求问题解决率不低于90%</w:t>
      </w:r>
      <w:r>
        <w:rPr>
          <w:rFonts w:hint="eastAsia"/>
          <w:spacing w:val="-4"/>
          <w:sz w:val="24"/>
          <w:szCs w:val="24"/>
          <w:lang w:eastAsia="zh-CN"/>
        </w:rPr>
        <w:t>。</w:t>
      </w:r>
    </w:p>
    <w:p w14:paraId="578D4E60">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6" w:name="_Toc5691"/>
      <w:r>
        <w:rPr>
          <w:rFonts w:hint="eastAsia"/>
          <w:lang w:val="en-US" w:eastAsia="zh-CN"/>
        </w:rPr>
        <w:t>变更管理</w:t>
      </w:r>
      <w:bookmarkEnd w:id="36"/>
    </w:p>
    <w:p w14:paraId="781AD76B">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2025年，变更管理工作将重点提升变更过程的规范性与安全性，核心任务如下：</w:t>
      </w:r>
    </w:p>
    <w:p w14:paraId="681412ED">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强化变更记录的完整性与准确性：严格落实变更文档的标准化管理，确保每次变更均完整记录变更原因、实施方案、测试结果及回退计划等关键要素，为审计与复盘提供可靠依据。</w:t>
      </w:r>
    </w:p>
    <w:p w14:paraId="5E46F450">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rPr>
      </w:pPr>
      <w:r>
        <w:rPr>
          <w:rFonts w:hint="eastAsia"/>
          <w:lang w:val="en-US" w:eastAsia="zh-CN"/>
        </w:rPr>
        <w:t>加强变更过程可控性与回退计划监督：建立变更回退计划的专项质量审查机制，将其作为变更审批的前置必要条件，杜绝因回退计划缺失或不可行导致的运维风险，切实保障变更失败后系统可快速恢复至稳定状态。</w:t>
      </w:r>
    </w:p>
    <w:p w14:paraId="685D2111">
      <w:pPr>
        <w:pStyle w:val="29"/>
        <w:keepNext w:val="0"/>
        <w:keepLines w:val="0"/>
        <w:pageBreakBefore w:val="0"/>
        <w:widowControl w:val="0"/>
        <w:numPr>
          <w:ilvl w:val="0"/>
          <w:numId w:val="9"/>
        </w:numPr>
        <w:kinsoku w:val="0"/>
        <w:wordWrap/>
        <w:overflowPunct/>
        <w:autoSpaceDE w:val="0"/>
        <w:autoSpaceDN w:val="0"/>
        <w:bidi w:val="0"/>
        <w:adjustRightInd w:val="0"/>
        <w:snapToGrid w:val="0"/>
        <w:ind w:left="425" w:leftChars="0" w:hanging="425" w:firstLineChars="0"/>
        <w:textAlignment w:val="baseline"/>
        <w:rPr>
          <w:rFonts w:hint="default"/>
        </w:rPr>
      </w:pPr>
      <w:r>
        <w:rPr>
          <w:rFonts w:hint="eastAsia"/>
          <w:lang w:val="en-US" w:eastAsia="zh-CN"/>
        </w:rPr>
        <w:t>按季度对变更成功率进行考核，计算方式为</w:t>
      </w:r>
      <w:r>
        <w:rPr>
          <w:spacing w:val="-4"/>
          <w:sz w:val="24"/>
          <w:szCs w:val="24"/>
        </w:rPr>
        <w:t>实际解决的问题数/问题总数</w:t>
      </w:r>
      <w:r>
        <w:rPr>
          <w:spacing w:val="60"/>
          <w:sz w:val="24"/>
          <w:szCs w:val="24"/>
        </w:rPr>
        <w:t xml:space="preserve"> </w:t>
      </w:r>
      <w:r>
        <w:rPr>
          <w:spacing w:val="-4"/>
          <w:sz w:val="24"/>
          <w:szCs w:val="24"/>
        </w:rPr>
        <w:t>× 100 %</w:t>
      </w:r>
      <w:r>
        <w:rPr>
          <w:rFonts w:hint="eastAsia"/>
          <w:spacing w:val="-4"/>
          <w:sz w:val="24"/>
          <w:szCs w:val="24"/>
          <w:lang w:eastAsia="zh-CN"/>
        </w:rPr>
        <w:t>，</w:t>
      </w:r>
      <w:r>
        <w:rPr>
          <w:rFonts w:hint="eastAsia"/>
          <w:spacing w:val="-4"/>
          <w:sz w:val="24"/>
          <w:szCs w:val="24"/>
          <w:lang w:val="en-US" w:eastAsia="zh-CN"/>
        </w:rPr>
        <w:t>要求变更成功率不低于90%，变更成功率的计算方式为</w:t>
      </w:r>
      <w:r>
        <w:rPr>
          <w:spacing w:val="-4"/>
          <w:sz w:val="24"/>
          <w:szCs w:val="24"/>
        </w:rPr>
        <w:t>变更成功次数/变更的次数</w:t>
      </w:r>
      <w:r>
        <w:rPr>
          <w:spacing w:val="47"/>
          <w:sz w:val="24"/>
          <w:szCs w:val="24"/>
        </w:rPr>
        <w:t xml:space="preserve"> </w:t>
      </w:r>
      <w:r>
        <w:rPr>
          <w:spacing w:val="-4"/>
          <w:sz w:val="24"/>
          <w:szCs w:val="24"/>
        </w:rPr>
        <w:t>× 100</w:t>
      </w:r>
      <w:r>
        <w:rPr>
          <w:spacing w:val="2"/>
          <w:sz w:val="24"/>
          <w:szCs w:val="24"/>
        </w:rPr>
        <w:t xml:space="preserve"> </w:t>
      </w:r>
      <w:r>
        <w:rPr>
          <w:spacing w:val="-4"/>
          <w:sz w:val="24"/>
          <w:szCs w:val="24"/>
        </w:rPr>
        <w:t>%</w:t>
      </w:r>
      <w:r>
        <w:rPr>
          <w:rFonts w:hint="eastAsia"/>
          <w:spacing w:val="-4"/>
          <w:sz w:val="24"/>
          <w:szCs w:val="24"/>
          <w:lang w:eastAsia="zh-CN"/>
        </w:rPr>
        <w:t>。</w:t>
      </w:r>
    </w:p>
    <w:p w14:paraId="2B6BAC65">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7" w:name="_Toc18976"/>
      <w:r>
        <w:rPr>
          <w:rFonts w:hint="eastAsia"/>
          <w:lang w:val="en-US" w:eastAsia="zh-CN"/>
        </w:rPr>
        <w:t>发布管理</w:t>
      </w:r>
      <w:bookmarkEnd w:id="37"/>
    </w:p>
    <w:p w14:paraId="0616813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t>2025年，发布管理工作将重点强化实施方案的质量管控，确保发布过程的可靠性与稳定性。核心举措包括建立发布方案标准化评审机制，对实施方案的清晰性、可操作性和回退可行性进行严格审查，杜绝因方案描述含糊、步骤缺失或权责不清导致的发布失败或业务风险。通过细化方案模板、明确关键检查项及推行质量门禁，全面提升发布实施的可预测性与一次成功率。</w:t>
      </w:r>
      <w:r>
        <w:rPr>
          <w:rFonts w:hint="eastAsia"/>
          <w:lang w:val="en-US" w:eastAsia="zh-CN"/>
        </w:rPr>
        <w:t>要求每季度的发布成功率不低于90%</w:t>
      </w:r>
    </w:p>
    <w:p w14:paraId="63299EFB">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8" w:name="_Toc14298"/>
      <w:r>
        <w:rPr>
          <w:rFonts w:hint="eastAsia"/>
          <w:lang w:val="en-US" w:eastAsia="zh-CN"/>
        </w:rPr>
        <w:t>配置管理</w:t>
      </w:r>
      <w:bookmarkEnd w:id="38"/>
    </w:p>
    <w:p w14:paraId="3D8CBA2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2025年，配置管理工作将重点围绕配置数据库（CMDB）的准确性与有效性开展系统化提升，核心工作方向如下：</w:t>
      </w:r>
    </w:p>
    <w:p w14:paraId="552CDCD9">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优化配置库结构设计与标准化：针对部分项目组配置库结构设计不合理、配置项属性缺失或无法填写的问题，将制定并推行统一的配置模型设计规范与属性定义标准，加强建库前期的技术指导与审核，确保配置项信息完整、结构清晰、可维护性强。</w:t>
      </w:r>
    </w:p>
    <w:p w14:paraId="4B68D398">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配置信息及时性与账实一致性：建立配置信息更新闭环管理机制，强化与变更、发布等流程的联动，确保配置项信息随实际环境变化实时同步。同时，引入自动化发现工具辅助人工维护，并开展定期与专项审计，重点排查和整改“账实不符”问题，逐步提升配置数据准确率。</w:t>
      </w:r>
    </w:p>
    <w:p w14:paraId="1DFB9BE6">
      <w:pPr>
        <w:pStyle w:val="29"/>
        <w:keepNext w:val="0"/>
        <w:keepLines w:val="0"/>
        <w:pageBreakBefore w:val="0"/>
        <w:widowControl w:val="0"/>
        <w:numPr>
          <w:ilvl w:val="0"/>
          <w:numId w:val="10"/>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每半年对配置管理准确率进行考核，要求不低于95%。配置准确率的计算方式为</w:t>
      </w:r>
      <w:r>
        <w:rPr>
          <w:spacing w:val="-4"/>
          <w:sz w:val="24"/>
          <w:szCs w:val="24"/>
        </w:rPr>
        <w:t>在审计中发现正确的数量/配置项数量</w:t>
      </w:r>
      <w:r>
        <w:rPr>
          <w:spacing w:val="53"/>
          <w:sz w:val="24"/>
          <w:szCs w:val="24"/>
        </w:rPr>
        <w:t xml:space="preserve"> </w:t>
      </w:r>
      <w:r>
        <w:rPr>
          <w:spacing w:val="-4"/>
          <w:sz w:val="24"/>
          <w:szCs w:val="24"/>
        </w:rPr>
        <w:t>×</w:t>
      </w:r>
      <w:r>
        <w:rPr>
          <w:sz w:val="24"/>
          <w:szCs w:val="24"/>
        </w:rPr>
        <w:t xml:space="preserve"> </w:t>
      </w:r>
      <w:r>
        <w:rPr>
          <w:spacing w:val="-7"/>
          <w:sz w:val="24"/>
          <w:szCs w:val="24"/>
        </w:rPr>
        <w:t>100</w:t>
      </w:r>
      <w:r>
        <w:rPr>
          <w:spacing w:val="2"/>
          <w:sz w:val="24"/>
          <w:szCs w:val="24"/>
        </w:rPr>
        <w:t xml:space="preserve"> </w:t>
      </w:r>
      <w:r>
        <w:rPr>
          <w:spacing w:val="-7"/>
          <w:sz w:val="24"/>
          <w:szCs w:val="24"/>
        </w:rPr>
        <w:t>%</w:t>
      </w:r>
    </w:p>
    <w:p w14:paraId="5C98E658">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9" w:name="_Toc17952"/>
      <w:r>
        <w:rPr>
          <w:rFonts w:hint="eastAsia"/>
          <w:lang w:val="en-US" w:eastAsia="zh-CN"/>
        </w:rPr>
        <w:t>服务可用性和连续性管理</w:t>
      </w:r>
      <w:bookmarkEnd w:id="39"/>
    </w:p>
    <w:p w14:paraId="7F94DBB2">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2025年，服务可用性与连续性管理工作将围绕提升系统可靠性与应急响应能力重点展开，核心目标与措施如下：</w:t>
      </w:r>
    </w:p>
    <w:p w14:paraId="5568C909">
      <w:pPr>
        <w:pStyle w:val="29"/>
        <w:keepNext w:val="0"/>
        <w:keepLines w:val="0"/>
        <w:pageBreakBefore w:val="0"/>
        <w:widowControl w:val="0"/>
        <w:numPr>
          <w:ilvl w:val="0"/>
          <w:numId w:val="11"/>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强化系统监控与高可用保障：完善常态化监控预警机制，明确当系统可用率低于99</w:t>
      </w:r>
      <w:r>
        <w:rPr>
          <w:rFonts w:hint="eastAsia"/>
          <w:lang w:val="en-US" w:eastAsia="zh-CN"/>
        </w:rPr>
        <w:t>%</w:t>
      </w:r>
      <w:r>
        <w:rPr>
          <w:rFonts w:hint="eastAsia"/>
        </w:rPr>
        <w:t>时，须立即触发根本原因分析及整改流程，形成事件-问题-改进的闭环管理，持续提升服务可用性水平。</w:t>
      </w:r>
    </w:p>
    <w:p w14:paraId="00DBFC03">
      <w:pPr>
        <w:pStyle w:val="29"/>
        <w:keepNext w:val="0"/>
        <w:keepLines w:val="0"/>
        <w:pageBreakBefore w:val="0"/>
        <w:widowControl w:val="0"/>
        <w:numPr>
          <w:ilvl w:val="0"/>
          <w:numId w:val="11"/>
        </w:numPr>
        <w:kinsoku w:val="0"/>
        <w:wordWrap/>
        <w:overflowPunct/>
        <w:autoSpaceDE w:val="0"/>
        <w:autoSpaceDN w:val="0"/>
        <w:bidi w:val="0"/>
        <w:adjustRightInd w:val="0"/>
        <w:snapToGrid w:val="0"/>
        <w:ind w:left="425" w:leftChars="0" w:hanging="425" w:firstLineChars="0"/>
        <w:textAlignment w:val="baseline"/>
        <w:rPr>
          <w:rFonts w:hint="eastAsia"/>
        </w:rPr>
      </w:pPr>
      <w:r>
        <w:rPr>
          <w:rFonts w:hint="eastAsia"/>
        </w:rPr>
        <w:t>优化用户端故障反馈机制：统一并完善多个故障反馈入口（如在线表单、服务台热线、监控集成告警等），简化上报流程，加强页面和路由提示，确保用户可快速、便捷地提交故障信息，减少上报障碍。</w:t>
      </w:r>
    </w:p>
    <w:p w14:paraId="0BC8B0D9">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rPr>
        <w:t>建立专业7×24小时故障响应团队：组建专职轮岗保障团队，明确值班职责与升级机制，配备完备的应急工具与</w:t>
      </w:r>
      <w:r>
        <w:rPr>
          <w:rFonts w:hint="eastAsia"/>
          <w:lang w:val="en-US" w:eastAsia="zh-CN"/>
        </w:rPr>
        <w:t>服务知识</w:t>
      </w:r>
      <w:r>
        <w:rPr>
          <w:rFonts w:hint="eastAsia"/>
        </w:rPr>
        <w:t>，实现全天候故障快速响应与协同处置，最大限度减少业务中断时长。</w:t>
      </w:r>
    </w:p>
    <w:p w14:paraId="07DFC13F">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0" w:name="_Toc31199"/>
      <w:r>
        <w:rPr>
          <w:rFonts w:hint="eastAsia"/>
          <w:lang w:val="en-US" w:eastAsia="zh-CN"/>
        </w:rPr>
        <w:t>容量管理</w:t>
      </w:r>
      <w:bookmarkEnd w:id="40"/>
    </w:p>
    <w:p w14:paraId="7F668877">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2025年，系统容量管理工作将重点构建以事件驱动、数据为基的持续优化机制，具体计划如下：</w:t>
      </w:r>
    </w:p>
    <w:p w14:paraId="44A536F6">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深化容量事件分析溯源：对所有因容量不足或规划不合理引发的事件进行完整记录与深度分析，详细涵盖事件根本原因、业务影响范围及所采取的应急与根本解决措施，形成结构化分析案例库，为容量规划提供数据支撑。</w:t>
      </w:r>
    </w:p>
    <w:p w14:paraId="3F7E5233">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建立年度容量复盘与策略优化机制：每季度组织召开容量管理专题分析会，系统性总结阶段内容量相关事件的经验教训，评估当前容量管理策略与流程的有效性，并基于业务趋势与数据洞察持续优化容量预测模型和管理流程。</w:t>
      </w:r>
    </w:p>
    <w:p w14:paraId="303B9D99">
      <w:pPr>
        <w:pStyle w:val="29"/>
        <w:keepNext w:val="0"/>
        <w:keepLines w:val="0"/>
        <w:pageBreakBefore w:val="0"/>
        <w:widowControl w:val="0"/>
        <w:numPr>
          <w:ilvl w:val="0"/>
          <w:numId w:val="12"/>
        </w:numPr>
        <w:kinsoku w:val="0"/>
        <w:wordWrap/>
        <w:overflowPunct/>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控制每季度容量事件不得超过1次。</w:t>
      </w:r>
    </w:p>
    <w:p w14:paraId="3B8C7D9F">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1" w:name="_Toc21531"/>
      <w:r>
        <w:rPr>
          <w:rFonts w:hint="eastAsia"/>
          <w:lang w:val="en-US" w:eastAsia="zh-CN"/>
        </w:rPr>
        <w:t>信息安全管理</w:t>
      </w:r>
      <w:bookmarkEnd w:id="41"/>
    </w:p>
    <w:p w14:paraId="319DA6FC">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2025年，信息安全管理工作的开展将聚焦于人员能力与制度遵从两大核心领域，具体计划如下：</w:t>
      </w:r>
    </w:p>
    <w:p w14:paraId="5CBF3013">
      <w:pPr>
        <w:pStyle w:val="29"/>
        <w:keepNext w:val="0"/>
        <w:keepLines w:val="0"/>
        <w:pageBreakBefore w:val="0"/>
        <w:widowControl w:val="0"/>
        <w:numPr>
          <w:ilvl w:val="0"/>
          <w:numId w:val="1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深化信息安全工具技能培训：在</w:t>
      </w:r>
      <w:r>
        <w:rPr>
          <w:rFonts w:hint="eastAsia"/>
          <w:lang w:val="en-US" w:eastAsia="zh-CN"/>
        </w:rPr>
        <w:t>运维部</w:t>
      </w:r>
      <w:r>
        <w:rPr>
          <w:rFonts w:hint="default"/>
          <w:lang w:val="en-US" w:eastAsia="zh-CN"/>
        </w:rPr>
        <w:t>内部深入开展信息安全防护工具的专项培训，重点提升人员对安全工具的操作熟练度与实战应用能力，强化整体信息安全防控水平，最大限度杜绝因技能不足导致的低级安全事件。</w:t>
      </w:r>
    </w:p>
    <w:p w14:paraId="741ADC09">
      <w:pPr>
        <w:pStyle w:val="29"/>
        <w:keepNext w:val="0"/>
        <w:keepLines w:val="0"/>
        <w:pageBreakBefore w:val="0"/>
        <w:widowControl w:val="0"/>
        <w:numPr>
          <w:ilvl w:val="0"/>
          <w:numId w:val="1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强化安全法规与制度宣贯执行：针对新颁布的信息安全相关法律法规及公司内部制度，及时组织专项培训与考核，确保全员清晰理解并严格遵循现行安全要求，持续提高合规意识和风险防范能力。</w:t>
      </w:r>
    </w:p>
    <w:p w14:paraId="08445B2D">
      <w:pPr>
        <w:pStyle w:val="29"/>
        <w:keepNext w:val="0"/>
        <w:keepLines w:val="0"/>
        <w:pageBreakBefore w:val="0"/>
        <w:widowControl w:val="0"/>
        <w:numPr>
          <w:ilvl w:val="0"/>
          <w:numId w:val="13"/>
        </w:numPr>
        <w:kinsoku w:val="0"/>
        <w:wordWrap/>
        <w:overflowPunct/>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加强信息安全管理，避免信息安全事件发生。</w:t>
      </w:r>
    </w:p>
    <w:p w14:paraId="47AB414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2" w:name="_Toc29039"/>
      <w:r>
        <w:rPr>
          <w:rFonts w:hint="eastAsia"/>
          <w:lang w:val="en-US" w:eastAsia="zh-CN"/>
        </w:rPr>
        <w:t>交付</w:t>
      </w:r>
      <w:bookmarkEnd w:id="42"/>
    </w:p>
    <w:p w14:paraId="4FC8698B">
      <w:pPr>
        <w:pStyle w:val="29"/>
        <w:keepNext w:val="0"/>
        <w:keepLines w:val="0"/>
        <w:pageBreakBefore w:val="0"/>
        <w:widowControl w:val="0"/>
        <w:kinsoku w:val="0"/>
        <w:wordWrap/>
        <w:overflowPunct/>
        <w:autoSpaceDE w:val="0"/>
        <w:autoSpaceDN w:val="0"/>
        <w:bidi w:val="0"/>
        <w:adjustRightInd w:val="0"/>
        <w:snapToGrid w:val="0"/>
        <w:textAlignment w:val="baseline"/>
      </w:pPr>
      <w:r>
        <w:rPr>
          <w:rFonts w:hint="default"/>
        </w:rPr>
        <w:t>公司已依据GB/T 28827.2-2012《信息技术服务 运行维护 第2部分：交付规范》建立并发布</w:t>
      </w:r>
      <w:r>
        <w:rPr>
          <w:rFonts w:hint="eastAsia"/>
          <w:lang w:eastAsia="zh-CN"/>
        </w:rPr>
        <w:t>《</w:t>
      </w:r>
      <w:r>
        <w:rPr>
          <w:rFonts w:hint="default"/>
        </w:rPr>
        <w:t>交付管理制度</w:t>
      </w:r>
      <w:r>
        <w:rPr>
          <w:rFonts w:hint="eastAsia"/>
          <w:lang w:eastAsia="zh-CN"/>
        </w:rPr>
        <w:t>》</w:t>
      </w:r>
      <w:r>
        <w:rPr>
          <w:rFonts w:hint="default"/>
        </w:rPr>
        <w:t>，明确涵盖交付策划、实施、检查与改进等环节要求。本周期内须严格依照制度加强对交付过程的全方位管控，通过建立有效的管理机制，系统性提升公司整体服务交付能力，确保达成SLA中规定的例行操作、响应支持、优化改善及调研评估等各类服务目标。</w:t>
      </w:r>
    </w:p>
    <w:p w14:paraId="74D02F2E">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2025年将重点推进该制度的优化工作，基于现行交付管理制度及SLA要求，深入分析客户需求，科学制定与客户期望和项目特点相匹配的交付方案。</w:t>
      </w:r>
    </w:p>
    <w:p w14:paraId="7437A39A">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rPr>
          <w:rFonts w:hint="eastAsia"/>
          <w:lang w:val="en-US" w:eastAsia="zh-CN"/>
        </w:rPr>
        <w:t>每月度对服务报告比例进行汇总，要求不低于95%。服务报告比例计算方式为实际交付服务报告数量/应交付的服务报告数量*100%</w:t>
      </w:r>
    </w:p>
    <w:p w14:paraId="6DA37638">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3" w:name="_Toc12302"/>
      <w:r>
        <w:rPr>
          <w:rFonts w:hint="eastAsia"/>
          <w:lang w:val="en-US" w:eastAsia="zh-CN"/>
        </w:rPr>
        <w:t>应急</w:t>
      </w:r>
      <w:bookmarkEnd w:id="43"/>
    </w:p>
    <w:p w14:paraId="7698C6C4">
      <w:pPr>
        <w:pStyle w:val="29"/>
        <w:keepNext w:val="0"/>
        <w:keepLines w:val="0"/>
        <w:pageBreakBefore w:val="0"/>
        <w:widowControl w:val="0"/>
        <w:kinsoku w:val="0"/>
        <w:wordWrap/>
        <w:overflowPunct/>
        <w:autoSpaceDE w:val="0"/>
        <w:autoSpaceDN w:val="0"/>
        <w:bidi w:val="0"/>
        <w:adjustRightInd w:val="0"/>
        <w:snapToGrid w:val="0"/>
        <w:textAlignment w:val="baseline"/>
      </w:pPr>
      <w:r>
        <w:t>公司已按GB/T 28827.3-2012《信息技术服务 运行维护 第3部分：应急响应规范》制订并发布</w:t>
      </w:r>
      <w:r>
        <w:rPr>
          <w:rFonts w:hint="eastAsia"/>
          <w:lang w:eastAsia="zh-CN"/>
        </w:rPr>
        <w:t>《</w:t>
      </w:r>
      <w:r>
        <w:rPr>
          <w:rFonts w:hint="eastAsia"/>
          <w:lang w:val="en-US" w:eastAsia="zh-CN"/>
        </w:rPr>
        <w:t>组织级应急管理制度</w:t>
      </w:r>
      <w:r>
        <w:rPr>
          <w:rFonts w:hint="eastAsia"/>
          <w:lang w:eastAsia="zh-CN"/>
        </w:rPr>
        <w:t>》</w:t>
      </w:r>
      <w:r>
        <w:t>。2025年须严格按制度要求组建与业务类型及项目特性相适应的应急响应团队，针对不同风险场景编制完善的应急预案，定期组织应急演练并详细记录演练过程与结果，持续验证应急响应机制、团队协作与预案的有效性，确保在突发情况下能够迅速、有效应对。</w:t>
      </w:r>
    </w:p>
    <w:p w14:paraId="582B7C4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eastAsia="宋体"/>
          <w:lang w:val="en-US" w:eastAsia="zh-CN"/>
        </w:rPr>
      </w:pPr>
      <w:r>
        <w:rPr>
          <w:rFonts w:hint="eastAsia"/>
          <w:lang w:val="en-US" w:eastAsia="zh-CN"/>
        </w:rPr>
        <w:t>每年度对项目应急演练次数进行汇总，要求应急演练次数不得少于1次。</w:t>
      </w:r>
    </w:p>
    <w:p w14:paraId="172C700D">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4" w:name="_Toc8271"/>
      <w:r>
        <w:rPr>
          <w:rFonts w:hint="eastAsia"/>
          <w:lang w:val="en-US" w:eastAsia="zh-CN"/>
        </w:rPr>
        <w:t>质量</w:t>
      </w:r>
      <w:bookmarkEnd w:id="44"/>
    </w:p>
    <w:p w14:paraId="7FD87756">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5" w:name="_Toc15200"/>
      <w:r>
        <w:rPr>
          <w:rFonts w:hint="eastAsia"/>
          <w:lang w:val="en-US" w:eastAsia="zh-CN"/>
        </w:rPr>
        <w:t>运维服务质量内部评审</w:t>
      </w:r>
      <w:bookmarkEnd w:id="45"/>
    </w:p>
    <w:p w14:paraId="5E1E6014">
      <w:pPr>
        <w:pStyle w:val="29"/>
        <w:bidi w:val="0"/>
      </w:pPr>
      <w:r>
        <w:t>审核运维服务活动及其结果是否符合策划的安排，确保ITSS 运维服务能力管理体系的有效性。</w:t>
      </w:r>
    </w:p>
    <w:p w14:paraId="0F35967E">
      <w:pPr>
        <w:pStyle w:val="29"/>
        <w:bidi w:val="0"/>
      </w:pPr>
      <w:r>
        <w:t>运维服务能力内审由</w:t>
      </w:r>
      <w:r>
        <w:rPr>
          <w:rFonts w:hint="eastAsia"/>
          <w:lang w:val="en-US" w:eastAsia="zh-CN"/>
        </w:rPr>
        <w:t>质量部</w:t>
      </w:r>
      <w:r>
        <w:t>负责组织实施</w:t>
      </w:r>
      <w:r>
        <w:rPr>
          <w:rFonts w:hint="eastAsia"/>
          <w:lang w:eastAsia="zh-CN"/>
        </w:rPr>
        <w:t>，</w:t>
      </w:r>
      <w:r>
        <w:rPr>
          <w:rFonts w:hint="eastAsia"/>
          <w:lang w:val="en-US" w:eastAsia="zh-CN"/>
        </w:rPr>
        <w:t>所有运维相关部门都应参与</w:t>
      </w:r>
      <w:r>
        <w:t>。</w:t>
      </w:r>
    </w:p>
    <w:p w14:paraId="2138B988">
      <w:pPr>
        <w:pStyle w:val="29"/>
        <w:bidi w:val="0"/>
        <w:rPr>
          <w:rFonts w:hint="default"/>
          <w:lang w:val="en-US" w:eastAsia="zh-CN"/>
        </w:rPr>
      </w:pPr>
      <w:r>
        <w:rPr>
          <w:rFonts w:hint="eastAsia"/>
          <w:lang w:val="en-US" w:eastAsia="zh-CN"/>
        </w:rPr>
        <w:t>每年度至少进行一次内部评审</w:t>
      </w:r>
    </w:p>
    <w:p w14:paraId="77EABC4D">
      <w:pPr>
        <w:pStyle w:val="3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6" w:name="_Toc5662"/>
      <w:r>
        <w:rPr>
          <w:rFonts w:hint="eastAsia"/>
          <w:lang w:val="en-US" w:eastAsia="zh-CN"/>
        </w:rPr>
        <w:t>运维服务质量管理评审</w:t>
      </w:r>
      <w:bookmarkEnd w:id="46"/>
    </w:p>
    <w:p w14:paraId="5904276A">
      <w:pPr>
        <w:pStyle w:val="29"/>
        <w:bidi w:val="0"/>
      </w:pPr>
      <w:r>
        <w:t>管理评审目的是对公司 ITSS 运维服务能力管理体系进行系统评审，识别并确定各种改进的机会和需要，确保 ITSS 运维服务能力管理体系持续的适宜性、充分性和有效性。</w:t>
      </w:r>
    </w:p>
    <w:p w14:paraId="35D2BC4F">
      <w:pPr>
        <w:pStyle w:val="29"/>
        <w:bidi w:val="0"/>
      </w:pPr>
      <w:r>
        <w:t>运维服务能力管理评审由</w:t>
      </w:r>
      <w:r>
        <w:rPr>
          <w:rFonts w:hint="eastAsia"/>
          <w:lang w:val="en-US" w:eastAsia="zh-CN"/>
        </w:rPr>
        <w:t>总经理组织实施</w:t>
      </w:r>
      <w:r>
        <w:t>。</w:t>
      </w:r>
    </w:p>
    <w:p w14:paraId="2D21D7A3">
      <w:pPr>
        <w:pStyle w:val="29"/>
        <w:bidi w:val="0"/>
        <w:rPr>
          <w:rFonts w:hint="default"/>
          <w:lang w:val="en-US" w:eastAsia="zh-CN"/>
        </w:rPr>
      </w:pPr>
      <w:r>
        <w:rPr>
          <w:rFonts w:hint="eastAsia"/>
          <w:lang w:val="en-US" w:eastAsia="zh-CN"/>
        </w:rPr>
        <w:t>每年度至少进行一次管理评审</w:t>
      </w:r>
    </w:p>
    <w:p w14:paraId="36607791">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7" w:name="_Toc29635"/>
      <w:r>
        <w:rPr>
          <w:rFonts w:hint="eastAsia"/>
          <w:lang w:val="en-US" w:eastAsia="zh-CN"/>
        </w:rPr>
        <w:t>客户满意度调查与分析</w:t>
      </w:r>
      <w:bookmarkEnd w:id="47"/>
    </w:p>
    <w:p w14:paraId="42EFE31A">
      <w:pPr>
        <w:keepNext w:val="0"/>
        <w:keepLines w:val="0"/>
        <w:pageBreakBefore w:val="0"/>
        <w:widowControl w:val="0"/>
        <w:kinsoku w:val="0"/>
        <w:wordWrap/>
        <w:overflowPunct/>
        <w:autoSpaceDE w:val="0"/>
        <w:autoSpaceDN w:val="0"/>
        <w:bidi w:val="0"/>
        <w:adjustRightInd w:val="0"/>
        <w:snapToGrid w:val="0"/>
        <w:spacing w:before="79" w:line="360" w:lineRule="auto"/>
        <w:ind w:left="45" w:firstLine="457"/>
        <w:textAlignment w:val="baseline"/>
        <w:rPr>
          <w:rFonts w:ascii="宋体" w:hAnsi="宋体" w:eastAsia="宋体" w:cs="宋体"/>
          <w:sz w:val="24"/>
          <w:szCs w:val="24"/>
        </w:rPr>
      </w:pPr>
      <w:r>
        <w:rPr>
          <w:rFonts w:ascii="宋体" w:hAnsi="宋体" w:eastAsia="宋体" w:cs="宋体"/>
          <w:sz w:val="24"/>
          <w:szCs w:val="24"/>
        </w:rPr>
        <w:t>对客户反馈意见进行收集和分析（包括满意度调</w:t>
      </w:r>
      <w:r>
        <w:rPr>
          <w:rFonts w:ascii="宋体" w:hAnsi="宋体" w:eastAsia="宋体" w:cs="宋体"/>
          <w:spacing w:val="-1"/>
          <w:sz w:val="24"/>
          <w:szCs w:val="24"/>
        </w:rPr>
        <w:t>查结果和客户投诉意见</w:t>
      </w:r>
      <w:r>
        <w:rPr>
          <w:rFonts w:ascii="宋体" w:hAnsi="宋体" w:eastAsia="宋体" w:cs="宋体"/>
          <w:spacing w:val="-27"/>
          <w:sz w:val="24"/>
          <w:szCs w:val="24"/>
        </w:rPr>
        <w:t>），</w:t>
      </w:r>
      <w:r>
        <w:rPr>
          <w:rFonts w:ascii="宋体" w:hAnsi="宋体" w:eastAsia="宋体" w:cs="宋体"/>
          <w:spacing w:val="-1"/>
          <w:sz w:val="24"/>
          <w:szCs w:val="24"/>
        </w:rPr>
        <w:t>了解客户意见和需求，为改进提供依据。客户满意度调查每年开展一次。</w:t>
      </w:r>
    </w:p>
    <w:p w14:paraId="35D40FDE">
      <w:pPr>
        <w:keepNext w:val="0"/>
        <w:keepLines w:val="0"/>
        <w:pageBreakBefore w:val="0"/>
        <w:widowControl w:val="0"/>
        <w:kinsoku w:val="0"/>
        <w:wordWrap/>
        <w:overflowPunct/>
        <w:autoSpaceDE w:val="0"/>
        <w:autoSpaceDN w:val="0"/>
        <w:bidi w:val="0"/>
        <w:adjustRightInd w:val="0"/>
        <w:snapToGrid w:val="0"/>
        <w:spacing w:before="4" w:line="359" w:lineRule="auto"/>
        <w:ind w:left="22" w:right="42" w:firstLine="522"/>
        <w:jc w:val="both"/>
        <w:textAlignment w:val="baseline"/>
        <w:rPr>
          <w:rFonts w:ascii="宋体" w:hAnsi="宋体" w:eastAsia="宋体" w:cs="宋体"/>
          <w:sz w:val="24"/>
          <w:szCs w:val="24"/>
        </w:rPr>
      </w:pPr>
      <w:r>
        <w:rPr>
          <w:rFonts w:ascii="宋体" w:hAnsi="宋体" w:eastAsia="宋体" w:cs="宋体"/>
          <w:spacing w:val="-5"/>
          <w:sz w:val="24"/>
          <w:szCs w:val="24"/>
        </w:rPr>
        <w:t>日常工作中，通过对运维服务项目出现的客户投诉，客户部收集服务提供过</w:t>
      </w:r>
      <w:r>
        <w:rPr>
          <w:rFonts w:ascii="宋体" w:hAnsi="宋体" w:eastAsia="宋体" w:cs="宋体"/>
          <w:spacing w:val="-3"/>
          <w:sz w:val="24"/>
          <w:szCs w:val="24"/>
        </w:rPr>
        <w:t>程中存在的投诉问题，及时将问题反馈到质量部，调查不符合原因，责令相关部</w:t>
      </w:r>
      <w:r>
        <w:rPr>
          <w:rFonts w:ascii="宋体" w:hAnsi="宋体" w:eastAsia="宋体" w:cs="宋体"/>
          <w:spacing w:val="-1"/>
          <w:sz w:val="24"/>
          <w:szCs w:val="24"/>
        </w:rPr>
        <w:t>门采取纠正措施，确保客户的投诉及时解决。</w:t>
      </w:r>
    </w:p>
    <w:p w14:paraId="74124861">
      <w:pPr>
        <w:keepNext w:val="0"/>
        <w:keepLines w:val="0"/>
        <w:pageBreakBefore w:val="0"/>
        <w:widowControl w:val="0"/>
        <w:kinsoku w:val="0"/>
        <w:wordWrap/>
        <w:overflowPunct/>
        <w:autoSpaceDE w:val="0"/>
        <w:autoSpaceDN w:val="0"/>
        <w:bidi w:val="0"/>
        <w:adjustRightInd w:val="0"/>
        <w:snapToGrid w:val="0"/>
        <w:spacing w:before="1" w:line="361" w:lineRule="auto"/>
        <w:ind w:left="29" w:right="42" w:firstLine="477"/>
        <w:textAlignment w:val="baseline"/>
        <w:rPr>
          <w:rFonts w:ascii="宋体" w:hAnsi="宋体" w:eastAsia="宋体" w:cs="宋体"/>
          <w:spacing w:val="-3"/>
          <w:sz w:val="24"/>
          <w:szCs w:val="24"/>
        </w:rPr>
      </w:pPr>
      <w:r>
        <w:rPr>
          <w:rFonts w:ascii="宋体" w:hAnsi="宋体" w:eastAsia="宋体" w:cs="宋体"/>
          <w:sz w:val="24"/>
          <w:szCs w:val="24"/>
        </w:rPr>
        <w:t>2025年客户满意度平均分需达到95分以上。</w:t>
      </w:r>
      <w:r>
        <w:rPr>
          <w:rFonts w:ascii="宋体" w:hAnsi="宋体" w:eastAsia="宋体" w:cs="宋体"/>
          <w:spacing w:val="-1"/>
          <w:sz w:val="24"/>
          <w:szCs w:val="24"/>
        </w:rPr>
        <w:t>组织级的质量保证计划及报</w:t>
      </w:r>
      <w:r>
        <w:rPr>
          <w:rFonts w:ascii="宋体" w:hAnsi="宋体" w:eastAsia="宋体" w:cs="宋体"/>
          <w:spacing w:val="-3"/>
          <w:sz w:val="24"/>
          <w:szCs w:val="24"/>
        </w:rPr>
        <w:t>告需按时完成。</w:t>
      </w:r>
    </w:p>
    <w:p w14:paraId="4ED1202D">
      <w:pPr>
        <w:pStyle w:val="3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48" w:name="_Toc31785"/>
      <w:r>
        <w:rPr>
          <w:rFonts w:hint="eastAsia"/>
          <w:lang w:val="en-US" w:eastAsia="zh-CN"/>
        </w:rPr>
        <w:t>SLA达成率</w:t>
      </w:r>
      <w:bookmarkEnd w:id="48"/>
    </w:p>
    <w:p w14:paraId="4420F15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每年度对SLA达成率进行汇总，要求不低于95%，并根据项目运维情况对服务目录进行修改。</w:t>
      </w:r>
    </w:p>
    <w:p w14:paraId="754EB9D9">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49" w:name="_Toc32293"/>
      <w:r>
        <w:rPr>
          <w:rStyle w:val="38"/>
          <w:rFonts w:hint="eastAsia" w:eastAsia="宋体"/>
          <w:lang w:val="en-US" w:eastAsia="zh-CN"/>
        </w:rPr>
        <w:t>附则</w:t>
      </w:r>
      <w:bookmarkEnd w:id="19"/>
      <w:bookmarkEnd w:id="49"/>
    </w:p>
    <w:p w14:paraId="2CF7A174">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质量</w:t>
      </w:r>
      <w:r>
        <w:rPr>
          <w:rFonts w:hint="eastAsia" w:ascii="宋体" w:hAnsi="宋体" w:eastAsia="宋体" w:cs="宋体"/>
          <w:spacing w:val="-1"/>
          <w:sz w:val="24"/>
          <w:szCs w:val="24"/>
          <w:lang w:eastAsia="zh-CN"/>
        </w:rPr>
        <w:t>部</w:t>
      </w:r>
      <w:r>
        <w:rPr>
          <w:rFonts w:ascii="宋体" w:hAnsi="宋体" w:eastAsia="宋体" w:cs="宋体"/>
          <w:spacing w:val="-1"/>
          <w:sz w:val="24"/>
          <w:szCs w:val="24"/>
        </w:rPr>
        <w:t>。</w:t>
      </w:r>
    </w:p>
    <w:p w14:paraId="3A54AD24">
      <w:pPr>
        <w:keepNext w:val="0"/>
        <w:keepLines w:val="0"/>
        <w:pageBreakBefore w:val="0"/>
        <w:widowControl w:val="0"/>
        <w:numPr>
          <w:ilvl w:val="0"/>
          <w:numId w:val="1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67E0A23C">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50" w:name="bookmark14"/>
      <w:bookmarkEnd w:id="50"/>
      <w:bookmarkStart w:id="51" w:name="_Toc26903"/>
      <w:r>
        <w:rPr>
          <w:rFonts w:hint="eastAsia"/>
          <w:lang w:val="en-US" w:eastAsia="zh-CN"/>
        </w:rPr>
        <w:t>附件</w:t>
      </w:r>
      <w:bookmarkEnd w:id="51"/>
    </w:p>
    <w:p w14:paraId="3CF203D8">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p w14:paraId="0D143886">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2" w:name="_Toc20031"/>
      <w:r>
        <w:rPr>
          <w:rFonts w:hint="eastAsia"/>
          <w:lang w:val="en-US" w:eastAsia="zh-CN"/>
        </w:rPr>
        <w:t>记录</w:t>
      </w:r>
      <w:bookmarkEnd w:id="52"/>
    </w:p>
    <w:p w14:paraId="1F0AFDA9">
      <w:pPr>
        <w:pStyle w:val="29"/>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8D9B">
    <w:pPr>
      <w:pStyle w:val="15"/>
      <w:pBdr>
        <w:bottom w:val="single" w:color="auto" w:sz="4" w:space="1"/>
      </w:pBdr>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3C6001D"/>
    <w:multiLevelType w:val="singleLevel"/>
    <w:tmpl w:val="93C6001D"/>
    <w:lvl w:ilvl="0" w:tentative="0">
      <w:start w:val="1"/>
      <w:numFmt w:val="decimal"/>
      <w:lvlText w:val="%1."/>
      <w:lvlJc w:val="left"/>
      <w:pPr>
        <w:ind w:left="425" w:hanging="425"/>
      </w:pPr>
      <w:rPr>
        <w:rFonts w:hint="default"/>
      </w:rPr>
    </w:lvl>
  </w:abstractNum>
  <w:abstractNum w:abstractNumId="2">
    <w:nsid w:val="A7C67DC1"/>
    <w:multiLevelType w:val="singleLevel"/>
    <w:tmpl w:val="A7C67DC1"/>
    <w:lvl w:ilvl="0" w:tentative="0">
      <w:start w:val="1"/>
      <w:numFmt w:val="decimal"/>
      <w:lvlText w:val="%1."/>
      <w:lvlJc w:val="left"/>
      <w:pPr>
        <w:ind w:left="425" w:hanging="425"/>
      </w:pPr>
      <w:rPr>
        <w:rFonts w:hint="default"/>
      </w:rPr>
    </w:lvl>
  </w:abstractNum>
  <w:abstractNum w:abstractNumId="3">
    <w:nsid w:val="C74AD993"/>
    <w:multiLevelType w:val="singleLevel"/>
    <w:tmpl w:val="C74AD993"/>
    <w:lvl w:ilvl="0" w:tentative="0">
      <w:start w:val="1"/>
      <w:numFmt w:val="decimal"/>
      <w:lvlText w:val="%1."/>
      <w:lvlJc w:val="left"/>
      <w:pPr>
        <w:ind w:left="425" w:hanging="425"/>
      </w:pPr>
      <w:rPr>
        <w:rFonts w:hint="default"/>
      </w:rPr>
    </w:lvl>
  </w:abstractNum>
  <w:abstractNum w:abstractNumId="4">
    <w:nsid w:val="E1447284"/>
    <w:multiLevelType w:val="singleLevel"/>
    <w:tmpl w:val="E1447284"/>
    <w:lvl w:ilvl="0" w:tentative="0">
      <w:start w:val="1"/>
      <w:numFmt w:val="decimal"/>
      <w:lvlText w:val="%1."/>
      <w:lvlJc w:val="left"/>
      <w:pPr>
        <w:ind w:left="425" w:hanging="425"/>
      </w:pPr>
      <w:rPr>
        <w:rFonts w:hint="default"/>
      </w:rPr>
    </w:lvl>
  </w:abstractNum>
  <w:abstractNum w:abstractNumId="5">
    <w:nsid w:val="E8B4277F"/>
    <w:multiLevelType w:val="singleLevel"/>
    <w:tmpl w:val="E8B4277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13D8067B"/>
    <w:multiLevelType w:val="singleLevel"/>
    <w:tmpl w:val="13D8067B"/>
    <w:lvl w:ilvl="0" w:tentative="0">
      <w:start w:val="1"/>
      <w:numFmt w:val="decimal"/>
      <w:lvlText w:val="%1."/>
      <w:lvlJc w:val="left"/>
      <w:pPr>
        <w:ind w:left="425" w:hanging="425"/>
      </w:pPr>
      <w:rPr>
        <w:rFonts w:hint="default"/>
      </w:rPr>
    </w:lvl>
  </w:abstractNum>
  <w:abstractNum w:abstractNumId="8">
    <w:nsid w:val="23601102"/>
    <w:multiLevelType w:val="singleLevel"/>
    <w:tmpl w:val="23601102"/>
    <w:lvl w:ilvl="0" w:tentative="0">
      <w:start w:val="1"/>
      <w:numFmt w:val="decimal"/>
      <w:lvlText w:val="%1."/>
      <w:lvlJc w:val="left"/>
      <w:pPr>
        <w:ind w:left="425" w:hanging="425"/>
      </w:pPr>
      <w:rPr>
        <w:rFonts w:hint="default"/>
      </w:rPr>
    </w:lvl>
  </w:abstractNum>
  <w:abstractNum w:abstractNumId="9">
    <w:nsid w:val="48F3E8D5"/>
    <w:multiLevelType w:val="singleLevel"/>
    <w:tmpl w:val="48F3E8D5"/>
    <w:lvl w:ilvl="0" w:tentative="0">
      <w:start w:val="1"/>
      <w:numFmt w:val="decimal"/>
      <w:lvlText w:val="%1."/>
      <w:lvlJc w:val="left"/>
      <w:pPr>
        <w:ind w:left="425" w:hanging="425"/>
      </w:pPr>
      <w:rPr>
        <w:rFonts w:hint="default"/>
      </w:rPr>
    </w:lvl>
  </w:abstractNum>
  <w:abstractNum w:abstractNumId="10">
    <w:nsid w:val="5AC9E4D8"/>
    <w:multiLevelType w:val="singleLevel"/>
    <w:tmpl w:val="5AC9E4D8"/>
    <w:lvl w:ilvl="0" w:tentative="0">
      <w:start w:val="1"/>
      <w:numFmt w:val="decimal"/>
      <w:lvlText w:val="%1."/>
      <w:lvlJc w:val="left"/>
      <w:pPr>
        <w:ind w:left="425" w:hanging="425"/>
      </w:pPr>
      <w:rPr>
        <w:rFonts w:hint="default"/>
      </w:rPr>
    </w:lvl>
  </w:abstractNum>
  <w:abstractNum w:abstractNumId="11">
    <w:nsid w:val="6C10DCD7"/>
    <w:multiLevelType w:val="singleLevel"/>
    <w:tmpl w:val="6C10DCD7"/>
    <w:lvl w:ilvl="0" w:tentative="0">
      <w:start w:val="1"/>
      <w:numFmt w:val="decimal"/>
      <w:lvlText w:val="%1."/>
      <w:lvlJc w:val="left"/>
      <w:pPr>
        <w:ind w:left="425" w:hanging="425"/>
      </w:pPr>
      <w:rPr>
        <w:rFonts w:hint="default"/>
      </w:rPr>
    </w:lvl>
  </w:abstractNum>
  <w:abstractNum w:abstractNumId="12">
    <w:nsid w:val="749258C4"/>
    <w:multiLevelType w:val="singleLevel"/>
    <w:tmpl w:val="749258C4"/>
    <w:lvl w:ilvl="0" w:tentative="0">
      <w:start w:val="1"/>
      <w:numFmt w:val="decimal"/>
      <w:lvlText w:val="%1."/>
      <w:lvlJc w:val="left"/>
      <w:pPr>
        <w:ind w:left="425" w:hanging="425"/>
      </w:pPr>
      <w:rPr>
        <w:rFonts w:hint="default"/>
      </w:rPr>
    </w:lvl>
  </w:abstractNum>
  <w:abstractNum w:abstractNumId="13">
    <w:nsid w:val="7AC8C66E"/>
    <w:multiLevelType w:val="singleLevel"/>
    <w:tmpl w:val="7AC8C66E"/>
    <w:lvl w:ilvl="0" w:tentative="0">
      <w:start w:val="1"/>
      <w:numFmt w:val="decimal"/>
      <w:lvlText w:val="%1."/>
      <w:lvlJc w:val="left"/>
      <w:pPr>
        <w:ind w:left="425" w:hanging="425"/>
      </w:pPr>
      <w:rPr>
        <w:rFonts w:hint="default"/>
      </w:rPr>
    </w:lvl>
  </w:abstractNum>
  <w:num w:numId="1">
    <w:abstractNumId w:val="0"/>
  </w:num>
  <w:num w:numId="2">
    <w:abstractNumId w:val="10"/>
  </w:num>
  <w:num w:numId="3">
    <w:abstractNumId w:val="7"/>
  </w:num>
  <w:num w:numId="4">
    <w:abstractNumId w:val="1"/>
  </w:num>
  <w:num w:numId="5">
    <w:abstractNumId w:val="2"/>
  </w:num>
  <w:num w:numId="6">
    <w:abstractNumId w:val="3"/>
  </w:num>
  <w:num w:numId="7">
    <w:abstractNumId w:val="12"/>
  </w:num>
  <w:num w:numId="8">
    <w:abstractNumId w:val="8"/>
  </w:num>
  <w:num w:numId="9">
    <w:abstractNumId w:val="9"/>
  </w:num>
  <w:num w:numId="10">
    <w:abstractNumId w:val="13"/>
  </w:num>
  <w:num w:numId="11">
    <w:abstractNumId w:val="4"/>
  </w:num>
  <w:num w:numId="12">
    <w:abstractNumId w:val="5"/>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1E2CF4"/>
    <w:rsid w:val="032C124E"/>
    <w:rsid w:val="055E32F7"/>
    <w:rsid w:val="06C947A0"/>
    <w:rsid w:val="078B5FC4"/>
    <w:rsid w:val="08744923"/>
    <w:rsid w:val="08772FFC"/>
    <w:rsid w:val="092A682A"/>
    <w:rsid w:val="095D13C4"/>
    <w:rsid w:val="0995305F"/>
    <w:rsid w:val="0C7927C4"/>
    <w:rsid w:val="0CB10376"/>
    <w:rsid w:val="0DC363ED"/>
    <w:rsid w:val="0DE51E2E"/>
    <w:rsid w:val="11A622AD"/>
    <w:rsid w:val="121B58F5"/>
    <w:rsid w:val="13BE6D17"/>
    <w:rsid w:val="14F90DDA"/>
    <w:rsid w:val="167E17A9"/>
    <w:rsid w:val="171E6150"/>
    <w:rsid w:val="1A562397"/>
    <w:rsid w:val="1CDF6673"/>
    <w:rsid w:val="1E6F3A27"/>
    <w:rsid w:val="1EDF0BAD"/>
    <w:rsid w:val="1F093327"/>
    <w:rsid w:val="200B31EF"/>
    <w:rsid w:val="204333BD"/>
    <w:rsid w:val="213C7A6E"/>
    <w:rsid w:val="220254EF"/>
    <w:rsid w:val="22D96A74"/>
    <w:rsid w:val="23261DAD"/>
    <w:rsid w:val="23B100DE"/>
    <w:rsid w:val="23C704E7"/>
    <w:rsid w:val="24003A9F"/>
    <w:rsid w:val="2580651A"/>
    <w:rsid w:val="25A246E2"/>
    <w:rsid w:val="271909D4"/>
    <w:rsid w:val="275F6D2E"/>
    <w:rsid w:val="29636A75"/>
    <w:rsid w:val="29AE18A7"/>
    <w:rsid w:val="2E56250D"/>
    <w:rsid w:val="319B6BB5"/>
    <w:rsid w:val="32953D1F"/>
    <w:rsid w:val="33A90982"/>
    <w:rsid w:val="33BE5FC8"/>
    <w:rsid w:val="34FC3313"/>
    <w:rsid w:val="35F44AE6"/>
    <w:rsid w:val="36BA1DE1"/>
    <w:rsid w:val="3A6205A8"/>
    <w:rsid w:val="3A8A6A51"/>
    <w:rsid w:val="3B417571"/>
    <w:rsid w:val="3C541BF9"/>
    <w:rsid w:val="3D803103"/>
    <w:rsid w:val="40D02591"/>
    <w:rsid w:val="41392EB5"/>
    <w:rsid w:val="4216572F"/>
    <w:rsid w:val="42415557"/>
    <w:rsid w:val="431C15DF"/>
    <w:rsid w:val="43794C01"/>
    <w:rsid w:val="46F9750A"/>
    <w:rsid w:val="48D013E2"/>
    <w:rsid w:val="49AA39E1"/>
    <w:rsid w:val="4A192915"/>
    <w:rsid w:val="4C6D1F55"/>
    <w:rsid w:val="4C73622A"/>
    <w:rsid w:val="4EFB4CDF"/>
    <w:rsid w:val="50A15412"/>
    <w:rsid w:val="53186861"/>
    <w:rsid w:val="53F52FD5"/>
    <w:rsid w:val="560A39D5"/>
    <w:rsid w:val="58006EC2"/>
    <w:rsid w:val="5B0033BF"/>
    <w:rsid w:val="5BC376F5"/>
    <w:rsid w:val="5C6D0570"/>
    <w:rsid w:val="5DFC6F1B"/>
    <w:rsid w:val="5E8F2D4E"/>
    <w:rsid w:val="5E987115"/>
    <w:rsid w:val="5FB567E4"/>
    <w:rsid w:val="65491EA9"/>
    <w:rsid w:val="67C41CBB"/>
    <w:rsid w:val="67D035FA"/>
    <w:rsid w:val="68273FF7"/>
    <w:rsid w:val="689D2AE5"/>
    <w:rsid w:val="6995093C"/>
    <w:rsid w:val="69D706C3"/>
    <w:rsid w:val="6AFC79BD"/>
    <w:rsid w:val="6B1A2AF9"/>
    <w:rsid w:val="6BB87D88"/>
    <w:rsid w:val="6C3D203B"/>
    <w:rsid w:val="6D7B7659"/>
    <w:rsid w:val="6F961B22"/>
    <w:rsid w:val="71DA11B5"/>
    <w:rsid w:val="72BD5C84"/>
    <w:rsid w:val="73D634A1"/>
    <w:rsid w:val="7419513C"/>
    <w:rsid w:val="751B4EE4"/>
    <w:rsid w:val="75B72E5F"/>
    <w:rsid w:val="791B54B2"/>
    <w:rsid w:val="7AAA4D40"/>
    <w:rsid w:val="7B6770D5"/>
    <w:rsid w:val="7B6D4F78"/>
    <w:rsid w:val="7BA61B9C"/>
    <w:rsid w:val="7BAD2B56"/>
    <w:rsid w:val="7BF342C4"/>
    <w:rsid w:val="7C4371FA"/>
    <w:rsid w:val="7EBA2E22"/>
    <w:rsid w:val="7F767CC7"/>
    <w:rsid w:val="7FF573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font11"/>
    <w:basedOn w:val="22"/>
    <w:qFormat/>
    <w:uiPriority w:val="0"/>
    <w:rPr>
      <w:rFonts w:hint="eastAsia" w:ascii="宋体" w:hAnsi="宋体" w:eastAsia="宋体" w:cs="宋体"/>
      <w:color w:val="000000"/>
      <w:sz w:val="16"/>
      <w:szCs w:val="16"/>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8225</Words>
  <Characters>8845</Characters>
  <Lines>0</Lines>
  <Paragraphs>0</Paragraphs>
  <TotalTime>0</TotalTime>
  <ScaleCrop>false</ScaleCrop>
  <LinksUpToDate>false</LinksUpToDate>
  <CharactersWithSpaces>9219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2025-12-26T07:55:10Z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4038DCFBEBCC4693BD5952A0A45B2CCB_13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