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0" w:name="_Toc13241"/>
      <w:r>
        <w:rPr>
          <w:rFonts w:hint="eastAsia"/>
          <w:lang w:val="en-US" w:eastAsia="zh-CN"/>
        </w:rPr>
        <w:t>云南腾电科技有限公司</w:t>
      </w:r>
      <w:bookmarkEnd w:id="0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afterLines="0"/>
        <w:textAlignment w:val="baseline"/>
        <w:rPr>
          <w:rFonts w:hint="eastAsia"/>
          <w:lang w:val="en-US" w:eastAsia="zh-CN"/>
        </w:rPr>
      </w:pPr>
      <w:bookmarkStart w:id="1" w:name="_Toc2563"/>
      <w:r>
        <w:rPr>
          <w:rFonts w:hint="eastAsia"/>
          <w:lang w:val="en-US" w:eastAsia="zh-CN"/>
        </w:rPr>
        <w:t>曲靖供电局110kV变电站电力监控系统网络安全态势感知项目-应急演练记录（YNTD-ITSS-1005）</w:t>
      </w:r>
      <w:bookmarkEnd w:id="1"/>
    </w:p>
    <w:p w14:paraId="07DEF31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2025.09.15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2025.09.15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2025.09.15</w:t>
            </w:r>
          </w:p>
        </w:tc>
      </w:tr>
    </w:tbl>
    <w:p w14:paraId="46327F7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b/>
          <w:bCs/>
        </w:rPr>
      </w:pPr>
      <w:r>
        <w:rPr>
          <w:b/>
          <w:bCs/>
        </w:rPr>
        <w:t>文件编制和变更履历</w:t>
      </w:r>
    </w:p>
    <w:tbl>
      <w:tblPr>
        <w:tblStyle w:val="27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7C1D57C9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036D608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V1.0</w:t>
            </w:r>
          </w:p>
        </w:tc>
        <w:tc>
          <w:tcPr>
            <w:tcW w:w="881" w:type="dxa"/>
          </w:tcPr>
          <w:p w14:paraId="7FB962C6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谢广胜</w:t>
            </w:r>
          </w:p>
        </w:tc>
        <w:tc>
          <w:tcPr>
            <w:tcW w:w="1274" w:type="dxa"/>
          </w:tcPr>
          <w:p w14:paraId="0B391C79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9</w:t>
            </w:r>
            <w:r>
              <w:t>.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957" w:type="dxa"/>
          </w:tcPr>
          <w:p w14:paraId="0806E2DD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赵建中</w:t>
            </w:r>
          </w:p>
        </w:tc>
        <w:tc>
          <w:tcPr>
            <w:tcW w:w="1377" w:type="dxa"/>
          </w:tcPr>
          <w:p w14:paraId="0320F66E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9</w:t>
            </w:r>
            <w:r>
              <w:t>.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1017" w:type="dxa"/>
          </w:tcPr>
          <w:p w14:paraId="7B95F9C2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陆涛</w:t>
            </w:r>
          </w:p>
        </w:tc>
        <w:tc>
          <w:tcPr>
            <w:tcW w:w="1271" w:type="dxa"/>
          </w:tcPr>
          <w:p w14:paraId="76E7ED73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9</w:t>
            </w:r>
            <w:r>
              <w:t>.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699966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606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09D36F6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F130027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_Toc13241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_Toc13241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17E5813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_Toc2563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曲靖供电局110kV变电站电力监控系统网络安全态势感知项目-应急预案（YNTD-ITSS-1002）</w:t>
          </w:r>
          <w:r>
            <w:tab/>
          </w:r>
          <w:r>
            <w:fldChar w:fldCharType="begin"/>
          </w:r>
          <w:r>
            <w:instrText xml:space="preserve"> PAGEREF _Toc2563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B44ADE0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_Toc8032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_Toc8032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0E7DD70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_Toc2316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1.1. 编制目的</w:t>
          </w:r>
          <w:r>
            <w:tab/>
          </w:r>
          <w:r>
            <w:fldChar w:fldCharType="begin"/>
          </w:r>
          <w:r>
            <w:instrText xml:space="preserve"> PAGEREF _Toc2316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DBC8245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_Toc14193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1.2. 编制依据</w:t>
          </w:r>
          <w:r>
            <w:tab/>
          </w:r>
          <w:r>
            <w:fldChar w:fldCharType="begin"/>
          </w:r>
          <w:r>
            <w:instrText xml:space="preserve"> PAGEREF _Toc14193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1EFEB1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_Toc28664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1.3. 适用范围</w:t>
          </w:r>
          <w:r>
            <w:tab/>
          </w:r>
          <w:r>
            <w:fldChar w:fldCharType="begin"/>
          </w:r>
          <w:r>
            <w:instrText xml:space="preserve"> PAGEREF _Toc28664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7A7CC58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_Toc10610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应急工作原则</w:t>
          </w:r>
          <w:r>
            <w:tab/>
          </w:r>
          <w:r>
            <w:fldChar w:fldCharType="begin"/>
          </w:r>
          <w:r>
            <w:instrText xml:space="preserve"> PAGEREF _Toc10610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EEAF32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_Toc2376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应急组织机构及职责</w:t>
          </w:r>
          <w:r>
            <w:tab/>
          </w:r>
          <w:r>
            <w:fldChar w:fldCharType="begin"/>
          </w:r>
          <w:r>
            <w:instrText xml:space="preserve"> PAGEREF _Toc2376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ACC8EB9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_Toc25769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3.1. 应急</w:t>
          </w:r>
          <w:r>
            <w:rPr>
              <w:rFonts w:hint="eastAsia"/>
              <w:lang w:val="en-US" w:eastAsia="zh-CN"/>
            </w:rPr>
            <w:t>管理部</w:t>
          </w:r>
          <w:r>
            <w:tab/>
          </w:r>
          <w:r>
            <w:fldChar w:fldCharType="begin"/>
          </w:r>
          <w:r>
            <w:instrText xml:space="preserve"> PAGEREF _Toc25769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9605F7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_Toc17099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应急响应</w:t>
          </w:r>
          <w:r>
            <w:tab/>
          </w:r>
          <w:r>
            <w:fldChar w:fldCharType="begin"/>
          </w:r>
          <w:r>
            <w:instrText xml:space="preserve"> PAGEREF _Toc17099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6ADE369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_Toc29894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事件分级与响应流程</w:t>
          </w:r>
          <w:r>
            <w:tab/>
          </w:r>
          <w:r>
            <w:fldChar w:fldCharType="begin"/>
          </w:r>
          <w:r>
            <w:instrText xml:space="preserve"> PAGEREF _Toc29894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4416025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_Toc25127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4.1.1. 三级响应</w:t>
          </w:r>
          <w:r>
            <w:tab/>
          </w:r>
          <w:r>
            <w:fldChar w:fldCharType="begin"/>
          </w:r>
          <w:r>
            <w:instrText xml:space="preserve"> PAGEREF _Toc25127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59C9E99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_Toc5822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4.1.2. 二级响应</w:t>
          </w:r>
          <w:r>
            <w:tab/>
          </w:r>
          <w:r>
            <w:fldChar w:fldCharType="begin"/>
          </w:r>
          <w:r>
            <w:instrText xml:space="preserve"> PAGEREF _Toc5822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57716DF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_Toc11962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4.1.3. 一级响应</w:t>
          </w:r>
          <w:r>
            <w:tab/>
          </w:r>
          <w:r>
            <w:fldChar w:fldCharType="begin"/>
          </w:r>
          <w:r>
            <w:instrText xml:space="preserve"> PAGEREF _Toc11962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85A99CB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_Toc433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响应流程图</w:t>
          </w:r>
          <w:r>
            <w:tab/>
          </w:r>
          <w:r>
            <w:fldChar w:fldCharType="begin"/>
          </w:r>
          <w:r>
            <w:instrText xml:space="preserve"> PAGEREF _Toc433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601DA05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_Toc17271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后期处置</w:t>
          </w:r>
          <w:r>
            <w:tab/>
          </w:r>
          <w:r>
            <w:fldChar w:fldCharType="begin"/>
          </w:r>
          <w:r>
            <w:instrText xml:space="preserve"> PAGEREF _Toc17271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020E2F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_Toc27604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 预案管理与更新</w:t>
          </w:r>
          <w:r>
            <w:tab/>
          </w:r>
          <w:r>
            <w:fldChar w:fldCharType="begin"/>
          </w:r>
          <w:r>
            <w:instrText xml:space="preserve"> PAGEREF _Toc27604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13F4E3D">
          <w:pPr>
            <w:rPr>
              <w:rFonts w:hint="default" w:ascii="Arial" w:hAnsi="Arial" w:eastAsia="宋体" w:cs="Arial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3CA48240">
      <w:p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 w14:paraId="6F2C5EDF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演练基本信息</w:t>
      </w:r>
    </w:p>
    <w:p w14:paraId="4FEAFAE0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演练名称： 合同执行专项应急演练（二级响应模拟）</w:t>
      </w:r>
    </w:p>
    <w:p w14:paraId="4F1B19EF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演练目的： 检验《合同执行专项应急预案》及《应急实施方案》的有效性和可操作性；磨合甲乙双方应急协作机制；重点验证合同约定的“改正通知与费用暂停”流程的执行。</w:t>
      </w:r>
    </w:p>
    <w:p w14:paraId="3AA7EAB3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演练类型： ☑ 实战演练（桌面+模拟文书）</w:t>
      </w:r>
    </w:p>
    <w:p w14:paraId="4320863A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依据文件： 《合同执行专项应急预案》、《应急实施方案》、本项目主合同、《应急演练计划（YNTD-ITSS-1004）》</w:t>
      </w:r>
    </w:p>
    <w:p w14:paraId="13CC4743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演练时间： 2025年9月10日 09:00 - 11:30</w:t>
      </w:r>
    </w:p>
    <w:p w14:paraId="5356FD68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演练地点： 主会场：云南中恒电力通信技术有限公司项目部会议室；</w:t>
      </w:r>
    </w:p>
    <w:p w14:paraId="1D51EDDC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分会场：云南腾电科技有限公司现场办公室</w:t>
      </w:r>
    </w:p>
    <w:p w14:paraId="58C7CDEC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情景设定： 模拟乙方（云南腾电）技术人员在未充分授权的情况下，于某110kV变电站进行模拟攻击测试，触发调度主站高级别网络安全告警，导致甲方（云南中恒）被上级单位（曲靖供电局）质询，项目面临中断风险的突发事件。</w:t>
      </w:r>
    </w:p>
    <w:p w14:paraId="3D4F6D5C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参演单位： 云南中恒电力通信技术有限公司（甲方）、云南腾电科技有限公司（乙方）</w:t>
      </w:r>
    </w:p>
    <w:p w14:paraId="35508794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主要参演人员及角色：</w:t>
      </w:r>
    </w:p>
    <w:p w14:paraId="14CF501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甲方（云南中恒）： 项目总代表（应急组长）李峰、技术负责人王伟、现场监理张明（参演）。</w:t>
      </w:r>
    </w:p>
    <w:p w14:paraId="2D15222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乙方（云南腾电）： 现场负责人赵强（应急副组长）、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工程师陈浩（参演）。</w:t>
      </w:r>
    </w:p>
    <w:p w14:paraId="55C2169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控制与评估： 甲方项目经理刘涛（控制），双方各指定记录员一名。</w:t>
      </w:r>
    </w:p>
    <w:p w14:paraId="5EB70E47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演练处置过程记录</w:t>
      </w:r>
    </w:p>
    <w:p w14:paraId="7278024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阶段一：演练准备与启动 (09:00 - 09:15)</w:t>
      </w:r>
    </w:p>
    <w:p w14:paraId="496632BE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09:00，全体参演及控制、记录人员于主、分会场集合完毕。</w:t>
      </w:r>
    </w:p>
    <w:p w14:paraId="5586F3CD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控制员刘涛重申演练规则，强调“是演练不是演戏”及保密要求，明确演练旨在检验流程、非追究个人责任。</w:t>
      </w:r>
    </w:p>
    <w:p w14:paraId="1CCC8214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控制员详细介绍预设的“二级响应”模拟场景、初始条件及预期流程。</w:t>
      </w:r>
    </w:p>
    <w:p w14:paraId="2A717792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双方确认通讯链路（电话、即时通讯工具）畅通，文书模板就绪。</w:t>
      </w:r>
    </w:p>
    <w:p w14:paraId="57095A05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总指挥李峰宣布演练正式开始，各角色进入预定状态。</w:t>
      </w:r>
    </w:p>
    <w:p w14:paraId="25564AE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阶段二：事件发生与初期响应 (09:15 - 09:40)</w:t>
      </w:r>
    </w:p>
    <w:p w14:paraId="4E9EFD60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09:15（事件触发）： 控制组向甲方参演员张明发布模拟告警信息：“接到供电局调度中心电话，质询关于某110kV变电站的异常高频扫描告警，要求我方立即说明情况。”</w:t>
      </w:r>
    </w:p>
    <w:p w14:paraId="0CE044BF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09:15-09:30（初期报告）： 甲方参演员张明立即执行“双线报告”：</w:t>
      </w:r>
    </w:p>
    <w:p w14:paraId="320B6424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通过电话向甲方应急组长李峰报告事件概况。</w:t>
      </w:r>
    </w:p>
    <w:p w14:paraId="5D880588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同时通过即时通讯工具向乙方现场负责人赵强通报情况，并要求其立即核查。</w:t>
      </w:r>
    </w:p>
    <w:p w14:paraId="4FA9102D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处置亮点： 报告行动迅速，渠道正确，符合《应急实施方案》2.2条要求。</w:t>
      </w:r>
    </w:p>
    <w:p w14:paraId="305771E3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09:30-09:40（应急启动）： 甲方李峰与乙方赵强进行紧急电话会议，快速核实模拟情况。基于事件已引发外部单位质询、存在明显操作违规的事实，根据《实施方案》3.2条及合同精神，甲方李峰决策启动二级应急响应。双方总代表确认响应级别。</w:t>
      </w:r>
    </w:p>
    <w:p w14:paraId="7629FF7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阶段三：应急响应与现场处置 (09:40 - 10:50)</w:t>
      </w:r>
    </w:p>
    <w:p w14:paraId="61B5BD6E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09:40-10:00（决策与正式通知）：</w:t>
      </w:r>
    </w:p>
    <w:p w14:paraId="75E5A255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甲方李峰作为总指挥，正式模拟签署《费用暂停支付与限期整改通知单》，依据合同第7.2条，宣布暂停相关款项支付，并限令乙方在规定时限内提交正式报告。</w:t>
      </w:r>
    </w:p>
    <w:p w14:paraId="39A1194A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处置亮点： 甲方熟练、果断地引用合同具体条款作为决策和行动依据，体现了预案与合同的衔接。</w:t>
      </w:r>
    </w:p>
    <w:p w14:paraId="2BAB4C8D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10:00-10:30（乙方调查与报告）：</w:t>
      </w:r>
    </w:p>
    <w:p w14:paraId="564C432A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乙方赵强组织内部简短复盘，分析“违规操作”原因。</w:t>
      </w:r>
    </w:p>
    <w:p w14:paraId="3F7E5119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乙方在模拟时限（30分钟）内向甲方提交了《事件原因分析报告》和《纠正措施计划》草案。</w:t>
      </w:r>
    </w:p>
    <w:p w14:paraId="47A8E426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暴露问题： 乙方提交的首版《原因分析报告》对责任描述模糊，倾向于归咎于“沟通误会”。经甲方质询后，修正版才正视“操作流程违规”的核心事实。</w:t>
      </w:r>
    </w:p>
    <w:p w14:paraId="731B755B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处置结果： 乙方在规定时间内完成了报告提交，且《纠正措施计划》基本涵盖了人员再培训、流程复核等关键措施。</w:t>
      </w:r>
    </w:p>
    <w:p w14:paraId="5FCE0C13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10:30-10:50（甲方评估与闭环）：</w:t>
      </w:r>
    </w:p>
    <w:p w14:paraId="037B745C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甲方李峰、王伟等对乙方提交的文件进行审查。</w:t>
      </w:r>
    </w:p>
    <w:p w14:paraId="5973E9FA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甲方认为《纠正措施计划》方向正确，但需增加刚性约束条款。经协商，要求乙方在计划中明确加入“所有现场测试操作前必须签署《安全操作确认单》并经甲方书面许可”的内容。</w:t>
      </w:r>
    </w:p>
    <w:p w14:paraId="776877C0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乙方接受甲方意见，更新计划。</w:t>
      </w:r>
    </w:p>
    <w:p w14:paraId="27221B5A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双方模拟签署《情况说明及复工确认书》，标志着本次模拟事件在处置流程上实现闭环。</w:t>
      </w:r>
    </w:p>
    <w:p w14:paraId="05632B4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阶段四：演练总结与评估 (10:50 - 11:30)</w:t>
      </w:r>
    </w:p>
    <w:p w14:paraId="2A40C607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所有参演、控制、记录人员集中进行复盘总结。</w:t>
      </w:r>
    </w:p>
    <w:p w14:paraId="72B4F264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氛围坦诚、务实，讨论聚焦于流程改进而非个人问责。</w:t>
      </w:r>
    </w:p>
    <w:p w14:paraId="1FD36DA3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记录员汇报关键时间节点和观察到的亮点与问题。</w:t>
      </w:r>
    </w:p>
    <w:p w14:paraId="52A1A2BD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双方共同讨论了信息记录规范性、乙方报告质量、预案合同衔接清晰度等具体问题，并初步形成了5项改进建议（详见对应报告）。</w:t>
      </w:r>
    </w:p>
    <w:p w14:paraId="1A901085">
      <w:pPr>
        <w:pStyle w:val="26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明确了《应急演练报告》的编写分工与完成时限。</w:t>
      </w:r>
    </w:p>
    <w:p w14:paraId="1966A69F">
      <w:pPr>
        <w:pStyle w:val="30"/>
        <w:bidi w:val="0"/>
        <w:rPr>
          <w:rFonts w:hint="default"/>
          <w:lang w:val="en-US" w:eastAsia="zh-CN"/>
        </w:rPr>
      </w:pPr>
      <w:bookmarkStart w:id="2" w:name="_GoBack"/>
      <w:bookmarkEnd w:id="2"/>
      <w:r>
        <w:rPr>
          <w:rFonts w:hint="default"/>
          <w:lang w:val="en-US" w:eastAsia="zh-CN"/>
        </w:rPr>
        <w:t>处置过程关键结论</w:t>
      </w:r>
    </w:p>
    <w:p w14:paraId="14E3B92F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流程有效性得到验证： 从事件触发到响应启动（25分钟）、决策通知、乙方报告、甲方评估闭环的完整流程得到执行，证明主要应急路径是可行的。</w:t>
      </w:r>
    </w:p>
    <w:p w14:paraId="560A393D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协作机制基本畅通： 双方沟通渠道有效，关键决策层能快速对接并做出统一决策。</w:t>
      </w:r>
    </w:p>
    <w:p w14:paraId="5C3C4D05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暴露核心薄弱环节： 应急通讯的“留痕”管理不足、乙方对高级别响应严肃性的认识及初次报告质量需提升、预案与合同后果的联动指引需强化。</w:t>
      </w:r>
    </w:p>
    <w:p w14:paraId="6E730C6C">
      <w:pPr>
        <w:pStyle w:val="26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达到演练核心目的： 成功检验了预案，锻炼了队伍，并识别出具体、可操作的改进点，为应急体系的完善提供了直接依据。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B2719F"/>
    <w:rsid w:val="05B95683"/>
    <w:rsid w:val="064A73D7"/>
    <w:rsid w:val="069D7E4F"/>
    <w:rsid w:val="07837C3C"/>
    <w:rsid w:val="08BB45BC"/>
    <w:rsid w:val="09B82DE6"/>
    <w:rsid w:val="0A0124A3"/>
    <w:rsid w:val="0AB94B2B"/>
    <w:rsid w:val="0ADD4CBE"/>
    <w:rsid w:val="0B497F1C"/>
    <w:rsid w:val="0D0E115E"/>
    <w:rsid w:val="0E372937"/>
    <w:rsid w:val="0EC95C85"/>
    <w:rsid w:val="102A2753"/>
    <w:rsid w:val="10563548"/>
    <w:rsid w:val="10EE19D3"/>
    <w:rsid w:val="126C2410"/>
    <w:rsid w:val="14BB0247"/>
    <w:rsid w:val="177A04CB"/>
    <w:rsid w:val="17F5251C"/>
    <w:rsid w:val="18D314AE"/>
    <w:rsid w:val="19573E8D"/>
    <w:rsid w:val="1AFF6F2C"/>
    <w:rsid w:val="1B4A1EFB"/>
    <w:rsid w:val="1D6B43AB"/>
    <w:rsid w:val="1D8B05A9"/>
    <w:rsid w:val="21A460DD"/>
    <w:rsid w:val="22431452"/>
    <w:rsid w:val="246B4C91"/>
    <w:rsid w:val="251069F2"/>
    <w:rsid w:val="26797B39"/>
    <w:rsid w:val="2A5561C7"/>
    <w:rsid w:val="2B3470A6"/>
    <w:rsid w:val="2CB27900"/>
    <w:rsid w:val="2E6C3ADF"/>
    <w:rsid w:val="2E864BA1"/>
    <w:rsid w:val="2EC456C9"/>
    <w:rsid w:val="3102072B"/>
    <w:rsid w:val="31CE5397"/>
    <w:rsid w:val="3482405C"/>
    <w:rsid w:val="3482493D"/>
    <w:rsid w:val="37517D16"/>
    <w:rsid w:val="37623CD1"/>
    <w:rsid w:val="37F72EF8"/>
    <w:rsid w:val="3800568F"/>
    <w:rsid w:val="39291F38"/>
    <w:rsid w:val="39755342"/>
    <w:rsid w:val="3B744E3E"/>
    <w:rsid w:val="3E90381A"/>
    <w:rsid w:val="3EB05C6A"/>
    <w:rsid w:val="3ED51A02"/>
    <w:rsid w:val="40956EC5"/>
    <w:rsid w:val="40C5459E"/>
    <w:rsid w:val="43560B8E"/>
    <w:rsid w:val="4A995804"/>
    <w:rsid w:val="4D4C4DB0"/>
    <w:rsid w:val="4DD70B1D"/>
    <w:rsid w:val="4E8C3CA1"/>
    <w:rsid w:val="510A5F9F"/>
    <w:rsid w:val="532A16EF"/>
    <w:rsid w:val="53B844C3"/>
    <w:rsid w:val="54F64668"/>
    <w:rsid w:val="55A90FF1"/>
    <w:rsid w:val="55B94290"/>
    <w:rsid w:val="55E262B1"/>
    <w:rsid w:val="569869C4"/>
    <w:rsid w:val="57310207"/>
    <w:rsid w:val="5A9F6E67"/>
    <w:rsid w:val="5CA42512"/>
    <w:rsid w:val="5DC866D4"/>
    <w:rsid w:val="5F2E07B9"/>
    <w:rsid w:val="5F473629"/>
    <w:rsid w:val="602816AC"/>
    <w:rsid w:val="6074044E"/>
    <w:rsid w:val="61CD6067"/>
    <w:rsid w:val="61F47A98"/>
    <w:rsid w:val="62B80AC5"/>
    <w:rsid w:val="637D1D0F"/>
    <w:rsid w:val="640E45C0"/>
    <w:rsid w:val="65FF6A0B"/>
    <w:rsid w:val="665E06D8"/>
    <w:rsid w:val="6698171A"/>
    <w:rsid w:val="6765389A"/>
    <w:rsid w:val="69B67474"/>
    <w:rsid w:val="6BA22313"/>
    <w:rsid w:val="6C755C79"/>
    <w:rsid w:val="6CF22E26"/>
    <w:rsid w:val="6DF25AD5"/>
    <w:rsid w:val="6E032E11"/>
    <w:rsid w:val="6E526272"/>
    <w:rsid w:val="6F03131A"/>
    <w:rsid w:val="6F977CB5"/>
    <w:rsid w:val="72E476B5"/>
    <w:rsid w:val="751F199D"/>
    <w:rsid w:val="76EA5E14"/>
    <w:rsid w:val="7997722F"/>
    <w:rsid w:val="7A1A1CD6"/>
    <w:rsid w:val="7C0E7550"/>
    <w:rsid w:val="7EB50157"/>
    <w:rsid w:val="7FD05249"/>
    <w:rsid w:val="7FEA3E31"/>
    <w:rsid w:val="7FF15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6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26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6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1627</Words>
  <Characters>1758</Characters>
  <Lines>0</Lines>
  <Paragraphs>0</Paragraphs>
  <TotalTime>1</TotalTime>
  <ScaleCrop>false</ScaleCrop>
  <LinksUpToDate>false</LinksUpToDate>
  <CharactersWithSpaces>1794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2025-12-17T22:59:01Z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