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0" w:name="_Toc27101"/>
      <w:r>
        <w:rPr>
          <w:rFonts w:hint="eastAsia"/>
          <w:lang w:val="en-US" w:eastAsia="zh-CN"/>
        </w:rPr>
        <w:t>云南腾电科技有限公司</w:t>
      </w:r>
      <w:bookmarkEnd w:id="0"/>
    </w:p>
    <w:p w14:paraId="44992887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afterLines="0"/>
        <w:textAlignment w:val="baseline"/>
        <w:rPr>
          <w:rFonts w:hint="eastAsia"/>
          <w:lang w:val="en-US" w:eastAsia="zh-CN"/>
        </w:rPr>
      </w:pPr>
      <w:bookmarkStart w:id="1" w:name="_Toc20449"/>
      <w:r>
        <w:rPr>
          <w:rFonts w:hint="eastAsia"/>
          <w:lang w:val="en-US" w:eastAsia="zh-CN"/>
        </w:rPr>
        <w:t>曲靖供电局110kV变电站电力监控系统网络安全态势感知项目-应急演练报告（YNTD-ITSS-1006）</w:t>
      </w:r>
      <w:bookmarkEnd w:id="1"/>
    </w:p>
    <w:p w14:paraId="07DEF31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3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2025.09.15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2025.09.15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2025.09.15</w:t>
            </w:r>
          </w:p>
        </w:tc>
      </w:tr>
    </w:tbl>
    <w:p w14:paraId="46327F7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文件编制和变更履历</w:t>
      </w:r>
    </w:p>
    <w:tbl>
      <w:tblPr>
        <w:tblStyle w:val="44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  <w:p w14:paraId="7C1D57C9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  <w:p w14:paraId="1036D60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V1.0</w:t>
            </w:r>
          </w:p>
        </w:tc>
        <w:tc>
          <w:tcPr>
            <w:tcW w:w="881" w:type="dxa"/>
          </w:tcPr>
          <w:p w14:paraId="7FB962C6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谢广胜</w:t>
            </w:r>
          </w:p>
        </w:tc>
        <w:tc>
          <w:tcPr>
            <w:tcW w:w="1274" w:type="dxa"/>
          </w:tcPr>
          <w:p w14:paraId="0B391C79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t>2025.</w:t>
            </w:r>
            <w:r>
              <w:rPr>
                <w:rFonts w:hint="eastAsia"/>
                <w:lang w:val="en-US" w:eastAsia="zh-CN"/>
              </w:rPr>
              <w:t>9</w:t>
            </w:r>
            <w:r>
              <w:t>.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957" w:type="dxa"/>
          </w:tcPr>
          <w:p w14:paraId="0806E2D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赵建中</w:t>
            </w:r>
          </w:p>
        </w:tc>
        <w:tc>
          <w:tcPr>
            <w:tcW w:w="1377" w:type="dxa"/>
          </w:tcPr>
          <w:p w14:paraId="0320F66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t>2025.</w:t>
            </w:r>
            <w:r>
              <w:rPr>
                <w:rFonts w:hint="eastAsia"/>
                <w:lang w:val="en-US" w:eastAsia="zh-CN"/>
              </w:rPr>
              <w:t>9</w:t>
            </w:r>
            <w:r>
              <w:t>.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1017" w:type="dxa"/>
          </w:tcPr>
          <w:p w14:paraId="7B95F9C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陆涛</w:t>
            </w:r>
          </w:p>
        </w:tc>
        <w:tc>
          <w:tcPr>
            <w:tcW w:w="1271" w:type="dxa"/>
          </w:tcPr>
          <w:p w14:paraId="76E7ED73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t>2025.</w:t>
            </w:r>
            <w:r>
              <w:rPr>
                <w:rFonts w:hint="eastAsia"/>
                <w:lang w:val="en-US" w:eastAsia="zh-CN"/>
              </w:rPr>
              <w:t>9</w:t>
            </w:r>
            <w:r>
              <w:t>.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787D9235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9530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61A2CD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8B0C7BF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_Toc27101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_Toc27101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DC5E7A9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_Toc20449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曲靖供电局110kV变电站电力监控系统网络安全态势感知项目-应急演练报告（YNTD-ITSS-1006）</w:t>
          </w:r>
          <w:r>
            <w:tab/>
          </w:r>
          <w:r>
            <w:fldChar w:fldCharType="begin"/>
          </w:r>
          <w:r>
            <w:instrText xml:space="preserve"> PAGEREF _Toc20449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C734305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演练概述</w:t>
          </w:r>
          <w:r>
            <w:tab/>
          </w:r>
          <w:r>
            <w:fldChar w:fldCharType="begin"/>
          </w:r>
          <w:r>
            <w:instrText xml:space="preserve"> PAGEREF _Toc6231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01A7641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演练目标达成情况评估</w:t>
          </w:r>
          <w:r>
            <w:tab/>
          </w:r>
          <w:r>
            <w:fldChar w:fldCharType="begin"/>
          </w:r>
          <w:r>
            <w:instrText xml:space="preserve"> PAGEREF _Toc29730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4D1F0ED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演练过程关键记录</w:t>
          </w:r>
          <w:r>
            <w:tab/>
          </w:r>
          <w:r>
            <w:fldChar w:fldCharType="begin"/>
          </w:r>
          <w:r>
            <w:instrText xml:space="preserve"> PAGEREF _Toc4909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9E310D6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存在问题与根本原因分析</w:t>
          </w:r>
          <w:r>
            <w:tab/>
          </w:r>
          <w:r>
            <w:fldChar w:fldCharType="begin"/>
          </w:r>
          <w:r>
            <w:instrText xml:space="preserve"> PAGEREF _Toc26870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AD7B88E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_Toc12368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改进建议</w:t>
          </w:r>
          <w:r>
            <w:tab/>
          </w:r>
          <w:r>
            <w:fldChar w:fldCharType="begin"/>
          </w:r>
          <w:r>
            <w:instrText xml:space="preserve"> PAGEREF _Toc12368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6CA0EE7">
          <w:pPr>
            <w:pStyle w:val="2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修订《应急实施方案》2.2条</w:t>
          </w:r>
          <w:r>
            <w:tab/>
          </w:r>
          <w:r>
            <w:fldChar w:fldCharType="begin"/>
          </w:r>
          <w:r>
            <w:instrText xml:space="preserve"> PAGEREF _Toc7128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CD91C76">
          <w:pPr>
            <w:pStyle w:val="2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加强乙方应急培训</w:t>
          </w:r>
          <w:r>
            <w:tab/>
          </w:r>
          <w:r>
            <w:fldChar w:fldCharType="begin"/>
          </w:r>
          <w:r>
            <w:instrText xml:space="preserve"> PAGEREF _Toc364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F7090F7">
          <w:pPr>
            <w:pStyle w:val="2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升级《应急预案》附录</w:t>
          </w:r>
          <w:r>
            <w:tab/>
          </w:r>
          <w:r>
            <w:fldChar w:fldCharType="begin"/>
          </w:r>
          <w:r>
            <w:instrText xml:space="preserve"> PAGEREF _Toc20826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562D3E5">
          <w:pPr>
            <w:pStyle w:val="2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细化演练场景库</w:t>
          </w:r>
          <w:r>
            <w:tab/>
          </w:r>
          <w:r>
            <w:fldChar w:fldCharType="begin"/>
          </w:r>
          <w:r>
            <w:instrText xml:space="preserve"> PAGEREF _Toc13312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4E61269">
          <w:pPr>
            <w:pStyle w:val="2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5.5. 建立演练文档标准化包</w:t>
          </w:r>
          <w:r>
            <w:tab/>
          </w:r>
          <w:r>
            <w:fldChar w:fldCharType="begin"/>
          </w:r>
          <w:r>
            <w:instrText xml:space="preserve"> PAGEREF _Toc22379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3D60750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结论与后续行动计划</w:t>
          </w:r>
          <w:r>
            <w:tab/>
          </w:r>
          <w:r>
            <w:fldChar w:fldCharType="begin"/>
          </w:r>
          <w:r>
            <w:instrText xml:space="preserve"> PAGEREF _Toc772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396C20C">
          <w:r>
            <w:fldChar w:fldCharType="end"/>
          </w:r>
        </w:p>
      </w:sdtContent>
    </w:sdt>
    <w:p w14:paraId="12B6F2AF"/>
    <w:p w14:paraId="23DBE5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3B8E46B">
      <w:pPr>
        <w:pStyle w:val="47"/>
        <w:bidi w:val="0"/>
        <w:rPr>
          <w:rFonts w:hint="default"/>
          <w:lang w:val="en-US" w:eastAsia="zh-CN"/>
        </w:rPr>
      </w:pPr>
      <w:bookmarkStart w:id="2" w:name="_Toc6231"/>
      <w:r>
        <w:rPr>
          <w:rFonts w:hint="default"/>
          <w:lang w:val="en-US" w:eastAsia="zh-CN"/>
        </w:rPr>
        <w:t>演练概述</w:t>
      </w:r>
      <w:bookmarkEnd w:id="2"/>
    </w:p>
    <w:p w14:paraId="423ED26C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演练名称： 合同执行专项应急演练（二级响应模拟）</w:t>
      </w:r>
    </w:p>
    <w:p w14:paraId="679B3A74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演练时间： 2025年9月10日 上午 9:00 - 11:30</w:t>
      </w:r>
    </w:p>
    <w:p w14:paraId="432B4813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演练地点： 云南中恒电力通信技术有限公司项目部会议室（主会场）、云南腾电科技有限公司现场办公室（分会场）</w:t>
      </w:r>
    </w:p>
    <w:p w14:paraId="0EF9C0AF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演练场景： 模拟乙方（云南腾电）技术人员在变电站进行未经充分授权的模拟攻击测试，触发调度主站高级别网络安全告警，导致甲方（云南中恒）被上级单位（曲靖供电局）质询，项目面临中断风险的突发事件。</w:t>
      </w:r>
    </w:p>
    <w:p w14:paraId="7DD850C4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演练目的：检验《应急预案》及《实施方案》的有效性，磨合双方应急协作机制，重点测试合同</w:t>
      </w:r>
      <w:r>
        <w:rPr>
          <w:rFonts w:hint="eastAsia"/>
          <w:lang w:val="en-US" w:eastAsia="zh-CN"/>
        </w:rPr>
        <w:t>约定的“</w:t>
      </w:r>
      <w:r>
        <w:rPr>
          <w:rFonts w:hint="default"/>
          <w:lang w:val="en-US" w:eastAsia="zh-CN"/>
        </w:rPr>
        <w:t>改正与费用暂停</w:t>
      </w:r>
      <w:r>
        <w:rPr>
          <w:rFonts w:hint="eastAsia"/>
          <w:lang w:val="en-US" w:eastAsia="zh-CN"/>
        </w:rPr>
        <w:t>”</w:t>
      </w:r>
      <w:r>
        <w:rPr>
          <w:rFonts w:hint="default"/>
          <w:lang w:val="en-US" w:eastAsia="zh-CN"/>
        </w:rPr>
        <w:t>的执行流程。</w:t>
      </w:r>
    </w:p>
    <w:p w14:paraId="71C9802F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参与单位与人员：</w:t>
      </w:r>
    </w:p>
    <w:p w14:paraId="021B48C1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甲方（云南中恒）： 项目总代表（应急组长）李峰、技术负责人王伟、现场监理张明（参演）。</w:t>
      </w:r>
      <w:bookmarkStart w:id="13" w:name="_GoBack"/>
      <w:bookmarkEnd w:id="13"/>
    </w:p>
    <w:p w14:paraId="6549714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乙方（云南腾电）： 现场负责人赵强（应急副组长）、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工程师陈浩（参演）。</w:t>
      </w:r>
    </w:p>
    <w:p w14:paraId="0939FE34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控制与评估： 甲方项目经理刘涛（控制），双方各指定记录员一名。</w:t>
      </w:r>
    </w:p>
    <w:p w14:paraId="225394FE">
      <w:pPr>
        <w:pStyle w:val="47"/>
        <w:bidi w:val="0"/>
        <w:rPr>
          <w:rFonts w:hint="default"/>
          <w:lang w:val="en-US" w:eastAsia="zh-CN"/>
        </w:rPr>
      </w:pPr>
      <w:bookmarkStart w:id="3" w:name="_Toc29730"/>
      <w:r>
        <w:rPr>
          <w:rFonts w:hint="default"/>
          <w:lang w:val="en-US" w:eastAsia="zh-CN"/>
        </w:rPr>
        <w:t>演练目标达成情况评估</w:t>
      </w:r>
      <w:bookmarkEnd w:id="3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55"/>
        <w:gridCol w:w="2474"/>
        <w:gridCol w:w="801"/>
        <w:gridCol w:w="4768"/>
      </w:tblGrid>
      <w:tr w14:paraId="0B9B2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C039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AF6A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预设目标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0BB6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评估结果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48BF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达成情况说明</w:t>
            </w:r>
          </w:p>
        </w:tc>
      </w:tr>
      <w:tr w14:paraId="254B2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C2091A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0684D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流程目标：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 30分钟内启动响应。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3882B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69945D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从事件模拟发生（9:15）到双方总代表确认启动二级响应（9:40），用时25分钟，符合要求。</w:t>
            </w:r>
          </w:p>
        </w:tc>
      </w:tr>
      <w:tr w14:paraId="6663A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F623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2EC08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沟通目标：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 完成完整信息闭环，文书准确。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CB7CC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部分达成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AE2A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信息上报与指令下达通畅。但在模拟文书中，乙方提交的《原因分析报告》初版对责任描述模糊，经甲方指出后修正。</w:t>
            </w:r>
          </w:p>
        </w:tc>
      </w:tr>
      <w:tr w14:paraId="388F69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B615F1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757B9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处置目标：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 乙方在规定时限内提交合格纠正计划。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9232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2FB974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乙方在模拟时限（30分钟）内提交了计划，内容基本涵盖了人员再培训、流程复核等关键措施。</w:t>
            </w:r>
          </w:p>
        </w:tc>
      </w:tr>
      <w:tr w14:paraId="7AD67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C981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44CA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评估目标：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 产出含3项以上改进建议的报告。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641F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89A91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本次复盘共识别出5项具体改进建议（见第四、五部分）。</w:t>
            </w:r>
          </w:p>
        </w:tc>
      </w:tr>
    </w:tbl>
    <w:p w14:paraId="342BBC8C">
      <w:pPr>
        <w:pStyle w:val="47"/>
        <w:bidi w:val="0"/>
        <w:rPr>
          <w:rFonts w:hint="default"/>
          <w:lang w:val="en-US" w:eastAsia="zh-CN"/>
        </w:rPr>
      </w:pPr>
      <w:bookmarkStart w:id="4" w:name="_Toc4909"/>
      <w:r>
        <w:rPr>
          <w:rFonts w:hint="default"/>
          <w:lang w:val="en-US" w:eastAsia="zh-CN"/>
        </w:rPr>
        <w:t>演练过程关键记录</w:t>
      </w:r>
      <w:bookmarkEnd w:id="4"/>
    </w:p>
    <w:p w14:paraId="05BF87A0">
      <w:pPr>
        <w:pStyle w:val="4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事件触发与初期报告（9:15-9:30）： 控制组发布告警信息。甲方现场监理张明立即通过电话和即时通讯工具，同时向甲方李峰和乙方赵强报告，行动迅速，符合“双线报告”要求。</w:t>
      </w:r>
    </w:p>
    <w:p w14:paraId="6F6E8FF8">
      <w:pPr>
        <w:pStyle w:val="4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应急启动与决策（9:30-10:00）： 双方总代表召开紧急电话会议。决策过程顺利，甲方李峰根据《实施方案》3.2条，果断决定启动二级响应，并现场签署了《费用暂停支付与限期整改通知单》。亮点： 甲方熟练引用了合同具体条款作为决策依据。</w:t>
      </w:r>
    </w:p>
    <w:p w14:paraId="749E8C15">
      <w:pPr>
        <w:pStyle w:val="4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乙方处置与报告（10:00-10:30）： 乙方赵强组织内部简短复盘，但在编制《事件原因分析报告》时，首次提交版本倾向于将原因归咎于“沟通误会”，而非“操作流程违规”。在甲方质询下，第二版才正视核心违规事实。暴露问题： 乙方在初步响应时存在避重就轻倾向。</w:t>
      </w:r>
    </w:p>
    <w:p w14:paraId="5151DBE7">
      <w:pPr>
        <w:pStyle w:val="4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甲方评估与闭环（10:30-10:50）： 甲方组对乙方提交的《纠正措施计划》进行了务实评估，要求其加入“所有现场测试操作前必须签署《安全操作确认单》并经甲方许可”的刚性条款。双方模拟签署了复工确认文件。</w:t>
      </w:r>
    </w:p>
    <w:p w14:paraId="650C8537">
      <w:pPr>
        <w:pStyle w:val="4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复盘总结（10:50-11:30）： 所有参与人员进行了坦诚、深入的讨论，氛围良好，聚焦于流程改进而非个人问责。</w:t>
      </w:r>
    </w:p>
    <w:p w14:paraId="2254A08B">
      <w:pPr>
        <w:pStyle w:val="47"/>
        <w:bidi w:val="0"/>
        <w:rPr>
          <w:rFonts w:hint="default"/>
          <w:lang w:val="en-US" w:eastAsia="zh-CN"/>
        </w:rPr>
      </w:pPr>
      <w:bookmarkStart w:id="5" w:name="_Toc26870"/>
      <w:r>
        <w:rPr>
          <w:rFonts w:hint="default"/>
          <w:lang w:val="en-US" w:eastAsia="zh-CN"/>
        </w:rPr>
        <w:t>存在问题与根本原因分析</w:t>
      </w:r>
      <w:bookmarkEnd w:id="5"/>
    </w:p>
    <w:p w14:paraId="626CCB58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信息记录规范性不足： 初期应急通话未进行关键信息（如时间、决定、指令）的同步文字记录，存在事后争议风险。</w:t>
      </w:r>
    </w:p>
    <w:p w14:paraId="53AADAD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原因： 方案中未明确要求应急通讯必须“留有痕迹”。</w:t>
      </w:r>
    </w:p>
    <w:p w14:paraId="7854A71A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乙方初次报告质量不高： 根本原因分析不深入，触及责任时模糊化。</w:t>
      </w:r>
    </w:p>
    <w:p w14:paraId="0D439426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原因： 乙方对“二级响应”的严肃性及可能引发的合同后果（如长期暂停付款）认识不足，内部危机处理培训缺失。</w:t>
      </w:r>
    </w:p>
    <w:p w14:paraId="785B0D0F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预案与合同条款衔接点需强化： 演练中，甲方虽引用了合同，但未明确告知乙方，若其整改最终未获认可，将可能触发合同第10条（仲裁）的路径。</w:t>
      </w:r>
    </w:p>
    <w:p w14:paraId="1080C03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原因： 预案中对不同响应级别可能导向的法律后果指引不够清晰。</w:t>
      </w:r>
    </w:p>
    <w:p w14:paraId="7ADFE7F0">
      <w:pPr>
        <w:pStyle w:val="47"/>
        <w:bidi w:val="0"/>
        <w:rPr>
          <w:rFonts w:hint="default"/>
          <w:lang w:val="en-US" w:eastAsia="zh-CN"/>
        </w:rPr>
      </w:pPr>
      <w:bookmarkStart w:id="6" w:name="_Toc12368"/>
      <w:r>
        <w:rPr>
          <w:rFonts w:hint="default"/>
          <w:lang w:val="en-US" w:eastAsia="zh-CN"/>
        </w:rPr>
        <w:t>改进建议</w:t>
      </w:r>
      <w:bookmarkEnd w:id="6"/>
    </w:p>
    <w:p w14:paraId="73B65B1D">
      <w:pPr>
        <w:pStyle w:val="48"/>
        <w:bidi w:val="0"/>
        <w:rPr>
          <w:rFonts w:hint="default"/>
          <w:lang w:val="en-US" w:eastAsia="zh-CN"/>
        </w:rPr>
      </w:pPr>
      <w:bookmarkStart w:id="7" w:name="_Toc7128"/>
      <w:r>
        <w:rPr>
          <w:rFonts w:hint="default"/>
          <w:lang w:val="en-US" w:eastAsia="zh-CN"/>
        </w:rPr>
        <w:t>修订《应急实施方案》2.2条</w:t>
      </w:r>
      <w:bookmarkEnd w:id="7"/>
    </w:p>
    <w:p w14:paraId="781526B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增加“所有应急指令、关键决策及状态报告，在口头沟通后10分钟内，必须通过邮件或协同办公平台进行文字确认与归档”的规定。</w:t>
      </w:r>
    </w:p>
    <w:p w14:paraId="53335867">
      <w:pPr>
        <w:pStyle w:val="48"/>
        <w:bidi w:val="0"/>
        <w:rPr>
          <w:rFonts w:hint="default"/>
          <w:lang w:val="en-US" w:eastAsia="zh-CN"/>
        </w:rPr>
      </w:pPr>
      <w:bookmarkStart w:id="8" w:name="_Toc364"/>
      <w:r>
        <w:rPr>
          <w:rFonts w:hint="default"/>
          <w:lang w:val="en-US" w:eastAsia="zh-CN"/>
        </w:rPr>
        <w:t>加强乙方应急培训</w:t>
      </w:r>
      <w:bookmarkEnd w:id="8"/>
    </w:p>
    <w:p w14:paraId="5D23B36D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建议乙方在项目组内开展一次以“合同违约责任与应急响应”为主题的专项培训，由甲方提供合同关键条款解读。此要求可作为项目后续合作的前提条件之一。</w:t>
      </w:r>
    </w:p>
    <w:p w14:paraId="5B095516">
      <w:pPr>
        <w:pStyle w:val="48"/>
        <w:bidi w:val="0"/>
        <w:rPr>
          <w:rFonts w:hint="default"/>
          <w:lang w:val="en-US" w:eastAsia="zh-CN"/>
        </w:rPr>
      </w:pPr>
      <w:bookmarkStart w:id="9" w:name="_Toc20826"/>
      <w:r>
        <w:rPr>
          <w:rFonts w:hint="default"/>
          <w:lang w:val="en-US" w:eastAsia="zh-CN"/>
        </w:rPr>
        <w:t>升级《应急预案》附录</w:t>
      </w:r>
      <w:bookmarkEnd w:id="9"/>
    </w:p>
    <w:p w14:paraId="3D082BE8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增加“应急响应-合同条款联动指引表”，明确列出：</w:t>
      </w:r>
    </w:p>
    <w:p w14:paraId="40232A94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三级响应 -&gt; 主要联动合同第7.2条。</w:t>
      </w:r>
    </w:p>
    <w:p w14:paraId="07B9E4CF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二级响应 -&gt; 联动第7.2条（暂停付款）及第5.3条（人员调遣）。</w:t>
      </w:r>
    </w:p>
    <w:p w14:paraId="49687966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一级响应 -&gt; 明确可能导向合同第6条（保密追责）、第10条（仲裁）及合同终止。</w:t>
      </w:r>
    </w:p>
    <w:p w14:paraId="6E55A512">
      <w:pPr>
        <w:pStyle w:val="48"/>
        <w:bidi w:val="0"/>
        <w:rPr>
          <w:rFonts w:hint="default"/>
          <w:lang w:val="en-US" w:eastAsia="zh-CN"/>
        </w:rPr>
      </w:pPr>
      <w:bookmarkStart w:id="10" w:name="_Toc13312"/>
      <w:r>
        <w:rPr>
          <w:rFonts w:hint="default"/>
          <w:lang w:val="en-US" w:eastAsia="zh-CN"/>
        </w:rPr>
        <w:t>细化演练场景库</w:t>
      </w:r>
      <w:bookmarkEnd w:id="10"/>
    </w:p>
    <w:p w14:paraId="344E64E3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针对“一级响应”场景（如数据泄露、不可抗力），编制简化的桌面推演脚本，供管理层定期研讨。</w:t>
      </w:r>
    </w:p>
    <w:p w14:paraId="167BF439">
      <w:pPr>
        <w:pStyle w:val="48"/>
        <w:bidi w:val="0"/>
        <w:rPr>
          <w:rFonts w:hint="default"/>
          <w:lang w:val="en-US" w:eastAsia="zh-CN"/>
        </w:rPr>
      </w:pPr>
      <w:bookmarkStart w:id="11" w:name="_Toc22379"/>
      <w:r>
        <w:rPr>
          <w:rFonts w:hint="default"/>
          <w:lang w:val="en-US" w:eastAsia="zh-CN"/>
        </w:rPr>
        <w:t>建立演练文档标准化包</w:t>
      </w:r>
      <w:bookmarkEnd w:id="11"/>
    </w:p>
    <w:p w14:paraId="323930A1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将本次演练所有模板（通知单、报告、确认书）固化，形成项目应急文档标准包，便于未来复用。</w:t>
      </w:r>
    </w:p>
    <w:p w14:paraId="525A6026">
      <w:pPr>
        <w:pStyle w:val="47"/>
        <w:bidi w:val="0"/>
        <w:rPr>
          <w:rFonts w:hint="default"/>
          <w:lang w:val="en-US" w:eastAsia="zh-CN"/>
        </w:rPr>
      </w:pPr>
      <w:bookmarkStart w:id="12" w:name="_Toc772"/>
      <w:r>
        <w:rPr>
          <w:rFonts w:hint="default"/>
          <w:lang w:val="en-US" w:eastAsia="zh-CN"/>
        </w:rPr>
        <w:t>结论与后续行动计划</w:t>
      </w:r>
      <w:bookmarkEnd w:id="12"/>
    </w:p>
    <w:p w14:paraId="7EAEF75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本次演练总体成功，有效验证了应急组织架构的响应能力及主要流程的可行性，达到了锻炼队伍、检验预案的核心目的。演练暴露出的问题具有典型性，所提出的改进建议具体、可操作。</w:t>
      </w:r>
    </w:p>
    <w:p w14:paraId="1D89C6FA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后续行动计划：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4"/>
        <w:gridCol w:w="2944"/>
        <w:gridCol w:w="1770"/>
        <w:gridCol w:w="1529"/>
        <w:gridCol w:w="1731"/>
      </w:tblGrid>
      <w:tr w14:paraId="6B905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6E0A3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08A3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改进项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A942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E861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完成时限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DED6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1FF0E5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C8396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23612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修订《应急实施方案》中通讯记录条款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580F3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2367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2025年9月25日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A407A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双方会签新版方案</w:t>
            </w:r>
          </w:p>
        </w:tc>
      </w:tr>
      <w:tr w14:paraId="424E1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D5C1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DC378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乙方组织内部合同与应急专题培训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587B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F58E8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2025年10月15日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35AE2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提供培训记录与照片</w:t>
            </w:r>
          </w:p>
        </w:tc>
      </w:tr>
      <w:tr w14:paraId="55E49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26A8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2903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编制“应急-合同联动指引表”并入预案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3BD8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甲方起草，乙方确认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4793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2025年9月30日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19C2F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作为预案附件发布</w:t>
            </w:r>
          </w:p>
        </w:tc>
      </w:tr>
      <w:tr w14:paraId="36F08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D797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FEE19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归档本次演练所有文档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8F2F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双方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78F1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2025年9月20日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A4C8C0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建立专项文件夹并存档</w:t>
            </w:r>
          </w:p>
        </w:tc>
      </w:tr>
    </w:tbl>
    <w:p w14:paraId="6E730C6C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65D0C682"/>
    <w:multiLevelType w:val="singleLevel"/>
    <w:tmpl w:val="65D0C68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875DDB"/>
    <w:rsid w:val="03E56DE9"/>
    <w:rsid w:val="03FB28C2"/>
    <w:rsid w:val="05B95683"/>
    <w:rsid w:val="06084D04"/>
    <w:rsid w:val="069D7E4F"/>
    <w:rsid w:val="08273E74"/>
    <w:rsid w:val="09896468"/>
    <w:rsid w:val="09B82DE6"/>
    <w:rsid w:val="0A891FB9"/>
    <w:rsid w:val="0A9E1738"/>
    <w:rsid w:val="0C760424"/>
    <w:rsid w:val="0F741F2A"/>
    <w:rsid w:val="10EE19D3"/>
    <w:rsid w:val="10F36FE9"/>
    <w:rsid w:val="145853B5"/>
    <w:rsid w:val="1461426A"/>
    <w:rsid w:val="14AF1479"/>
    <w:rsid w:val="15B11221"/>
    <w:rsid w:val="18876269"/>
    <w:rsid w:val="18AD1450"/>
    <w:rsid w:val="1AFF6F2C"/>
    <w:rsid w:val="1C9B22E3"/>
    <w:rsid w:val="1D8B05A9"/>
    <w:rsid w:val="206371A4"/>
    <w:rsid w:val="208F16C3"/>
    <w:rsid w:val="20DD6FC6"/>
    <w:rsid w:val="21A460DD"/>
    <w:rsid w:val="227D2BB6"/>
    <w:rsid w:val="229B72A3"/>
    <w:rsid w:val="24443260"/>
    <w:rsid w:val="26526108"/>
    <w:rsid w:val="27656C75"/>
    <w:rsid w:val="278422F1"/>
    <w:rsid w:val="28CD220F"/>
    <w:rsid w:val="29534671"/>
    <w:rsid w:val="2A3E70CF"/>
    <w:rsid w:val="2A592C02"/>
    <w:rsid w:val="2AEF03C9"/>
    <w:rsid w:val="2B3470A6"/>
    <w:rsid w:val="2B732DA8"/>
    <w:rsid w:val="2EC61441"/>
    <w:rsid w:val="307C099F"/>
    <w:rsid w:val="31A7644C"/>
    <w:rsid w:val="31CE5397"/>
    <w:rsid w:val="32C92E2F"/>
    <w:rsid w:val="32E77BD8"/>
    <w:rsid w:val="3482405C"/>
    <w:rsid w:val="37F065A7"/>
    <w:rsid w:val="3800568F"/>
    <w:rsid w:val="38B642D4"/>
    <w:rsid w:val="38F31085"/>
    <w:rsid w:val="39291F38"/>
    <w:rsid w:val="397C551E"/>
    <w:rsid w:val="3AEB29F5"/>
    <w:rsid w:val="3D375BF2"/>
    <w:rsid w:val="3EB05C6A"/>
    <w:rsid w:val="3FF878C8"/>
    <w:rsid w:val="401F30A7"/>
    <w:rsid w:val="40D914A8"/>
    <w:rsid w:val="4356105B"/>
    <w:rsid w:val="463B406B"/>
    <w:rsid w:val="46527495"/>
    <w:rsid w:val="4D4C4DB0"/>
    <w:rsid w:val="4E79733B"/>
    <w:rsid w:val="511B6F73"/>
    <w:rsid w:val="52065E75"/>
    <w:rsid w:val="52A77A34"/>
    <w:rsid w:val="54F64668"/>
    <w:rsid w:val="55566E19"/>
    <w:rsid w:val="55B94290"/>
    <w:rsid w:val="57310207"/>
    <w:rsid w:val="581A7F84"/>
    <w:rsid w:val="59B91A1F"/>
    <w:rsid w:val="5A3A5DE0"/>
    <w:rsid w:val="5C871960"/>
    <w:rsid w:val="5F473629"/>
    <w:rsid w:val="5F645F89"/>
    <w:rsid w:val="608C1C3B"/>
    <w:rsid w:val="615A04DD"/>
    <w:rsid w:val="61F47A98"/>
    <w:rsid w:val="62141EE8"/>
    <w:rsid w:val="62206602"/>
    <w:rsid w:val="62B80AC5"/>
    <w:rsid w:val="634560D1"/>
    <w:rsid w:val="681A5D7E"/>
    <w:rsid w:val="69B67474"/>
    <w:rsid w:val="6BA22313"/>
    <w:rsid w:val="6D3F175A"/>
    <w:rsid w:val="6EDC3D8E"/>
    <w:rsid w:val="76CB7939"/>
    <w:rsid w:val="76EA5E14"/>
    <w:rsid w:val="786453D8"/>
    <w:rsid w:val="7A5E7D4D"/>
    <w:rsid w:val="7BB601CC"/>
    <w:rsid w:val="7FCC2BBF"/>
    <w:rsid w:val="7FEA3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32">
    <w:name w:val="Default Paragraph Font"/>
    <w:semiHidden/>
    <w:qFormat/>
    <w:uiPriority w:val="0"/>
  </w:style>
  <w:style w:type="table" w:default="1" w:styleId="3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Salutation"/>
    <w:basedOn w:val="1"/>
    <w:next w:val="1"/>
    <w:qFormat/>
    <w:uiPriority w:val="0"/>
  </w:style>
  <w:style w:type="paragraph" w:styleId="14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Date"/>
    <w:basedOn w:val="1"/>
    <w:next w:val="1"/>
    <w:qFormat/>
    <w:uiPriority w:val="0"/>
    <w:pPr>
      <w:ind w:left="100" w:leftChars="2500"/>
    </w:pPr>
  </w:style>
  <w:style w:type="paragraph" w:styleId="17">
    <w:name w:val="endnote text"/>
    <w:basedOn w:val="1"/>
    <w:qFormat/>
    <w:uiPriority w:val="0"/>
    <w:pPr>
      <w:snapToGrid w:val="0"/>
      <w:jc w:val="left"/>
    </w:pPr>
  </w:style>
  <w:style w:type="paragraph" w:styleId="18">
    <w:name w:val="Balloon Text"/>
    <w:basedOn w:val="1"/>
    <w:qFormat/>
    <w:uiPriority w:val="0"/>
    <w:rPr>
      <w:sz w:val="18"/>
    </w:rPr>
  </w:style>
  <w:style w:type="paragraph" w:styleId="1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21">
    <w:name w:val="Signature"/>
    <w:basedOn w:val="1"/>
    <w:qFormat/>
    <w:uiPriority w:val="0"/>
    <w:pPr>
      <w:ind w:left="100" w:leftChars="2100"/>
    </w:pPr>
  </w:style>
  <w:style w:type="paragraph" w:styleId="22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23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4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25">
    <w:name w:val="toc 2"/>
    <w:basedOn w:val="1"/>
    <w:next w:val="1"/>
    <w:qFormat/>
    <w:uiPriority w:val="0"/>
    <w:pPr>
      <w:ind w:left="420" w:leftChars="200"/>
    </w:pPr>
  </w:style>
  <w:style w:type="paragraph" w:styleId="26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7">
    <w:name w:val="Normal (Web)"/>
    <w:basedOn w:val="1"/>
    <w:qFormat/>
    <w:uiPriority w:val="0"/>
    <w:rPr>
      <w:sz w:val="24"/>
    </w:rPr>
  </w:style>
  <w:style w:type="paragraph" w:styleId="28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29">
    <w:name w:val="annotation subject"/>
    <w:basedOn w:val="12"/>
    <w:next w:val="12"/>
    <w:qFormat/>
    <w:uiPriority w:val="0"/>
    <w:rPr>
      <w:b/>
    </w:rPr>
  </w:style>
  <w:style w:type="table" w:styleId="31">
    <w:name w:val="Table Grid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3">
    <w:name w:val="Strong"/>
    <w:basedOn w:val="32"/>
    <w:qFormat/>
    <w:uiPriority w:val="0"/>
    <w:rPr>
      <w:b/>
    </w:rPr>
  </w:style>
  <w:style w:type="character" w:styleId="34">
    <w:name w:val="endnote reference"/>
    <w:basedOn w:val="32"/>
    <w:qFormat/>
    <w:uiPriority w:val="0"/>
    <w:rPr>
      <w:vertAlign w:val="superscript"/>
    </w:rPr>
  </w:style>
  <w:style w:type="character" w:styleId="35">
    <w:name w:val="page number"/>
    <w:basedOn w:val="32"/>
    <w:qFormat/>
    <w:uiPriority w:val="0"/>
  </w:style>
  <w:style w:type="character" w:styleId="36">
    <w:name w:val="FollowedHyperlink"/>
    <w:basedOn w:val="32"/>
    <w:qFormat/>
    <w:uiPriority w:val="0"/>
    <w:rPr>
      <w:color w:val="800080"/>
      <w:u w:val="single"/>
    </w:rPr>
  </w:style>
  <w:style w:type="character" w:styleId="37">
    <w:name w:val="Emphasis"/>
    <w:basedOn w:val="32"/>
    <w:qFormat/>
    <w:uiPriority w:val="0"/>
    <w:rPr>
      <w:i/>
    </w:rPr>
  </w:style>
  <w:style w:type="character" w:styleId="38">
    <w:name w:val="Hyperlink"/>
    <w:basedOn w:val="32"/>
    <w:qFormat/>
    <w:uiPriority w:val="0"/>
    <w:rPr>
      <w:color w:val="0000FF"/>
      <w:u w:val="single"/>
    </w:rPr>
  </w:style>
  <w:style w:type="character" w:styleId="39">
    <w:name w:val="annotation reference"/>
    <w:basedOn w:val="32"/>
    <w:qFormat/>
    <w:uiPriority w:val="0"/>
    <w:rPr>
      <w:sz w:val="21"/>
    </w:rPr>
  </w:style>
  <w:style w:type="character" w:styleId="40">
    <w:name w:val="footnote reference"/>
    <w:basedOn w:val="32"/>
    <w:qFormat/>
    <w:uiPriority w:val="0"/>
    <w:rPr>
      <w:vertAlign w:val="superscript"/>
    </w:rPr>
  </w:style>
  <w:style w:type="paragraph" w:customStyle="1" w:styleId="41">
    <w:name w:val="柴_公司名"/>
    <w:basedOn w:val="28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42">
    <w:name w:val="柴_文档名"/>
    <w:basedOn w:val="28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43">
    <w:name w:val="柴_正文"/>
    <w:basedOn w:val="14"/>
    <w:link w:val="59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table" w:customStyle="1" w:styleId="4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6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47">
    <w:name w:val="柴_标题1"/>
    <w:basedOn w:val="2"/>
    <w:next w:val="43"/>
    <w:link w:val="56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48">
    <w:name w:val="柴_标题2"/>
    <w:basedOn w:val="3"/>
    <w:next w:val="43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49">
    <w:name w:val="柴_标题3"/>
    <w:basedOn w:val="4"/>
    <w:next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50">
    <w:name w:val="柴_目录"/>
    <w:basedOn w:val="1"/>
    <w:next w:val="14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51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2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3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4">
    <w:name w:val="Compact"/>
    <w:basedOn w:val="14"/>
    <w:qFormat/>
    <w:uiPriority w:val="0"/>
    <w:pPr>
      <w:spacing w:before="36" w:after="36"/>
    </w:pPr>
  </w:style>
  <w:style w:type="table" w:customStyle="1" w:styleId="55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6">
    <w:name w:val="柴_标题1 Char"/>
    <w:link w:val="47"/>
    <w:qFormat/>
    <w:uiPriority w:val="0"/>
    <w:rPr>
      <w:rFonts w:ascii="Arial" w:hAnsi="Arial" w:eastAsia="宋体"/>
      <w:sz w:val="32"/>
    </w:rPr>
  </w:style>
  <w:style w:type="paragraph" w:customStyle="1" w:styleId="57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58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59">
    <w:name w:val="柴_正文 Char"/>
    <w:link w:val="43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2254</Words>
  <Characters>2468</Characters>
  <Lines>0</Lines>
  <Paragraphs>0</Paragraphs>
  <TotalTime>0</TotalTime>
  <ScaleCrop>false</ScaleCrop>
  <LinksUpToDate>false</LinksUpToDate>
  <CharactersWithSpaces>2552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2025-12-17T22:59:36Z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