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712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6055"/>
      <w:r>
        <w:rPr>
          <w:rFonts w:hint="eastAsia"/>
          <w:lang w:val="en-US" w:eastAsia="zh-CN"/>
        </w:rPr>
        <w:t>运维服务能力管理报告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5377"/>
      <w:r>
        <w:rPr>
          <w:rFonts w:hint="eastAsia"/>
          <w:lang w:val="en-US" w:eastAsia="zh-CN"/>
        </w:rPr>
        <w:t>（YNTD-ITSS-0304）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30416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A19A38B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482AD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DC7AA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_Toc28712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4E29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_Toc6055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420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（YNTD-ITSS-0304）</w:t>
          </w:r>
          <w:r>
            <w:tab/>
          </w:r>
          <w:r>
            <w:fldChar w:fldCharType="begin"/>
          </w:r>
          <w:r>
            <w:instrText xml:space="preserve"> PAGEREF _Toc15377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F2C1A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_Toc30416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2D80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_Toc9357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EF3C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人员管理总结</w:t>
          </w:r>
          <w:r>
            <w:tab/>
          </w:r>
          <w:r>
            <w:fldChar w:fldCharType="begin"/>
          </w:r>
          <w:r>
            <w:instrText xml:space="preserve"> PAGEREF _Toc16279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0167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招聘情况说明</w:t>
          </w:r>
          <w:r>
            <w:tab/>
          </w:r>
          <w:r>
            <w:fldChar w:fldCharType="begin"/>
          </w:r>
          <w:r>
            <w:instrText xml:space="preserve"> PAGEREF _Toc1826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F6ECA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_Toc5689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BB86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_Toc26813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33E6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储备情况说明</w:t>
          </w:r>
          <w:r>
            <w:tab/>
          </w:r>
          <w:r>
            <w:fldChar w:fldCharType="begin"/>
          </w:r>
          <w:r>
            <w:instrText xml:space="preserve"> PAGEREF _Toc7942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BCE16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_Toc11040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C0269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_Toc4258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A02E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培训情况说明</w:t>
          </w:r>
          <w:r>
            <w:tab/>
          </w:r>
          <w:r>
            <w:fldChar w:fldCharType="begin"/>
          </w:r>
          <w:r>
            <w:instrText xml:space="preserve"> PAGEREF _Toc16032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BBC43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_Toc25926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FC911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_Toc15076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F5982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备份情况说明</w:t>
          </w:r>
          <w:r>
            <w:tab/>
          </w:r>
          <w:r>
            <w:fldChar w:fldCharType="begin"/>
          </w:r>
          <w:r>
            <w:instrText xml:space="preserve"> PAGEREF _Toc2827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E9E9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_Toc24195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CF288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_Toc13188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C5FB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绩效考核情况说明</w:t>
          </w:r>
          <w:r>
            <w:tab/>
          </w:r>
          <w:r>
            <w:fldChar w:fldCharType="begin"/>
          </w:r>
          <w:r>
            <w:instrText xml:space="preserve"> PAGEREF _Toc13492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976ED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2.5.1.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_Toc9524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4573F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_Toc22901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8341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能力评价情况说明</w:t>
          </w:r>
          <w:r>
            <w:tab/>
          </w:r>
          <w:r>
            <w:fldChar w:fldCharType="begin"/>
          </w:r>
          <w:r>
            <w:instrText xml:space="preserve"> PAGEREF _Toc17824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D6266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2.6.1.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_Toc22470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8669D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2.6.2.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_Toc2320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3266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资源管理总结</w:t>
          </w:r>
          <w:r>
            <w:tab/>
          </w:r>
          <w:r>
            <w:fldChar w:fldCharType="begin"/>
          </w:r>
          <w:r>
            <w:instrText xml:space="preserve"> PAGEREF _Toc15089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9775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_Toc7485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FA8B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_Toc29440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61DDD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_Toc3703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D4BDF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_Toc28094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72D4A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_Toc25364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8FBCC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_Toc4354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45F92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_Toc18203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EE11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技术管理总结</w:t>
          </w:r>
          <w:r>
            <w:tab/>
          </w:r>
          <w:r>
            <w:fldChar w:fldCharType="begin"/>
          </w:r>
          <w:r>
            <w:instrText xml:space="preserve"> PAGEREF _Toc26644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6893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物管平台-物联标识系统</w:t>
          </w:r>
          <w:r>
            <w:tab/>
          </w:r>
          <w:r>
            <w:fldChar w:fldCharType="begin"/>
          </w:r>
          <w:r>
            <w:instrText xml:space="preserve"> PAGEREF _Toc29325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AE75C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_Toc9574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4C843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4.1.2. </w:t>
          </w:r>
          <w:r>
            <w:t>整体计划推进表</w:t>
          </w:r>
          <w:r>
            <w:tab/>
          </w:r>
          <w:r>
            <w:fldChar w:fldCharType="begin"/>
          </w:r>
          <w:r>
            <w:instrText xml:space="preserve"> PAGEREF _Toc1725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E2B73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4.1.3.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_Toc25344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85515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4.1.4.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_Toc17296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D6526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4.1.5.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_Toc8006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6A69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隔离装置监控处置工具</w:t>
          </w:r>
          <w:r>
            <w:tab/>
          </w:r>
          <w:r>
            <w:fldChar w:fldCharType="begin"/>
          </w:r>
          <w:r>
            <w:instrText xml:space="preserve"> PAGEREF _Toc15265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E6CDE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_Toc8457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C8E82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_Toc9880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2670B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4.2.3.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_Toc1279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4AE23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4.2.4.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_Toc11071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4D24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运维手册研发成果说明</w:t>
          </w:r>
          <w:r>
            <w:tab/>
          </w:r>
          <w:r>
            <w:fldChar w:fldCharType="begin"/>
          </w:r>
          <w:r>
            <w:instrText xml:space="preserve"> PAGEREF _Toc2068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F686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研发投入情况</w:t>
          </w:r>
          <w:r>
            <w:tab/>
          </w:r>
          <w:r>
            <w:fldChar w:fldCharType="begin"/>
          </w:r>
          <w:r>
            <w:instrText xml:space="preserve"> PAGEREF _Toc1802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088CD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_Toc32053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9003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过程管理总结</w:t>
          </w:r>
          <w:r>
            <w:tab/>
          </w:r>
          <w:r>
            <w:fldChar w:fldCharType="begin"/>
          </w:r>
          <w:r>
            <w:instrText xml:space="preserve"> PAGEREF _Toc26427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5D52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_Toc4741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F4090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_Toc10182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57FC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_Toc26904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4251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_Toc3735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0268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_Toc23463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ACC0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_Toc3579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034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_Toc29669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514E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_Toc12072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A462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 </w:t>
          </w:r>
          <w:r>
            <w:rPr>
              <w:rFonts w:hint="eastAsia"/>
              <w:lang w:val="en-US"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_Toc19278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A438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_Toc3647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4A15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_Toc15279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30EA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_Toc23366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600B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_Toc9403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51EF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质量管理总结</w:t>
          </w:r>
          <w:r>
            <w:tab/>
          </w:r>
          <w:r>
            <w:fldChar w:fldCharType="begin"/>
          </w:r>
          <w:r>
            <w:instrText xml:space="preserve"> PAGEREF _Toc12255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7D30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_Toc30559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D936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_Toc18376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2D67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_Toc31935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504B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SLA达成率情况分析</w:t>
          </w:r>
          <w:r>
            <w:tab/>
          </w:r>
          <w:r>
            <w:fldChar w:fldCharType="begin"/>
          </w:r>
          <w:r>
            <w:instrText xml:space="preserve"> PAGEREF _Toc23155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1DFEF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_Toc15866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3520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10.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_Toc1584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6EB2A4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1E9C73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F9A020B">
      <w:pPr>
        <w:pStyle w:val="28"/>
        <w:bidi w:val="0"/>
      </w:pPr>
      <w:bookmarkStart w:id="4" w:name="_Toc9357"/>
      <w:r>
        <w:rPr>
          <w:rFonts w:hint="eastAsia"/>
          <w:lang w:val="en-US" w:eastAsia="zh-CN"/>
        </w:rPr>
        <w:t>概述</w:t>
      </w:r>
      <w:bookmarkEnd w:id="4"/>
    </w:p>
    <w:p w14:paraId="7FAD2223">
      <w:pPr>
        <w:pStyle w:val="29"/>
        <w:bidi w:val="0"/>
      </w:pPr>
      <w:r>
        <w:rPr>
          <w:rFonts w:hint="default"/>
        </w:rPr>
        <w:t>2025年，公司设定全年运维服务收入目标为510万元。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400</w:t>
      </w:r>
      <w:r>
        <w:rPr>
          <w:rFonts w:hint="default"/>
        </w:rPr>
        <w:t>万元，完成全年目标的</w:t>
      </w:r>
      <w:r>
        <w:rPr>
          <w:rFonts w:hint="eastAsia"/>
          <w:lang w:val="en-US" w:eastAsia="zh-CN"/>
        </w:rPr>
        <w:t>78.43</w:t>
      </w:r>
      <w:r>
        <w:rPr>
          <w:rFonts w:hint="default"/>
        </w:rPr>
        <w:t>%，进度符合预期。</w:t>
      </w:r>
    </w:p>
    <w:p w14:paraId="4731364D">
      <w:pPr>
        <w:pStyle w:val="29"/>
        <w:bidi w:val="0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2F7E5A64">
      <w:pPr>
        <w:pStyle w:val="28"/>
        <w:bidi w:val="0"/>
        <w:rPr>
          <w:rFonts w:hint="default"/>
          <w:lang w:val="en-US" w:eastAsia="zh-CN"/>
        </w:rPr>
      </w:pPr>
      <w:bookmarkStart w:id="5" w:name="_Toc16279"/>
      <w:r>
        <w:rPr>
          <w:rFonts w:hint="eastAsia"/>
          <w:lang w:val="en-US" w:eastAsia="zh-CN"/>
        </w:rPr>
        <w:t>人员管理总结</w:t>
      </w:r>
      <w:bookmarkEnd w:id="5"/>
    </w:p>
    <w:p w14:paraId="0A02E642">
      <w:pPr>
        <w:pStyle w:val="30"/>
        <w:bidi w:val="0"/>
        <w:rPr>
          <w:rFonts w:hint="eastAsia"/>
          <w:lang w:val="en-US" w:eastAsia="zh-CN"/>
        </w:rPr>
      </w:pPr>
      <w:bookmarkStart w:id="6" w:name="_Toc1826"/>
      <w:r>
        <w:rPr>
          <w:rFonts w:hint="eastAsia"/>
          <w:lang w:val="en-US" w:eastAsia="zh-CN"/>
        </w:rPr>
        <w:t>招聘情况说明</w:t>
      </w:r>
      <w:bookmarkEnd w:id="6"/>
    </w:p>
    <w:p w14:paraId="15781357">
      <w:pPr>
        <w:pStyle w:val="31"/>
        <w:bidi w:val="0"/>
      </w:pPr>
      <w:bookmarkStart w:id="7" w:name="heading_3"/>
      <w:bookmarkStart w:id="8" w:name="_Toc13741"/>
      <w:bookmarkStart w:id="9" w:name="_Toc5689"/>
      <w:r>
        <w:rPr>
          <w:rFonts w:hint="eastAsia"/>
          <w:lang w:val="en-US" w:eastAsia="zh-CN"/>
        </w:rPr>
        <w:t>招聘计划</w:t>
      </w:r>
      <w:r>
        <w:t>完成情况</w:t>
      </w:r>
      <w:bookmarkEnd w:id="7"/>
      <w:bookmarkEnd w:id="8"/>
      <w:bookmarkEnd w:id="9"/>
    </w:p>
    <w:p w14:paraId="56B4F2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</w:t>
      </w:r>
      <w:r>
        <w:rPr>
          <w:rFonts w:hint="eastAsia"/>
          <w:lang w:val="en-US" w:eastAsia="zh-CN"/>
        </w:rPr>
        <w:t>2025年10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20"/>
        <w:tblpPr w:leftFromText="180" w:rightFromText="180" w:vertAnchor="text" w:horzAnchor="page" w:tblpX="1807" w:tblpY="47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2"/>
        <w:gridCol w:w="1476"/>
        <w:gridCol w:w="1176"/>
        <w:gridCol w:w="1281"/>
        <w:gridCol w:w="1010"/>
        <w:gridCol w:w="1222"/>
        <w:gridCol w:w="858"/>
      </w:tblGrid>
      <w:tr w14:paraId="720EB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7D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</w:t>
            </w: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2AD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0695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计划人数</w:t>
            </w:r>
          </w:p>
        </w:tc>
        <w:tc>
          <w:tcPr>
            <w:tcW w:w="128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2CB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预算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使用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4C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招聘方式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2389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计划完成时间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26C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041A6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C22D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</w:t>
            </w:r>
            <w:r>
              <w:rPr>
                <w:rFonts w:ascii="Arial" w:hAnsi="Arial" w:eastAsia="等线" w:cs="Arial"/>
                <w:sz w:val="22"/>
              </w:rPr>
              <w:t>部</w:t>
            </w:r>
          </w:p>
          <w:p w14:paraId="24E62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283F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31B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AEAD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101C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0A2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DA9F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6F47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D772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CCEB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27B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602C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01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40D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93CE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85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6565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A4AD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86E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AF2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9523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500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D306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AC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EC6F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3A10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9C5B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14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B3A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11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04E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5088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DFC7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8279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2025年3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6077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4264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DA18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070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1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D048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D13D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1A96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4013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9AA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559F2F9C">
      <w:pPr>
        <w:pStyle w:val="31"/>
        <w:bidi w:val="0"/>
      </w:pPr>
      <w:bookmarkStart w:id="10" w:name="_Toc5186"/>
      <w:bookmarkStart w:id="11" w:name="_Toc26813"/>
      <w:r>
        <w:rPr>
          <w:rFonts w:hint="eastAsia"/>
          <w:lang w:val="en-US" w:eastAsia="zh-CN"/>
        </w:rPr>
        <w:t>招聘指标完成情况</w:t>
      </w:r>
      <w:bookmarkEnd w:id="10"/>
      <w:bookmarkEnd w:id="11"/>
    </w:p>
    <w:p w14:paraId="5A96F7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，考核频次为年度考核。通过跟踪招聘完成情况得知，2025计划招聘6人，截止2025年10月完成招聘6人，招聘计划完成率为100%。满足招聘计划完成率≥95%的要求。</w:t>
      </w:r>
    </w:p>
    <w:p w14:paraId="348EC982">
      <w:pPr>
        <w:pStyle w:val="29"/>
        <w:rPr>
          <w:rFonts w:hint="eastAsia"/>
          <w:lang w:val="en-US" w:eastAsia="zh-CN"/>
        </w:rPr>
      </w:pPr>
    </w:p>
    <w:p w14:paraId="2DEDA23F">
      <w:pPr>
        <w:pStyle w:val="30"/>
        <w:bidi w:val="0"/>
        <w:rPr>
          <w:rFonts w:hint="eastAsia"/>
          <w:lang w:val="en-US" w:eastAsia="zh-CN"/>
        </w:rPr>
      </w:pPr>
      <w:bookmarkStart w:id="12" w:name="_Toc7942"/>
      <w:r>
        <w:rPr>
          <w:rFonts w:hint="eastAsia"/>
          <w:lang w:val="en-US" w:eastAsia="zh-CN"/>
        </w:rPr>
        <w:t>储备情况说明</w:t>
      </w:r>
      <w:bookmarkEnd w:id="12"/>
    </w:p>
    <w:p w14:paraId="115426FC">
      <w:pPr>
        <w:pStyle w:val="31"/>
        <w:bidi w:val="0"/>
      </w:pPr>
      <w:bookmarkStart w:id="13" w:name="_Toc25874"/>
      <w:bookmarkStart w:id="14" w:name="_Toc11040"/>
      <w:r>
        <w:rPr>
          <w:rFonts w:hint="eastAsia"/>
          <w:lang w:val="en-US" w:eastAsia="zh-CN"/>
        </w:rPr>
        <w:t>储备计划</w:t>
      </w:r>
      <w:r>
        <w:t>完成情况</w:t>
      </w:r>
      <w:bookmarkEnd w:id="13"/>
      <w:bookmarkEnd w:id="14"/>
    </w:p>
    <w:p w14:paraId="7E645CA6">
      <w:pPr>
        <w:pStyle w:val="39"/>
        <w:numPr>
          <w:ilvl w:val="0"/>
          <w:numId w:val="2"/>
        </w:numPr>
        <w:bidi w:val="0"/>
        <w:rPr>
          <w:rFonts w:hint="default"/>
          <w:lang w:val="en-US" w:eastAsia="zh-CN"/>
        </w:rPr>
      </w:pPr>
      <w:bookmarkStart w:id="15" w:name="_Toc18996"/>
      <w:r>
        <w:rPr>
          <w:rFonts w:hint="eastAsia"/>
          <w:lang w:val="en-US" w:eastAsia="zh-CN"/>
        </w:rPr>
        <w:t>外部储备</w:t>
      </w:r>
      <w:bookmarkEnd w:id="15"/>
    </w:p>
    <w:p w14:paraId="04743D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截止2025年10月，外部招聘储备6人全部按计划到岗，达成储备目标。详情查看第二章节“招聘计划完成情况”。</w:t>
      </w:r>
    </w:p>
    <w:p w14:paraId="5D143C8E">
      <w:pPr>
        <w:pStyle w:val="39"/>
        <w:numPr>
          <w:ilvl w:val="0"/>
          <w:numId w:val="2"/>
        </w:numPr>
        <w:bidi w:val="0"/>
        <w:rPr>
          <w:rFonts w:hint="default"/>
          <w:lang w:val="en-US" w:eastAsia="zh-CN"/>
        </w:rPr>
      </w:pPr>
      <w:bookmarkStart w:id="16" w:name="_Toc31048"/>
      <w:r>
        <w:rPr>
          <w:rFonts w:hint="eastAsia"/>
          <w:lang w:val="en-US" w:eastAsia="zh-CN"/>
        </w:rPr>
        <w:t>内部储备</w:t>
      </w:r>
      <w:bookmarkEnd w:id="16"/>
    </w:p>
    <w:p w14:paraId="01B7DC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计划储备8人。截止2025年10月，计划储备7人，实际储备7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657"/>
        <w:gridCol w:w="1344"/>
        <w:gridCol w:w="1139"/>
        <w:gridCol w:w="1380"/>
      </w:tblGrid>
      <w:tr w14:paraId="2ECEB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D12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6D1B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6AC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663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F4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储备方式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C180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003E7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E90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7A8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5C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C77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23B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CC93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C612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2BC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70F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D06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7D87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2E1F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E542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C96E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C5F3A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266A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8C66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CCB4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246E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4973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3496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5617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76DB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083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AABB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7364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F0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8E59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C3B6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4F5F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EBB4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7F864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D883D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BA8C8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286E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9DD9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8FF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2631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08F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B26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10785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0278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D7A3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C5CB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56D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A637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14D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F952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4A329028">
      <w:pPr>
        <w:pStyle w:val="31"/>
        <w:bidi w:val="0"/>
      </w:pPr>
      <w:bookmarkStart w:id="17" w:name="_Toc9809"/>
      <w:bookmarkStart w:id="18" w:name="_Toc4258"/>
      <w:r>
        <w:rPr>
          <w:rFonts w:hint="eastAsia"/>
          <w:lang w:val="en-US" w:eastAsia="zh-CN"/>
        </w:rPr>
        <w:t>储备指标</w:t>
      </w:r>
      <w:r>
        <w:t>完成情况</w:t>
      </w:r>
      <w:bookmarkEnd w:id="17"/>
      <w:bookmarkEnd w:id="18"/>
    </w:p>
    <w:p w14:paraId="22BA3D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划储备人数*100%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，考核频次为年度考核，储备计划按计划进行中，预计于12月完成数据库运维工程师的储备。</w:t>
      </w:r>
    </w:p>
    <w:p w14:paraId="03726C66">
      <w:pPr>
        <w:pStyle w:val="30"/>
        <w:bidi w:val="0"/>
        <w:rPr>
          <w:rFonts w:hint="eastAsia"/>
          <w:lang w:val="en-US" w:eastAsia="zh-CN"/>
        </w:rPr>
      </w:pPr>
      <w:bookmarkStart w:id="19" w:name="_Toc16032"/>
      <w:r>
        <w:rPr>
          <w:rFonts w:hint="eastAsia"/>
          <w:lang w:val="en-US" w:eastAsia="zh-CN"/>
        </w:rPr>
        <w:t>培训情况说明</w:t>
      </w:r>
      <w:bookmarkEnd w:id="19"/>
    </w:p>
    <w:p w14:paraId="074338CF">
      <w:pPr>
        <w:pStyle w:val="31"/>
        <w:bidi w:val="0"/>
        <w:rPr>
          <w:rFonts w:hint="eastAsia"/>
          <w:lang w:val="en-US" w:eastAsia="zh-CN"/>
        </w:rPr>
      </w:pPr>
      <w:bookmarkStart w:id="20" w:name="_Toc25058"/>
      <w:bookmarkStart w:id="21" w:name="_Toc25926"/>
      <w:r>
        <w:rPr>
          <w:rFonts w:hint="eastAsia"/>
          <w:lang w:val="en-US" w:eastAsia="zh-CN"/>
        </w:rPr>
        <w:t>培训计划完成情况</w:t>
      </w:r>
      <w:bookmarkEnd w:id="20"/>
      <w:bookmarkEnd w:id="21"/>
    </w:p>
    <w:p w14:paraId="308ED5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tbl>
      <w:tblPr>
        <w:tblStyle w:val="20"/>
        <w:tblW w:w="94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14:paraId="79B17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EC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940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培训类别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EA46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EEF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658A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041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FE3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574A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8408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6156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DA7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39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AC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73F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3/6/9月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6F17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30D3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AE1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BF53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258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0E39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17B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256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AA1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0484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EFF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E38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19B2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E5C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727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F283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B7E4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AC8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D2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952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2A2B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1CA5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726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57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123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9A4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644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6D9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EB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FAB2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E07ED9C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2F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07A5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6C52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0ABF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992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2FC2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D3D2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0D1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5A11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4362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D98A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AA5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AE2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EDE9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FBC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D82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54F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D5F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B36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9EA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9F4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BBB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A1C0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AA2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DF46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CA0B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1261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15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F25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5FB2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82A3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9C49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2DF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D9B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89D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4BB2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C05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084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A33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C2B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C2DE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1A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4802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F0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30BB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25E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1FA5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16C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0BB6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F0A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180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762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2F1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A83A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691A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4383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E301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C802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1D1F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93E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34A8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1F18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815C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BE2E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5C1D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52B9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7F7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0D75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66F5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76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6C2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BD96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94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6E7E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BA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40C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7548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A93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28AD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E31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BF8C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D569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BB77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C8C2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AF6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C4B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496F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9E52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D7FE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5108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61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CF27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E1C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9533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5F05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36DC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918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263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8132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1CE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7677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02D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6A32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BCB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F69F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21D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94F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A3D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F821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906A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C4D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2B4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DE66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68C1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7CF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DF9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A8FE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A1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E467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318D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6998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5CB2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C10A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94EA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99C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D6A3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EB82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C84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501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F6F5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BE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05B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CFE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106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7140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75A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393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9531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CCC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3B5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E81C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545F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657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079E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D3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BE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A7F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74A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601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50B0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ACE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4CD8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811A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75B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9EA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236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240A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552A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EB1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4A13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5900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D3DD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150A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942B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7B0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A25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A3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F40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5FF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B05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C7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79C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888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C0C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黑麋峰抽水蓄能电站调度通信系统介绍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FB3B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6C0B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48C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930D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EB53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FDA6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0DD3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228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E8B6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805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15A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06D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ACDD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2AF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5172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2DB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CC6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1A1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C51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B00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0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C060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19D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F98E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994E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7DC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108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4478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31BD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42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5C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59C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E4A2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2A9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21EE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4D13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9E7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522C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2E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3DD7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0C6A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A527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0E2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BF02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7AD0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客户服务技能提升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7C54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9028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D7EF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BD1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F202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6D8A4425">
      <w:pPr>
        <w:pStyle w:val="31"/>
        <w:bidi w:val="0"/>
        <w:rPr>
          <w:rFonts w:hint="default"/>
          <w:lang w:val="en-US" w:eastAsia="zh-CN"/>
        </w:rPr>
      </w:pPr>
      <w:bookmarkStart w:id="22" w:name="_Toc19869"/>
      <w:bookmarkStart w:id="23" w:name="_Toc15076"/>
      <w:r>
        <w:rPr>
          <w:rFonts w:hint="eastAsia"/>
          <w:lang w:val="en-US" w:eastAsia="zh-CN"/>
        </w:rPr>
        <w:t>培训指标完成情况</w:t>
      </w:r>
      <w:bookmarkEnd w:id="22"/>
      <w:bookmarkEnd w:id="23"/>
    </w:p>
    <w:p w14:paraId="1EEB84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，考核频次为年度考核。通过跟踪培训完成情况得知，截止2025年10月，培训计划正在有序进行中。计划于12月完成4场培训，10课时。</w:t>
      </w:r>
    </w:p>
    <w:p w14:paraId="3D75B54F">
      <w:pPr>
        <w:pStyle w:val="29"/>
        <w:rPr>
          <w:rFonts w:hint="eastAsia"/>
          <w:lang w:val="en-US" w:eastAsia="zh-CN"/>
        </w:rPr>
      </w:pPr>
    </w:p>
    <w:p w14:paraId="05B2A3AF">
      <w:pPr>
        <w:pStyle w:val="30"/>
        <w:bidi w:val="0"/>
        <w:rPr>
          <w:rFonts w:hint="eastAsia"/>
          <w:lang w:val="en-US" w:eastAsia="zh-CN"/>
        </w:rPr>
      </w:pPr>
      <w:bookmarkStart w:id="24" w:name="_Toc2827"/>
      <w:r>
        <w:rPr>
          <w:rFonts w:hint="eastAsia"/>
          <w:lang w:val="en-US" w:eastAsia="zh-CN"/>
        </w:rPr>
        <w:t>备份情况说明</w:t>
      </w:r>
      <w:bookmarkEnd w:id="24"/>
    </w:p>
    <w:p w14:paraId="7CFC0EAC">
      <w:pPr>
        <w:pStyle w:val="31"/>
        <w:bidi w:val="0"/>
        <w:rPr>
          <w:rFonts w:hint="eastAsia"/>
          <w:lang w:val="en-US" w:eastAsia="zh-CN"/>
        </w:rPr>
      </w:pPr>
      <w:bookmarkStart w:id="25" w:name="_Toc32369"/>
      <w:bookmarkStart w:id="26" w:name="_Toc24195"/>
      <w:r>
        <w:rPr>
          <w:rFonts w:hint="eastAsia"/>
          <w:lang w:val="en-US" w:eastAsia="zh-CN"/>
        </w:rPr>
        <w:t>备份计划完成情况</w:t>
      </w:r>
      <w:bookmarkEnd w:id="25"/>
      <w:bookmarkEnd w:id="26"/>
    </w:p>
    <w:p w14:paraId="56992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截止2025年10月按计划完成运维部经理、研发部经理、应急通信运维工程师、基础环境运维工程师、软件研发工程师的备份，保证了各项目的平稳运行。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5CA93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89D7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A43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FE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6596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A82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D62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C13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2A68F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270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DCAA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564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27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3F9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DD8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D764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D29D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D35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C1E1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1F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2F3A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A98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CA9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F56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7F9E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A82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12F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5DF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3BA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3C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698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11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9979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A3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F1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C83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7770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5F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A865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D84C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11F4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F754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B2B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5D3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7E7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4D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C0E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2733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2A7B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50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9783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9B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6E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4AF1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DAAE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64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</w:tr>
    </w:tbl>
    <w:p w14:paraId="25A69805">
      <w:pPr>
        <w:pStyle w:val="31"/>
        <w:bidi w:val="0"/>
        <w:rPr>
          <w:rFonts w:hint="default"/>
          <w:lang w:val="en-US" w:eastAsia="zh-CN"/>
        </w:rPr>
      </w:pPr>
      <w:bookmarkStart w:id="27" w:name="_Toc6633"/>
      <w:bookmarkStart w:id="28" w:name="_Toc13188"/>
      <w:r>
        <w:rPr>
          <w:rFonts w:hint="eastAsia"/>
          <w:lang w:val="en-US" w:eastAsia="zh-CN"/>
        </w:rPr>
        <w:t>备份指标完成情况</w:t>
      </w:r>
      <w:bookmarkEnd w:id="27"/>
      <w:bookmarkEnd w:id="28"/>
    </w:p>
    <w:p w14:paraId="66C923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，考核频次为年度考核。通过跟踪备份完成情况得知，截止2025年10月按照计划时间完成备份任务，备份计划完成率为100%，满足备份计划完成率≥90%的指标要求</w:t>
      </w:r>
    </w:p>
    <w:p w14:paraId="0E1CD1EC">
      <w:pPr>
        <w:pStyle w:val="29"/>
        <w:rPr>
          <w:rFonts w:hint="eastAsia"/>
          <w:lang w:val="en-US" w:eastAsia="zh-CN"/>
        </w:rPr>
      </w:pPr>
    </w:p>
    <w:p w14:paraId="76F8D584">
      <w:pPr>
        <w:pStyle w:val="30"/>
        <w:bidi w:val="0"/>
        <w:rPr>
          <w:rFonts w:hint="eastAsia"/>
          <w:lang w:val="en-US" w:eastAsia="zh-CN"/>
        </w:rPr>
      </w:pPr>
      <w:bookmarkStart w:id="29" w:name="_Toc13492"/>
      <w:r>
        <w:rPr>
          <w:rFonts w:hint="eastAsia"/>
          <w:lang w:val="en-US" w:eastAsia="zh-CN"/>
        </w:rPr>
        <w:t>绩效考核情况说明</w:t>
      </w:r>
      <w:bookmarkEnd w:id="29"/>
    </w:p>
    <w:p w14:paraId="68A6C2D8">
      <w:pPr>
        <w:pStyle w:val="31"/>
        <w:bidi w:val="0"/>
        <w:rPr>
          <w:rFonts w:hint="eastAsia"/>
          <w:lang w:val="en-US" w:eastAsia="zh-CN"/>
        </w:rPr>
      </w:pPr>
      <w:bookmarkStart w:id="30" w:name="_Toc29393"/>
      <w:bookmarkStart w:id="31" w:name="_Toc9524"/>
      <w:r>
        <w:rPr>
          <w:rFonts w:hint="eastAsia"/>
          <w:lang w:val="en-US" w:eastAsia="zh-CN"/>
        </w:rPr>
        <w:t>绩效考核完成情况</w:t>
      </w:r>
      <w:bookmarkEnd w:id="30"/>
      <w:bookmarkEnd w:id="31"/>
    </w:p>
    <w:p w14:paraId="2DF40D65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bookmarkStart w:id="32" w:name="heading_11"/>
      <w:bookmarkStart w:id="33" w:name="_Toc20572"/>
      <w:r>
        <w:t>考核实施</w:t>
      </w:r>
      <w:bookmarkEnd w:id="32"/>
      <w:bookmarkEnd w:id="33"/>
    </w:p>
    <w:p w14:paraId="7810A7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总经部牵头完成第一、二</w:t>
      </w:r>
      <w:r>
        <w:rPr>
          <w:rFonts w:hint="eastAsia"/>
          <w:lang w:val="en-US" w:eastAsia="zh-CN"/>
        </w:rPr>
        <w:t>和三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11EEBDC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bookmarkStart w:id="34" w:name="_Toc10755"/>
      <w:bookmarkStart w:id="35" w:name="heading_12"/>
      <w:r>
        <w:t>考核结果</w:t>
      </w:r>
      <w:bookmarkEnd w:id="34"/>
      <w:bookmarkEnd w:id="35"/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66687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AAFF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9D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0C34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0D7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7A13E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B4C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CFC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B5C6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D0C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5E69A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CD54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9A68B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FC988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D7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4900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2A4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401E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2B0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E88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0248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6440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F418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58FD9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EA15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57158955">
      <w:pPr>
        <w:pStyle w:val="31"/>
        <w:bidi w:val="0"/>
        <w:rPr>
          <w:rFonts w:hint="default"/>
          <w:lang w:val="en-US" w:eastAsia="zh-CN"/>
        </w:rPr>
      </w:pPr>
      <w:bookmarkStart w:id="36" w:name="_Toc22123"/>
      <w:bookmarkStart w:id="37" w:name="_Toc22901"/>
      <w:r>
        <w:rPr>
          <w:rFonts w:hint="eastAsia"/>
          <w:lang w:val="en-US" w:eastAsia="zh-CN"/>
        </w:rPr>
        <w:t>绩效考核指标达成情况</w:t>
      </w:r>
      <w:bookmarkEnd w:id="36"/>
      <w:bookmarkEnd w:id="37"/>
    </w:p>
    <w:p w14:paraId="38CD4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*100%，考核频次为季度考核。通过跟踪绩效考核记录得出，2025年第一、二和三季度所有运维服务人员均参加绩效考核，满足绩效考核覆盖率100%的要求。</w:t>
      </w:r>
    </w:p>
    <w:p w14:paraId="46541A0D">
      <w:pPr>
        <w:pStyle w:val="29"/>
        <w:rPr>
          <w:rFonts w:hint="eastAsia"/>
          <w:lang w:val="en-US" w:eastAsia="zh-CN"/>
        </w:rPr>
      </w:pPr>
    </w:p>
    <w:p w14:paraId="7C9284D3">
      <w:pPr>
        <w:pStyle w:val="30"/>
        <w:bidi w:val="0"/>
        <w:rPr>
          <w:rFonts w:hint="default"/>
          <w:lang w:val="en-US" w:eastAsia="zh-CN"/>
        </w:rPr>
      </w:pPr>
      <w:bookmarkStart w:id="38" w:name="_Toc17824"/>
      <w:r>
        <w:rPr>
          <w:rFonts w:hint="eastAsia"/>
          <w:lang w:val="en-US" w:eastAsia="zh-CN"/>
        </w:rPr>
        <w:t>能力评价情况说明</w:t>
      </w:r>
      <w:bookmarkEnd w:id="38"/>
    </w:p>
    <w:p w14:paraId="5FA8749A">
      <w:pPr>
        <w:pStyle w:val="31"/>
        <w:bidi w:val="0"/>
        <w:rPr>
          <w:rFonts w:hint="eastAsia"/>
          <w:lang w:val="en-US" w:eastAsia="zh-CN"/>
        </w:rPr>
      </w:pPr>
      <w:bookmarkStart w:id="39" w:name="_Toc28166"/>
      <w:bookmarkStart w:id="40" w:name="_Toc22470"/>
      <w:r>
        <w:rPr>
          <w:rFonts w:hint="eastAsia"/>
          <w:lang w:val="en-US" w:eastAsia="zh-CN"/>
        </w:rPr>
        <w:t>技能评价完成情况</w:t>
      </w:r>
      <w:bookmarkEnd w:id="39"/>
      <w:bookmarkEnd w:id="40"/>
    </w:p>
    <w:p w14:paraId="29E46DAC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bookmarkStart w:id="41" w:name="_Toc19603"/>
      <w:bookmarkStart w:id="42" w:name="heading_14"/>
      <w:r>
        <w:t>评价范围</w:t>
      </w:r>
      <w:bookmarkEnd w:id="41"/>
      <w:bookmarkEnd w:id="42"/>
    </w:p>
    <w:p w14:paraId="3BF6AC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2025年10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</w:t>
      </w:r>
      <w:r>
        <w:rPr>
          <w:rFonts w:hint="eastAsia"/>
          <w:lang w:val="en-US" w:eastAsia="zh-CN"/>
        </w:rPr>
        <w:t>7</w:t>
      </w:r>
      <w:r>
        <w:t>名储备调岗员工技能再评价，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其他员工的评价计划在12月份进行。</w:t>
      </w:r>
    </w:p>
    <w:p w14:paraId="07A90D7E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bookmarkStart w:id="43" w:name="_Toc10682"/>
      <w:r>
        <w:t>评价结果</w:t>
      </w:r>
      <w:bookmarkEnd w:id="43"/>
    </w:p>
    <w:p w14:paraId="148A85E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新员工</w:t>
      </w:r>
    </w:p>
    <w:p w14:paraId="36D03A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09EE13F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储备人员</w:t>
      </w:r>
    </w:p>
    <w:p w14:paraId="24D304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459FAF50">
      <w:pPr>
        <w:pStyle w:val="31"/>
        <w:bidi w:val="0"/>
        <w:rPr>
          <w:rFonts w:hint="default"/>
          <w:lang w:val="en-US" w:eastAsia="zh-CN"/>
        </w:rPr>
      </w:pPr>
      <w:bookmarkStart w:id="44" w:name="_Toc16522"/>
      <w:bookmarkStart w:id="45" w:name="_Toc2320"/>
      <w:r>
        <w:rPr>
          <w:rFonts w:hint="eastAsia"/>
          <w:lang w:val="en-US" w:eastAsia="zh-CN"/>
        </w:rPr>
        <w:t>技能评价指标完成情况</w:t>
      </w:r>
      <w:bookmarkEnd w:id="44"/>
      <w:bookmarkEnd w:id="45"/>
    </w:p>
    <w:p w14:paraId="6A1A98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，考核频次为年度考核。通过跟踪技能评价完成情况得知，截止2025年10月，完成了对6名新入职员工和7名调岗储备员工的技能评价，其他员工技能评价计划于12月份完成。</w:t>
      </w:r>
    </w:p>
    <w:p w14:paraId="77939A80">
      <w:pPr>
        <w:pStyle w:val="29"/>
        <w:rPr>
          <w:rFonts w:hint="default"/>
          <w:lang w:val="en-US" w:eastAsia="zh-CN"/>
        </w:rPr>
      </w:pPr>
    </w:p>
    <w:p w14:paraId="7D4CE5E8">
      <w:pPr>
        <w:pStyle w:val="28"/>
        <w:bidi w:val="0"/>
        <w:rPr>
          <w:rFonts w:hint="eastAsia"/>
          <w:lang w:val="en-US" w:eastAsia="zh-CN"/>
        </w:rPr>
      </w:pPr>
      <w:bookmarkStart w:id="46" w:name="_Toc15089"/>
      <w:r>
        <w:rPr>
          <w:rFonts w:hint="eastAsia"/>
          <w:lang w:val="en-US" w:eastAsia="zh-CN"/>
        </w:rPr>
        <w:t>资源管理总结</w:t>
      </w:r>
      <w:bookmarkEnd w:id="46"/>
    </w:p>
    <w:p w14:paraId="35684D0E">
      <w:pPr>
        <w:pStyle w:val="30"/>
        <w:bidi w:val="0"/>
        <w:rPr>
          <w:rFonts w:hint="eastAsia"/>
          <w:lang w:val="en-US" w:eastAsia="zh-CN"/>
        </w:rPr>
      </w:pPr>
      <w:bookmarkStart w:id="47" w:name="_Toc7485"/>
      <w:r>
        <w:rPr>
          <w:rFonts w:hint="eastAsia"/>
          <w:lang w:val="en-US" w:eastAsia="zh-CN"/>
        </w:rPr>
        <w:t>资源管理情况总结</w:t>
      </w:r>
      <w:bookmarkEnd w:id="47"/>
    </w:p>
    <w:p w14:paraId="685D95CD">
      <w:pPr>
        <w:pStyle w:val="31"/>
        <w:bidi w:val="0"/>
        <w:rPr>
          <w:rFonts w:hint="default"/>
          <w:lang w:val="en-US" w:eastAsia="zh-CN"/>
        </w:rPr>
      </w:pPr>
      <w:bookmarkStart w:id="48" w:name="_Toc29440"/>
      <w:r>
        <w:rPr>
          <w:rFonts w:hint="eastAsia"/>
          <w:lang w:val="en-US" w:eastAsia="zh-CN"/>
        </w:rPr>
        <w:t>运维工具管理情况总结</w:t>
      </w:r>
      <w:bookmarkEnd w:id="48"/>
    </w:p>
    <w:p w14:paraId="20E658E8">
      <w:pPr>
        <w:pStyle w:val="29"/>
        <w:bidi w:val="0"/>
      </w:pPr>
      <w:r>
        <w:t>2025年建立运维服务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 w14:paraId="3FFCA283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加强了流程管理工具的改进工作：收集使用意见，对工具进行了部分改进，提高了工具的实用性；</w:t>
      </w:r>
    </w:p>
    <w:p w14:paraId="5C873810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加强了自动化管理工具的应用 ：对主要的运维工程师加强了自动化管理工具的培训，提升了操作能力。</w:t>
      </w:r>
    </w:p>
    <w:p w14:paraId="21FC3B9F">
      <w:pPr>
        <w:pStyle w:val="29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2025年10月对运维工具进行了一次自评估，达到设定目标。</w:t>
      </w:r>
    </w:p>
    <w:p w14:paraId="73569955">
      <w:pPr>
        <w:pStyle w:val="31"/>
        <w:bidi w:val="0"/>
        <w:rPr>
          <w:rFonts w:hint="eastAsia"/>
          <w:lang w:val="en-US" w:eastAsia="zh-CN"/>
        </w:rPr>
      </w:pPr>
      <w:bookmarkStart w:id="49" w:name="_Toc3703"/>
      <w:r>
        <w:rPr>
          <w:rFonts w:hint="eastAsia"/>
          <w:lang w:val="en-US" w:eastAsia="zh-CN"/>
        </w:rPr>
        <w:t>服务台管理情况总结</w:t>
      </w:r>
      <w:bookmarkEnd w:id="49"/>
    </w:p>
    <w:p w14:paraId="104EDBE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服务台专员严格执行《服务台管理制度》，作为一线人员及时对客户疑问进行解答，极大的提高了客户满意度，经过满意度调查得知，截止2025年10月，客户满意度得分为95分，达到客户满意度指标要求的95分。</w:t>
      </w:r>
    </w:p>
    <w:p w14:paraId="216FE9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据统计1-10月份的服务台事件共420件，回访420件，回访率达到100%，满足KPI指标要求的服务台回访率≥95%的指标且没有客户投诉</w:t>
      </w:r>
    </w:p>
    <w:p w14:paraId="27FC1C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统计第一、二和三季度的服务台派单成功率得出，派单成功率分别是95%、100%、100%。满足KPI指标要求的每季度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≥95%的指标。</w:t>
      </w:r>
    </w:p>
    <w:p w14:paraId="2A17764A">
      <w:pPr>
        <w:pStyle w:val="31"/>
        <w:bidi w:val="0"/>
        <w:rPr>
          <w:rFonts w:hint="eastAsia"/>
          <w:lang w:val="en-US" w:eastAsia="zh-CN"/>
        </w:rPr>
      </w:pPr>
      <w:bookmarkStart w:id="50" w:name="_Toc28094"/>
      <w:r>
        <w:rPr>
          <w:rFonts w:hint="eastAsia"/>
          <w:lang w:val="en-US" w:eastAsia="zh-CN"/>
        </w:rPr>
        <w:t>备件库管理情况总结</w:t>
      </w:r>
      <w:bookmarkEnd w:id="50"/>
    </w:p>
    <w:p w14:paraId="1AC49154">
      <w:pPr>
        <w:pStyle w:val="29"/>
        <w:bidi w:val="0"/>
        <w:rPr>
          <w:rFonts w:hint="default"/>
          <w:lang w:val="en-US" w:eastAsia="zh-CN"/>
        </w:rPr>
      </w:pPr>
      <w:r>
        <w:t>2025年，公司持续加强备件库的规范化管理，将其作为保障运维服务连续性与响应效率的重要基础。通过完善库存管理制度、推行定期盘点机制及强化流程执行，各季度备件库盘点准确率均保持在95%以上，达到既定质量目标，有效支持了一线运维工作的顺利开展。</w:t>
      </w:r>
    </w:p>
    <w:p w14:paraId="4E124533">
      <w:pPr>
        <w:pStyle w:val="31"/>
        <w:bidi w:val="0"/>
        <w:rPr>
          <w:rFonts w:hint="eastAsia"/>
          <w:lang w:val="en-US" w:eastAsia="zh-CN"/>
        </w:rPr>
      </w:pPr>
      <w:bookmarkStart w:id="51" w:name="_Toc25364"/>
      <w:r>
        <w:rPr>
          <w:rFonts w:hint="eastAsia"/>
          <w:lang w:val="en-US" w:eastAsia="zh-CN"/>
        </w:rPr>
        <w:t>服务知识管理情况总结</w:t>
      </w:r>
      <w:bookmarkEnd w:id="51"/>
    </w:p>
    <w:p w14:paraId="1633782D">
      <w:pPr>
        <w:pStyle w:val="29"/>
        <w:bidi w:val="0"/>
      </w:pPr>
      <w:r>
        <w:t>2025年重点加强了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 w14:paraId="40429007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</w:p>
    <w:p w14:paraId="1D52351A">
      <w:pPr>
        <w:pStyle w:val="29"/>
        <w:numPr>
          <w:ilvl w:val="0"/>
          <w:numId w:val="7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，加强对知识库的管理工作；</w:t>
      </w:r>
    </w:p>
    <w:p w14:paraId="733574B7">
      <w:pPr>
        <w:pStyle w:val="29"/>
        <w:numPr>
          <w:ilvl w:val="0"/>
          <w:numId w:val="7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第一、二和三季度分别录入知识40条、38条和40条。</w:t>
      </w:r>
    </w:p>
    <w:p w14:paraId="5DA9D004">
      <w:pPr>
        <w:pStyle w:val="31"/>
        <w:bidi w:val="0"/>
        <w:rPr>
          <w:rFonts w:hint="eastAsia"/>
          <w:lang w:val="en-US" w:eastAsia="zh-CN"/>
        </w:rPr>
      </w:pPr>
      <w:bookmarkStart w:id="52" w:name="_Toc4354"/>
      <w:r>
        <w:rPr>
          <w:rFonts w:hint="eastAsia"/>
          <w:lang w:val="en-US" w:eastAsia="zh-CN"/>
        </w:rPr>
        <w:t>最终软件库管理情况总结</w:t>
      </w:r>
      <w:bookmarkEnd w:id="52"/>
    </w:p>
    <w:p w14:paraId="2AC6EC81">
      <w:pPr>
        <w:pStyle w:val="29"/>
        <w:bidi w:val="0"/>
      </w:pPr>
      <w:r>
        <w:t>2025年重点加强了最终软件库管理工作：</w:t>
      </w:r>
    </w:p>
    <w:p w14:paraId="5266C7B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率逐年提升，2025年设定的</w:t>
      </w:r>
      <w:r>
        <w:rPr>
          <w:rFonts w:hint="eastAsia"/>
          <w:lang w:val="en-US" w:eastAsia="zh-CN"/>
        </w:rPr>
        <w:t>软件入库合格率</w:t>
      </w:r>
      <w:r>
        <w:t>均为9</w:t>
      </w:r>
      <w:r>
        <w:rPr>
          <w:rFonts w:hint="eastAsia"/>
          <w:lang w:val="en-US" w:eastAsia="zh-CN"/>
        </w:rPr>
        <w:t>8</w:t>
      </w:r>
      <w:r>
        <w:t>%，经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第一、二和三季度软件入库合格率均为95%、97%、100%</w:t>
      </w:r>
      <w:r>
        <w:t>。</w:t>
      </w:r>
      <w:r>
        <w:rPr>
          <w:rFonts w:hint="eastAsia"/>
          <w:lang w:val="en-US" w:eastAsia="zh-CN"/>
        </w:rPr>
        <w:t>其中第一和二季度没有达到指标要求。</w:t>
      </w:r>
    </w:p>
    <w:p w14:paraId="7158D3FB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虽未能达到考核指标要求，但是仍然在一定程度上提高了提高了开发效率，根据需要需要组织研发部及相关人员学习最终软件库管理制度，争取达到考核目标值。</w:t>
      </w:r>
    </w:p>
    <w:p w14:paraId="089997C0">
      <w:pPr>
        <w:pStyle w:val="31"/>
        <w:bidi w:val="0"/>
        <w:rPr>
          <w:rFonts w:hint="default"/>
          <w:lang w:val="en-US" w:eastAsia="zh-CN"/>
        </w:rPr>
      </w:pPr>
      <w:bookmarkStart w:id="53" w:name="_Toc18203"/>
      <w:r>
        <w:rPr>
          <w:rFonts w:hint="eastAsia"/>
          <w:lang w:val="en-US" w:eastAsia="zh-CN"/>
        </w:rPr>
        <w:t>服务数据管理情况总结</w:t>
      </w:r>
      <w:bookmarkEnd w:id="53"/>
    </w:p>
    <w:p w14:paraId="67E41204">
      <w:pPr>
        <w:pStyle w:val="29"/>
        <w:bidi w:val="0"/>
      </w:pPr>
      <w:r>
        <w:t>2025年重点加强了服务数据管理工作：</w:t>
      </w:r>
    </w:p>
    <w:p w14:paraId="6288D91B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 w14:paraId="55162E2F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</w:p>
    <w:p w14:paraId="64FE2E90">
      <w:pPr>
        <w:numPr>
          <w:ilvl w:val="0"/>
          <w:numId w:val="8"/>
        </w:numPr>
        <w:spacing w:before="78" w:line="362" w:lineRule="auto"/>
        <w:ind w:left="425" w:leftChars="0" w:right="12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3"/>
          <w:sz w:val="24"/>
          <w:szCs w:val="24"/>
        </w:rPr>
        <w:t>2025年度运维服务能力管理指标体系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中要求服务数据的季度分析利用次数≥2次</w:t>
      </w:r>
      <w:r>
        <w:rPr>
          <w:rFonts w:ascii="宋体" w:hAnsi="宋体" w:eastAsia="宋体" w:cs="宋体"/>
          <w:spacing w:val="2"/>
          <w:sz w:val="24"/>
          <w:szCs w:val="24"/>
        </w:rPr>
        <w:t>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2025年第一、二和三季度服务数据分析利用次数分别为2次、3次、3次</w:t>
      </w:r>
      <w:r>
        <w:rPr>
          <w:rFonts w:ascii="宋体" w:hAnsi="宋体" w:eastAsia="宋体" w:cs="宋体"/>
          <w:spacing w:val="-4"/>
          <w:sz w:val="24"/>
          <w:szCs w:val="24"/>
        </w:rPr>
        <w:t>。目前公司服务数据管理情况良好，但仍有提升的空间。</w:t>
      </w:r>
    </w:p>
    <w:p w14:paraId="79AD6BDB">
      <w:pPr>
        <w:pStyle w:val="29"/>
        <w:rPr>
          <w:rFonts w:hint="eastAsia"/>
          <w:lang w:val="en-US" w:eastAsia="zh-CN"/>
        </w:rPr>
      </w:pPr>
    </w:p>
    <w:p w14:paraId="54D24FCD">
      <w:pPr>
        <w:pStyle w:val="28"/>
        <w:bidi w:val="0"/>
        <w:rPr>
          <w:rFonts w:hint="eastAsia"/>
          <w:lang w:val="en-US" w:eastAsia="zh-CN"/>
        </w:rPr>
      </w:pPr>
      <w:bookmarkStart w:id="54" w:name="_Toc26644"/>
      <w:r>
        <w:rPr>
          <w:rFonts w:hint="eastAsia"/>
          <w:lang w:val="en-US" w:eastAsia="zh-CN"/>
        </w:rPr>
        <w:t>技术管理总结</w:t>
      </w:r>
      <w:bookmarkEnd w:id="54"/>
    </w:p>
    <w:p w14:paraId="006142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5" w:name="heading_5"/>
      <w:bookmarkStart w:id="56" w:name="_Toc29325"/>
      <w:r>
        <w:t>物管平台-物联标识系统</w:t>
      </w:r>
      <w:bookmarkEnd w:id="55"/>
      <w:bookmarkEnd w:id="56"/>
    </w:p>
    <w:p w14:paraId="60FB69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6"/>
      <w:bookmarkStart w:id="58" w:name="_Toc9574"/>
      <w:r>
        <w:t>项目总体</w:t>
      </w:r>
      <w:bookmarkEnd w:id="57"/>
      <w:r>
        <w:rPr>
          <w:rFonts w:hint="eastAsia"/>
          <w:lang w:val="en-US" w:eastAsia="zh-CN"/>
        </w:rPr>
        <w:t>概况</w:t>
      </w:r>
      <w:bookmarkEnd w:id="58"/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7DC90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D132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03C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5C6D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175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FEE9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0E221B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3C820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A8C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B64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0B2208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16429F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34C863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65189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7C21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35C85D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1BC90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_Toc1725"/>
      <w:r>
        <w:t>整体计划推进表</w:t>
      </w:r>
      <w:bookmarkEnd w:id="5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5E9F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C967A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73322D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D113E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49D91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6E64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E52C7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1F1983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6DF289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531445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AE27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3B4BEF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410829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7102A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1DDE81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4672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E396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283706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1E38B4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517BDF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817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6CEAB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06C202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5BDD92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6E74D0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16DEA6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_Toc25344"/>
      <w:r>
        <w:t>整体功能介绍</w:t>
      </w:r>
      <w:bookmarkEnd w:id="60"/>
    </w:p>
    <w:p w14:paraId="5B68A707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如图1所示</w:t>
      </w:r>
    </w:p>
    <w:p w14:paraId="0D17588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3013710"/>
            <wp:effectExtent l="0" t="0" r="6350" b="381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25CC0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7BA4CDCF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2880" cy="3005455"/>
            <wp:effectExtent l="0" t="0" r="10160" b="1206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BF0E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_Toc17296"/>
      <w:r>
        <w:t>主要模块详情</w:t>
      </w:r>
      <w:bookmarkEnd w:id="61"/>
    </w:p>
    <w:p w14:paraId="25362550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01ED753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2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2880" cy="2638425"/>
            <wp:effectExtent l="0" t="0" r="10160" b="133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AFBA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4310" cy="2296160"/>
            <wp:effectExtent l="0" t="0" r="13970" b="508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398B8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7E234342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89B5A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97B9128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41E575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2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75E0AAC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1BCD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02C096E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49A7A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97F00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70CDFA6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962275"/>
            <wp:effectExtent l="0" t="0" r="1905" b="9525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A7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2" w:name="_Toc8006"/>
      <w:r>
        <w:t>产品功能与实现目标</w:t>
      </w:r>
      <w:bookmarkEnd w:id="62"/>
    </w:p>
    <w:p w14:paraId="03478E67">
      <w:pPr>
        <w:pStyle w:val="3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12AD01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2C855641">
      <w:pPr>
        <w:pStyle w:val="3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5A784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</w:p>
    <w:p w14:paraId="4DBF56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_Toc15265"/>
      <w:r>
        <w:t>隔离装置监控处置工具</w:t>
      </w:r>
      <w:bookmarkEnd w:id="63"/>
    </w:p>
    <w:p w14:paraId="198260A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4" w:name="_Toc8457"/>
      <w:r>
        <w:t>项目总体</w:t>
      </w:r>
      <w:r>
        <w:rPr>
          <w:rFonts w:hint="eastAsia"/>
          <w:lang w:val="en-US" w:eastAsia="zh-CN"/>
        </w:rPr>
        <w:t>概况</w:t>
      </w:r>
      <w:bookmarkEnd w:id="64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694F7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787E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F06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1043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77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DD86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483A1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B177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8EF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23DD3C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6AD3D3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1D6FCE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179CF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F2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D2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6E57C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FEC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385E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598C4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825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53C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6C9A0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6723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39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3F81A2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1742BC2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5" w:name="_Toc9880"/>
      <w:r>
        <w:t>整体功能介绍</w:t>
      </w:r>
      <w:bookmarkEnd w:id="65"/>
    </w:p>
    <w:p w14:paraId="3B9F12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5D0D8A6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_Toc1279"/>
      <w:r>
        <w:t>主要模块详情</w:t>
      </w:r>
      <w:bookmarkEnd w:id="66"/>
    </w:p>
    <w:p w14:paraId="3C1E53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520FD4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5E4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2F5B27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2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D28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23CEE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AD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5E9155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4F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4FC9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17"/>
      <w:bookmarkStart w:id="68" w:name="_Toc11071"/>
      <w:r>
        <w:t>产品功能与实现目标</w:t>
      </w:r>
      <w:bookmarkEnd w:id="67"/>
      <w:bookmarkEnd w:id="68"/>
    </w:p>
    <w:p w14:paraId="007C93D0">
      <w:pPr>
        <w:pStyle w:val="29"/>
        <w:bidi w:val="0"/>
      </w:pPr>
      <w:r>
        <w:t>产品功能：① 实现隔离装置代理数据库可用性探测；② 对探测失败的隔离装置代理进程自动重启；③ 记录并在监控页面展示探测失败日志；④ 支持短信及邮件告警功能，及时推送故障信息；⑤ 具备日志审计能力，确保所有操作可追溯。</w:t>
      </w:r>
    </w:p>
    <w:p w14:paraId="70A843C3">
      <w:pPr>
        <w:pStyle w:val="29"/>
        <w:bidi w:val="0"/>
      </w:pPr>
      <w:r>
        <w:t>实现目标：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4FF2A025">
      <w:pPr>
        <w:pStyle w:val="29"/>
        <w:bidi w:val="0"/>
      </w:pPr>
    </w:p>
    <w:p w14:paraId="0BDDA933">
      <w:pPr>
        <w:pStyle w:val="30"/>
        <w:bidi w:val="0"/>
        <w:rPr>
          <w:rFonts w:hint="default"/>
          <w:lang w:val="en-US" w:eastAsia="zh-CN"/>
        </w:rPr>
      </w:pPr>
      <w:bookmarkStart w:id="69" w:name="_Toc2068"/>
      <w:r>
        <w:rPr>
          <w:rFonts w:hint="eastAsia"/>
          <w:lang w:val="en-US" w:eastAsia="zh-CN"/>
        </w:rPr>
        <w:t>运维手册研发成果说明</w:t>
      </w:r>
      <w:bookmarkEnd w:id="6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 w14:paraId="5401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 w14:paraId="1FA6CB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A850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1C867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9DEE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2B8EB65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</w:tcPr>
          <w:p w14:paraId="2585B9B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60" w:type="dxa"/>
            <w:gridSpan w:val="2"/>
          </w:tcPr>
          <w:p w14:paraId="79535A0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43BB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C448F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</w:tcPr>
          <w:p w14:paraId="000ABB7A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0AB028E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635DF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10E85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</w:tcPr>
          <w:p w14:paraId="1448BD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258631D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6354C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FAB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B936D">
      <w:pPr>
        <w:pStyle w:val="29"/>
        <w:rPr>
          <w:rFonts w:hint="default"/>
          <w:lang w:val="en-US" w:eastAsia="zh-CN"/>
        </w:rPr>
      </w:pPr>
    </w:p>
    <w:p w14:paraId="7C74E982">
      <w:pPr>
        <w:pStyle w:val="30"/>
        <w:bidi w:val="0"/>
        <w:rPr>
          <w:rFonts w:hint="default"/>
          <w:lang w:val="en-US" w:eastAsia="zh-CN"/>
        </w:rPr>
      </w:pPr>
      <w:bookmarkStart w:id="70" w:name="_Toc1802"/>
      <w:r>
        <w:rPr>
          <w:rFonts w:hint="eastAsia"/>
          <w:lang w:val="en-US" w:eastAsia="zh-CN"/>
        </w:rPr>
        <w:t>研发投入情况</w:t>
      </w:r>
      <w:bookmarkEnd w:id="70"/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09F1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A3A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C60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AB3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8CD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3F8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51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405CB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647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1AF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C0F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EE8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C520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EA9F9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B78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1F6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2B9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3B5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66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B8340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41003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CE3C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1C8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A18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71BED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C5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95F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DB58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6219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19D6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8E6BA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C5C37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7832C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C455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A6B0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D6E2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9923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F846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1C05D6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8D53A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5AE133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DF9FE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58781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854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B8D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CDC1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4B7C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5EF8F5A7">
      <w:pPr>
        <w:pStyle w:val="30"/>
        <w:bidi w:val="0"/>
        <w:rPr>
          <w:rFonts w:hint="default"/>
          <w:lang w:val="en-US" w:eastAsia="zh-CN"/>
        </w:rPr>
      </w:pPr>
      <w:bookmarkStart w:id="71" w:name="_Toc32053"/>
      <w:bookmarkStart w:id="96" w:name="_GoBack"/>
      <w:bookmarkEnd w:id="96"/>
      <w:r>
        <w:rPr>
          <w:rFonts w:hint="eastAsia"/>
          <w:lang w:val="en-US" w:eastAsia="zh-CN"/>
        </w:rPr>
        <w:t>新技术研发</w:t>
      </w:r>
      <w:bookmarkEnd w:id="71"/>
    </w:p>
    <w:p w14:paraId="48A0F68C">
      <w:pPr>
        <w:pStyle w:val="29"/>
        <w:bidi w:val="0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2E14F7EC">
      <w:pPr>
        <w:pStyle w:val="29"/>
        <w:rPr>
          <w:rFonts w:hint="eastAsia"/>
          <w:lang w:val="en-US" w:eastAsia="zh-CN"/>
        </w:rPr>
      </w:pPr>
    </w:p>
    <w:p w14:paraId="30160AA6">
      <w:pPr>
        <w:pStyle w:val="28"/>
        <w:bidi w:val="0"/>
        <w:rPr>
          <w:rFonts w:hint="eastAsia"/>
          <w:lang w:val="en-US" w:eastAsia="zh-CN"/>
        </w:rPr>
      </w:pPr>
      <w:bookmarkStart w:id="72" w:name="_Toc26427"/>
      <w:r>
        <w:rPr>
          <w:rFonts w:hint="eastAsia"/>
          <w:lang w:val="en-US" w:eastAsia="zh-CN"/>
        </w:rPr>
        <w:t>过程管理总结</w:t>
      </w:r>
      <w:bookmarkEnd w:id="72"/>
    </w:p>
    <w:p w14:paraId="3CA13145">
      <w:pPr>
        <w:pStyle w:val="30"/>
        <w:bidi w:val="0"/>
        <w:rPr>
          <w:rFonts w:hint="eastAsia"/>
          <w:lang w:val="en-US" w:eastAsia="zh-CN"/>
        </w:rPr>
      </w:pPr>
      <w:bookmarkStart w:id="73" w:name="_Toc4741"/>
      <w:r>
        <w:rPr>
          <w:rFonts w:hint="eastAsia"/>
          <w:lang w:val="en-US" w:eastAsia="zh-CN"/>
        </w:rPr>
        <w:t>过程框架设计管理情况总结</w:t>
      </w:r>
      <w:bookmarkEnd w:id="73"/>
    </w:p>
    <w:p w14:paraId="0976C4CD">
      <w:pPr>
        <w:pStyle w:val="29"/>
        <w:bidi w:val="0"/>
      </w:pPr>
      <w:r>
        <w:rPr>
          <w:rFonts w:hint="eastAsia"/>
          <w:lang w:val="en-US" w:eastAsia="zh-CN"/>
        </w:rPr>
        <w:t>截止2025年月</w:t>
      </w:r>
      <w:r>
        <w:t>过程框架设计管理主要完成了以下工作：</w:t>
      </w:r>
    </w:p>
    <w:p w14:paraId="4BFA46F4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完成过程框架设计管理框架优化工作：根据调研结果，每季度对过程框架进行优化调整。所有项目过程框架设计与服务需求的匹配率均为≥85% 。</w:t>
      </w:r>
    </w:p>
    <w:p w14:paraId="3342A140">
      <w:pPr>
        <w:pStyle w:val="30"/>
        <w:bidi w:val="0"/>
        <w:rPr>
          <w:rFonts w:hint="eastAsia"/>
          <w:lang w:val="en-US" w:eastAsia="zh-CN"/>
        </w:rPr>
      </w:pPr>
      <w:bookmarkStart w:id="74" w:name="_Toc10182"/>
      <w:r>
        <w:rPr>
          <w:rFonts w:hint="eastAsia"/>
          <w:lang w:val="en-US" w:eastAsia="zh-CN"/>
        </w:rPr>
        <w:t>服务级别管理情况总结</w:t>
      </w:r>
      <w:bookmarkEnd w:id="74"/>
    </w:p>
    <w:p w14:paraId="6AFCF9F1">
      <w:pPr>
        <w:pStyle w:val="29"/>
        <w:bidi w:val="0"/>
      </w:pPr>
      <w:r>
        <w:rPr>
          <w:rFonts w:hint="eastAsia"/>
          <w:lang w:val="en-US" w:eastAsia="zh-CN"/>
        </w:rPr>
        <w:t>截止2025年10月</w:t>
      </w:r>
      <w:r>
        <w:t>服务级别管理主要完成了以下工作：</w:t>
      </w:r>
    </w:p>
    <w:p w14:paraId="537A1842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服务级别管理工作达标。所有项目的服务级别达成率均为100%。SLA达成情况按时监控率为100%，运维服务目录通过会签审批；</w:t>
      </w:r>
    </w:p>
    <w:p w14:paraId="6FC81143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服务级别协议的监测工作：各个项目在运维工作中，对涉及影响服务级别指标的事件进行每个月的跟踪并记录；</w:t>
      </w:r>
    </w:p>
    <w:p w14:paraId="5C404187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58F88744">
      <w:pPr>
        <w:pStyle w:val="30"/>
        <w:bidi w:val="0"/>
        <w:rPr>
          <w:rFonts w:hint="eastAsia"/>
          <w:lang w:val="en-US" w:eastAsia="zh-CN"/>
        </w:rPr>
      </w:pPr>
      <w:bookmarkStart w:id="75" w:name="_Toc26904"/>
      <w:r>
        <w:rPr>
          <w:rFonts w:hint="eastAsia"/>
          <w:lang w:val="en-US" w:eastAsia="zh-CN"/>
        </w:rPr>
        <w:t>服务报告管理情况总结</w:t>
      </w:r>
      <w:bookmarkEnd w:id="75"/>
    </w:p>
    <w:p w14:paraId="58459A0F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月，服务报告管理工作顺利完成，主要完成以下工作：</w:t>
      </w:r>
    </w:p>
    <w:p w14:paraId="6B3FC53C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服务报告管理工作全面达标，服务报告按时交付率</w:t>
      </w:r>
      <w:r>
        <w:rPr>
          <w:rFonts w:hint="eastAsia"/>
          <w:lang w:val="en-US" w:eastAsia="zh-CN"/>
        </w:rPr>
        <w:t>为100%</w:t>
      </w:r>
      <w:r>
        <w:rPr>
          <w:rFonts w:hint="default"/>
        </w:rPr>
        <w:t>；</w:t>
      </w:r>
    </w:p>
    <w:p w14:paraId="0E1C29DF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18A9481D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rPr>
          <w:rFonts w:hint="default"/>
        </w:rPr>
        <w:t>在当</w:t>
      </w:r>
      <w:r>
        <w:rPr>
          <w:rFonts w:hint="eastAsia"/>
          <w:lang w:val="en-US" w:eastAsia="zh-CN"/>
        </w:rPr>
        <w:t>季度</w:t>
      </w:r>
      <w:r>
        <w:rPr>
          <w:rFonts w:hint="default"/>
        </w:rPr>
        <w:t>服务报告中增设项目运行整体综述模块，对运维工作情况作出系统总结，重点归纳典型问题与风险，并对该月项目运行状态予以结论性评价。</w:t>
      </w:r>
    </w:p>
    <w:p w14:paraId="5E166169">
      <w:pPr>
        <w:pStyle w:val="30"/>
        <w:bidi w:val="0"/>
        <w:rPr>
          <w:rFonts w:hint="eastAsia"/>
          <w:lang w:val="en-US" w:eastAsia="zh-CN"/>
        </w:rPr>
      </w:pPr>
      <w:bookmarkStart w:id="76" w:name="_Toc3735"/>
      <w:r>
        <w:rPr>
          <w:rFonts w:hint="eastAsia"/>
          <w:lang w:val="en-US" w:eastAsia="zh-CN"/>
        </w:rPr>
        <w:t>事件管理情况总结</w:t>
      </w:r>
      <w:bookmarkEnd w:id="76"/>
    </w:p>
    <w:p w14:paraId="38960310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月，事件管理工作达成预期目标，具体完成情况如下：</w:t>
      </w:r>
    </w:p>
    <w:p w14:paraId="66FFD4A2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每月</w:t>
      </w:r>
      <w:r>
        <w:rPr>
          <w:rFonts w:hint="default"/>
        </w:rPr>
        <w:t>事件及时响应率≥95%，</w:t>
      </w:r>
      <w:r>
        <w:rPr>
          <w:rFonts w:hint="eastAsia"/>
          <w:lang w:val="en-US" w:eastAsia="zh-CN"/>
        </w:rPr>
        <w:t>超过KPI要求的90%；事件及时解决率</w:t>
      </w:r>
      <w:r>
        <w:rPr>
          <w:rFonts w:hint="default"/>
        </w:rPr>
        <w:t>≥95%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超过KPI要求的90%</w:t>
      </w:r>
      <w:r>
        <w:rPr>
          <w:rFonts w:hint="default"/>
        </w:rPr>
        <w:t>。</w:t>
      </w:r>
    </w:p>
    <w:p w14:paraId="3937AE27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 w14:paraId="4E91F6DE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 w14:paraId="3B1FE674">
      <w:pPr>
        <w:pStyle w:val="30"/>
        <w:bidi w:val="0"/>
        <w:rPr>
          <w:rFonts w:hint="eastAsia"/>
          <w:lang w:val="en-US" w:eastAsia="zh-CN"/>
        </w:rPr>
      </w:pPr>
      <w:bookmarkStart w:id="77" w:name="_Toc23463"/>
      <w:r>
        <w:rPr>
          <w:rFonts w:hint="eastAsia"/>
          <w:lang w:val="en-US" w:eastAsia="zh-CN"/>
        </w:rPr>
        <w:t>问题管理情况总结</w:t>
      </w:r>
      <w:bookmarkEnd w:id="77"/>
    </w:p>
    <w:p w14:paraId="0C4D752E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月，问题管理工作达成预期目标，具体完成情况如下：</w:t>
      </w:r>
    </w:p>
    <w:p w14:paraId="3A1CAA41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第一、二季度</w:t>
      </w:r>
      <w:r>
        <w:rPr>
          <w:rFonts w:hint="default"/>
        </w:rPr>
        <w:t>发生三次同类事件分析率≥90%，问题处理及时率达到100%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满足KPI要求的月度问题及时解决率</w:t>
      </w:r>
      <w:r>
        <w:rPr>
          <w:rFonts w:hint="default"/>
        </w:rPr>
        <w:t>≥90%</w:t>
      </w:r>
      <w:r>
        <w:rPr>
          <w:rFonts w:hint="eastAsia"/>
          <w:lang w:val="en-US" w:eastAsia="zh-CN"/>
        </w:rPr>
        <w:t>的指标</w:t>
      </w:r>
      <w:r>
        <w:rPr>
          <w:rFonts w:hint="default"/>
        </w:rPr>
        <w:t>。</w:t>
      </w:r>
    </w:p>
    <w:p w14:paraId="33317DB3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 w14:paraId="313E8F9D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 w14:paraId="5E8E044D">
      <w:pPr>
        <w:rPr>
          <w:rFonts w:hint="eastAsia"/>
          <w:lang w:val="en-US" w:eastAsia="zh-CN"/>
        </w:rPr>
      </w:pPr>
    </w:p>
    <w:p w14:paraId="731BF8DE">
      <w:pPr>
        <w:pStyle w:val="30"/>
        <w:bidi w:val="0"/>
        <w:rPr>
          <w:rFonts w:hint="eastAsia"/>
          <w:lang w:val="en-US" w:eastAsia="zh-CN"/>
        </w:rPr>
      </w:pPr>
      <w:bookmarkStart w:id="78" w:name="_Toc3579"/>
      <w:r>
        <w:rPr>
          <w:rFonts w:hint="eastAsia"/>
          <w:lang w:val="en-US" w:eastAsia="zh-CN"/>
        </w:rPr>
        <w:t>变更管理情况总结</w:t>
      </w:r>
      <w:bookmarkEnd w:id="78"/>
    </w:p>
    <w:p w14:paraId="749514A3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月，变更管理工作达成预期目标，具体完成情况如下：</w:t>
      </w:r>
    </w:p>
    <w:p w14:paraId="201F2331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第一季度没有进行变更，第二季度</w:t>
      </w:r>
      <w:r>
        <w:rPr>
          <w:rFonts w:hint="default"/>
        </w:rPr>
        <w:t>共执行变更4次，其中配置变更2次，应用系统变更2次，</w:t>
      </w:r>
      <w:r>
        <w:rPr>
          <w:rFonts w:hint="eastAsia"/>
          <w:lang w:val="en-US" w:eastAsia="zh-CN"/>
        </w:rPr>
        <w:t>均变更成功，变更成功率为100%</w:t>
      </w:r>
      <w:r>
        <w:rPr>
          <w:rFonts w:hint="default"/>
        </w:rPr>
        <w:t>。</w:t>
      </w:r>
      <w:r>
        <w:rPr>
          <w:rFonts w:hint="eastAsia"/>
          <w:lang w:val="en-US" w:eastAsia="zh-CN"/>
        </w:rPr>
        <w:t>第三季度变更3次，变更成功率为100%</w:t>
      </w:r>
    </w:p>
    <w:p w14:paraId="73D5B9BC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437A7BA5">
      <w:pPr>
        <w:pStyle w:val="30"/>
        <w:bidi w:val="0"/>
        <w:rPr>
          <w:rFonts w:hint="eastAsia"/>
          <w:lang w:val="en-US" w:eastAsia="zh-CN"/>
        </w:rPr>
      </w:pPr>
      <w:bookmarkStart w:id="79" w:name="_Toc29669"/>
      <w:r>
        <w:rPr>
          <w:rFonts w:hint="eastAsia"/>
          <w:lang w:val="en-US" w:eastAsia="zh-CN"/>
        </w:rPr>
        <w:t>发布管理情况总结</w:t>
      </w:r>
      <w:bookmarkEnd w:id="79"/>
    </w:p>
    <w:p w14:paraId="2B3717CE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10月</w:t>
      </w:r>
      <w:r>
        <w:rPr>
          <w:rFonts w:hint="default"/>
        </w:rPr>
        <w:t>发布管理工作达成预期目标，具体完成情况如下：</w:t>
      </w:r>
    </w:p>
    <w:p w14:paraId="5BEC8F0B">
      <w:pPr>
        <w:pStyle w:val="29"/>
        <w:bidi w:val="0"/>
        <w:rPr>
          <w:rFonts w:hint="default"/>
        </w:rPr>
      </w:pPr>
      <w:r>
        <w:rPr>
          <w:rFonts w:hint="eastAsia"/>
          <w:lang w:val="en-US" w:eastAsia="zh-CN"/>
        </w:rPr>
        <w:t>第一、二季度共</w:t>
      </w:r>
      <w:r>
        <w:rPr>
          <w:rFonts w:hint="default"/>
        </w:rPr>
        <w:t>实施4次软件版本升级发布，所有发布申请均通过审批并成功上线，发布成功率达100%，超过95%的指标体系要求，</w:t>
      </w:r>
      <w:r>
        <w:rPr>
          <w:rFonts w:hint="eastAsia"/>
          <w:lang w:val="en-US" w:eastAsia="zh-CN"/>
        </w:rPr>
        <w:t>随着系统上线第三季度进行了8次发布，均全部成功，发布成功率为100%。</w:t>
      </w:r>
      <w:r>
        <w:rPr>
          <w:rFonts w:hint="default"/>
        </w:rPr>
        <w:t>全面满足服务等级协议（SLA）相关标准。</w:t>
      </w:r>
    </w:p>
    <w:p w14:paraId="2B4FED6B">
      <w:pPr>
        <w:pStyle w:val="30"/>
        <w:bidi w:val="0"/>
        <w:rPr>
          <w:rFonts w:hint="eastAsia"/>
          <w:lang w:val="en-US" w:eastAsia="zh-CN"/>
        </w:rPr>
      </w:pPr>
      <w:bookmarkStart w:id="80" w:name="_Toc12072"/>
      <w:r>
        <w:rPr>
          <w:rFonts w:hint="eastAsia"/>
          <w:lang w:val="en-US" w:eastAsia="zh-CN"/>
        </w:rPr>
        <w:t>配置管理情况总结</w:t>
      </w:r>
      <w:bookmarkEnd w:id="80"/>
    </w:p>
    <w:p w14:paraId="1528FD5E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月，配置管理工作按计划推进并达成预期目标，具体完成情况如下：</w:t>
      </w:r>
    </w:p>
    <w:p w14:paraId="325A5790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公司持续完善配置管理制度体系，相关要求全面落实执行。组织开展了配置数据专项审计，统计结果显示：</w:t>
      </w:r>
      <w:r>
        <w:rPr>
          <w:rFonts w:hint="eastAsia"/>
          <w:lang w:val="en-US" w:eastAsia="zh-CN"/>
        </w:rPr>
        <w:t>近半年</w:t>
      </w:r>
      <w:r>
        <w:rPr>
          <w:rFonts w:hint="default"/>
        </w:rPr>
        <w:t>各项目</w:t>
      </w:r>
      <w:r>
        <w:rPr>
          <w:rFonts w:hint="eastAsia"/>
          <w:lang w:val="en-US" w:eastAsia="zh-CN"/>
        </w:rPr>
        <w:t>配置管理准确率</w:t>
      </w:r>
      <w:r>
        <w:rPr>
          <w:rFonts w:hint="default"/>
        </w:rPr>
        <w:t>不低于9</w:t>
      </w:r>
      <w:r>
        <w:rPr>
          <w:rFonts w:hint="eastAsia"/>
          <w:lang w:val="en-US" w:eastAsia="zh-CN"/>
        </w:rPr>
        <w:t>5</w:t>
      </w:r>
      <w:r>
        <w:rPr>
          <w:rFonts w:hint="default"/>
        </w:rPr>
        <w:t>%，各项指标均符合既定要求。</w:t>
      </w:r>
    </w:p>
    <w:p w14:paraId="43D7D129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 w14:paraId="564B2056">
      <w:pPr>
        <w:pStyle w:val="30"/>
        <w:bidi w:val="0"/>
        <w:rPr>
          <w:rFonts w:hint="eastAsia"/>
          <w:lang w:val="en-US" w:eastAsia="zh-CN"/>
        </w:rPr>
      </w:pPr>
      <w:bookmarkStart w:id="81" w:name="_Toc19278"/>
      <w:r>
        <w:rPr>
          <w:rFonts w:hint="eastAsia"/>
          <w:lang w:val="en-US" w:eastAsia="zh-CN"/>
        </w:rPr>
        <w:t>服务可用性和连续性管理情况总结</w:t>
      </w:r>
      <w:bookmarkEnd w:id="81"/>
    </w:p>
    <w:p w14:paraId="5CA906DA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月，服务可用性与连续性管理持续强化，主要工作成果如下：</w:t>
      </w:r>
    </w:p>
    <w:p w14:paraId="352C0C18">
      <w:pPr>
        <w:pStyle w:val="29"/>
        <w:bidi w:val="0"/>
        <w:rPr>
          <w:rFonts w:hint="default"/>
        </w:rPr>
      </w:pPr>
      <w:r>
        <w:rPr>
          <w:rFonts w:hint="default"/>
        </w:rPr>
        <w:t>系统监控体系进一步完善，系统可用率稳定在9</w:t>
      </w:r>
      <w:r>
        <w:rPr>
          <w:rFonts w:hint="eastAsia"/>
          <w:lang w:val="en-US" w:eastAsia="zh-CN"/>
        </w:rPr>
        <w:t>9</w:t>
      </w:r>
      <w:r>
        <w:rPr>
          <w:rFonts w:hint="default"/>
        </w:rPr>
        <w:t>%以上。平台故障反馈入口持续优化，确保用户能够快速、便捷地进行故障上报。7×24小时故障响应团队有效运转，保障了突发事件的及时响应与处置。</w:t>
      </w:r>
    </w:p>
    <w:p w14:paraId="3C76797F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通过使用监控工具，没有发生服务中断，系统运行稳定。</w:t>
      </w:r>
    </w:p>
    <w:p w14:paraId="6334B5F4">
      <w:pPr>
        <w:rPr>
          <w:rFonts w:hint="eastAsia"/>
          <w:lang w:val="en-US" w:eastAsia="zh-CN"/>
        </w:rPr>
      </w:pPr>
    </w:p>
    <w:p w14:paraId="0F853826">
      <w:pPr>
        <w:pStyle w:val="30"/>
        <w:bidi w:val="0"/>
        <w:rPr>
          <w:rFonts w:hint="eastAsia"/>
          <w:lang w:val="en-US" w:eastAsia="zh-CN"/>
        </w:rPr>
      </w:pPr>
      <w:bookmarkStart w:id="82" w:name="_Toc3647"/>
      <w:r>
        <w:rPr>
          <w:rFonts w:hint="eastAsia"/>
          <w:lang w:val="en-US" w:eastAsia="zh-CN"/>
        </w:rPr>
        <w:t>容量管理情况总结</w:t>
      </w:r>
      <w:bookmarkEnd w:id="82"/>
    </w:p>
    <w:p w14:paraId="35D29241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月，系统容量管理持续开展精细化运营，主要工作情况如下：</w:t>
      </w:r>
    </w:p>
    <w:p w14:paraId="3601E62F">
      <w:pPr>
        <w:pStyle w:val="29"/>
        <w:bidi w:val="0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持续对潜在容量风险进行监控与分析，完善事件预案及处置流程记录机制。按计划组织召开容量分析会议，总结阶段性经验并优化管理策略与流程。未发生因容量原因导致的事件。</w:t>
      </w:r>
    </w:p>
    <w:p w14:paraId="7BB9D7D1">
      <w:pPr>
        <w:pStyle w:val="30"/>
        <w:bidi w:val="0"/>
        <w:rPr>
          <w:rFonts w:hint="default"/>
          <w:lang w:val="en-US" w:eastAsia="zh-CN"/>
        </w:rPr>
      </w:pPr>
      <w:bookmarkStart w:id="83" w:name="_Toc15279"/>
      <w:r>
        <w:rPr>
          <w:rFonts w:hint="eastAsia"/>
          <w:lang w:val="en-US" w:eastAsia="zh-CN"/>
        </w:rPr>
        <w:t>信息安全管理总结</w:t>
      </w:r>
      <w:bookmarkEnd w:id="83"/>
    </w:p>
    <w:p w14:paraId="1011CAFC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月，信息安全管理工作有效推进，主要完成以下工作：</w:t>
      </w:r>
    </w:p>
    <w:p w14:paraId="4B6714A2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未发生客户信息泄露事件，未出现信息安全事故导致的客户投诉，各项指标符合运维服务能力管理要求；</w:t>
      </w:r>
    </w:p>
    <w:p w14:paraId="3E9C1060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75E73819">
      <w:pPr>
        <w:pStyle w:val="28"/>
        <w:bidi w:val="0"/>
        <w:rPr>
          <w:rFonts w:hint="eastAsia"/>
          <w:lang w:val="en-US" w:eastAsia="zh-CN"/>
        </w:rPr>
      </w:pPr>
      <w:bookmarkStart w:id="84" w:name="_Toc23366"/>
      <w:r>
        <w:rPr>
          <w:rFonts w:hint="eastAsia"/>
          <w:lang w:val="en-US" w:eastAsia="zh-CN"/>
        </w:rPr>
        <w:t>交付管理情况总结</w:t>
      </w:r>
      <w:bookmarkEnd w:id="84"/>
    </w:p>
    <w:p w14:paraId="08C8556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月，公司持续推进服务交付管理制度的优化与实施工作。依据既定交付管理制度及SLA要求，结合客户需求分析，制定了相应的交付方案并严格按方案执行，确保各项交付记录按时完成。统计显示，</w:t>
      </w:r>
      <w:r>
        <w:rPr>
          <w:rFonts w:hint="eastAsia"/>
          <w:lang w:val="en-US" w:eastAsia="zh-CN"/>
        </w:rPr>
        <w:t>所有项目的服务报告均按时提交，及时率达到100%，满足KPI</w:t>
      </w:r>
      <w:r>
        <w:t>要求。</w:t>
      </w:r>
    </w:p>
    <w:p w14:paraId="73E2CBEC">
      <w:pPr>
        <w:pStyle w:val="28"/>
        <w:bidi w:val="0"/>
        <w:rPr>
          <w:rFonts w:hint="eastAsia"/>
          <w:lang w:val="en-US" w:eastAsia="zh-CN"/>
        </w:rPr>
      </w:pPr>
      <w:bookmarkStart w:id="85" w:name="_Toc9403"/>
      <w:r>
        <w:rPr>
          <w:rFonts w:hint="eastAsia"/>
          <w:lang w:val="en-US" w:eastAsia="zh-CN"/>
        </w:rPr>
        <w:t>应急管理情况总结</w:t>
      </w:r>
      <w:bookmarkEnd w:id="85"/>
    </w:p>
    <w:p w14:paraId="33C2A874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》开展各项工作。有效落实应急响应机制，健全应急响应组织，优化应急预案内容，并针对各运维项目制定了相应的应急管理</w:t>
      </w:r>
      <w:r>
        <w:rPr>
          <w:rFonts w:hint="eastAsia"/>
          <w:lang w:val="en-US" w:eastAsia="zh-CN"/>
        </w:rPr>
        <w:t>制度</w:t>
      </w:r>
      <w:r>
        <w:t>。组织完成专项应急演练，应急预案覆盖率和及时响应率均达到既定目标要求。</w:t>
      </w:r>
      <w:r>
        <w:rPr>
          <w:rFonts w:hint="eastAsia"/>
          <w:lang w:val="en-US" w:eastAsia="zh-CN"/>
        </w:rPr>
        <w:t>满足每年至少进行1次应急演练的要求。</w:t>
      </w:r>
    </w:p>
    <w:p w14:paraId="59645A75">
      <w:pPr>
        <w:pStyle w:val="29"/>
        <w:rPr>
          <w:rFonts w:hint="eastAsia"/>
          <w:lang w:val="en-US" w:eastAsia="zh-CN"/>
        </w:rPr>
      </w:pPr>
    </w:p>
    <w:p w14:paraId="37936BC6">
      <w:pPr>
        <w:pStyle w:val="28"/>
        <w:bidi w:val="0"/>
        <w:rPr>
          <w:rFonts w:hint="default"/>
          <w:lang w:val="en-US" w:eastAsia="zh-CN"/>
        </w:rPr>
      </w:pPr>
      <w:bookmarkStart w:id="86" w:name="_Toc12255"/>
      <w:r>
        <w:rPr>
          <w:rFonts w:hint="eastAsia"/>
          <w:lang w:val="en-US" w:eastAsia="zh-CN"/>
        </w:rPr>
        <w:t>质量管理总结</w:t>
      </w:r>
      <w:bookmarkEnd w:id="86"/>
    </w:p>
    <w:p w14:paraId="6D0E0231">
      <w:pPr>
        <w:pStyle w:val="30"/>
        <w:bidi w:val="0"/>
        <w:rPr>
          <w:rFonts w:hint="eastAsia"/>
          <w:lang w:val="en-US" w:eastAsia="zh-CN"/>
        </w:rPr>
      </w:pPr>
      <w:bookmarkStart w:id="87" w:name="_Toc30559"/>
      <w:r>
        <w:rPr>
          <w:rFonts w:hint="eastAsia"/>
          <w:lang w:val="en-US" w:eastAsia="zh-CN"/>
        </w:rPr>
        <w:t>运维服务质量内部审核情况总结</w:t>
      </w:r>
      <w:bookmarkEnd w:id="87"/>
    </w:p>
    <w:p w14:paraId="435567F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在2025年10月进行了一次内部审核，发现了一个不符合项，为一般不符合，已经由相关人员进行改正，质量部进行确认。所有运维相关部门均参与内审，内审覆盖率为100%</w:t>
      </w:r>
    </w:p>
    <w:p w14:paraId="164CA7FA">
      <w:pPr>
        <w:pStyle w:val="30"/>
        <w:bidi w:val="0"/>
        <w:rPr>
          <w:rFonts w:hint="eastAsia"/>
          <w:lang w:val="en-US" w:eastAsia="zh-CN"/>
        </w:rPr>
      </w:pPr>
      <w:bookmarkStart w:id="88" w:name="_Toc18376"/>
      <w:r>
        <w:rPr>
          <w:rFonts w:hint="eastAsia"/>
          <w:lang w:val="en-US" w:eastAsia="zh-CN"/>
        </w:rPr>
        <w:t>运维服务质量管理评审情况总结</w:t>
      </w:r>
      <w:bookmarkEnd w:id="88"/>
    </w:p>
    <w:p w14:paraId="1D5ADDBC">
      <w:pPr>
        <w:pStyle w:val="29"/>
        <w:bidi w:val="0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全面的总结了公司运维能力体系的运行情况，肯定了2025年质量管理体系运行的适宜性、有效性。通过这次管理评审，总结了经验，将更有力的推动公司持续发展。</w:t>
      </w:r>
    </w:p>
    <w:p w14:paraId="45E5FF9C">
      <w:pPr>
        <w:pStyle w:val="30"/>
        <w:bidi w:val="0"/>
        <w:rPr>
          <w:rFonts w:hint="default"/>
          <w:lang w:val="en-US" w:eastAsia="zh-CN"/>
        </w:rPr>
      </w:pPr>
      <w:bookmarkStart w:id="89" w:name="_Toc31935"/>
      <w:r>
        <w:rPr>
          <w:rFonts w:hint="eastAsia"/>
          <w:lang w:val="en-US" w:eastAsia="zh-CN"/>
        </w:rPr>
        <w:t>客户满意度调查及分析情况总结</w:t>
      </w:r>
      <w:bookmarkEnd w:id="89"/>
    </w:p>
    <w:p w14:paraId="7988FCBC">
      <w:pPr>
        <w:pStyle w:val="29"/>
        <w:bidi w:val="0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运维服务业务总体的客户满意度平均分为</w:t>
      </w:r>
      <w:r>
        <w:rPr>
          <w:rFonts w:hint="eastAsia"/>
          <w:lang w:val="en-US" w:eastAsia="zh-CN"/>
        </w:rPr>
        <w:t>95</w:t>
      </w:r>
      <w:r>
        <w:t>分，通过调查分数以及客户提出的改进意见，质量</w:t>
      </w:r>
      <w:r>
        <w:rPr>
          <w:rFonts w:hint="eastAsia"/>
          <w:lang w:val="en-US" w:eastAsia="zh-CN"/>
        </w:rPr>
        <w:t>部</w:t>
      </w:r>
      <w:r>
        <w:t>发现运维服务过程中有提高的空间。</w:t>
      </w:r>
    </w:p>
    <w:p w14:paraId="61946D0F">
      <w:pPr>
        <w:pStyle w:val="30"/>
        <w:bidi w:val="0"/>
        <w:rPr>
          <w:rFonts w:hint="default"/>
          <w:lang w:val="en-US" w:eastAsia="zh-CN"/>
        </w:rPr>
      </w:pPr>
      <w:bookmarkStart w:id="90" w:name="_Toc23155"/>
      <w:r>
        <w:rPr>
          <w:rFonts w:hint="eastAsia"/>
          <w:lang w:val="en-US" w:eastAsia="zh-CN"/>
        </w:rPr>
        <w:t>SLA达成率情况分析</w:t>
      </w:r>
      <w:bookmarkEnd w:id="90"/>
    </w:p>
    <w:p w14:paraId="64CBCF56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据统计，所有项目的SLA达成率均为100%，满足年度SLA达成率大于等于95%的KPI要求。</w:t>
      </w:r>
    </w:p>
    <w:p w14:paraId="03C451E1">
      <w:pPr>
        <w:pStyle w:val="28"/>
        <w:bidi w:val="0"/>
        <w:rPr>
          <w:rFonts w:hint="eastAsia"/>
          <w:lang w:val="en-US" w:eastAsia="zh-CN"/>
        </w:rPr>
      </w:pPr>
      <w:bookmarkStart w:id="91" w:name="_Toc15866"/>
      <w:r>
        <w:rPr>
          <w:rFonts w:hint="eastAsia"/>
          <w:lang w:val="en-US" w:eastAsia="zh-CN"/>
        </w:rPr>
        <w:t>服务能力改进情况总结</w:t>
      </w:r>
      <w:bookmarkEnd w:id="91"/>
    </w:p>
    <w:p w14:paraId="150AA5F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 w14:paraId="1D8DE95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针对最终软件库不满足KPI指标情况及时进行培训，质量部加强监督</w:t>
      </w:r>
    </w:p>
    <w:p w14:paraId="5A1D611B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针对用户满意度调查中发现的问题：</w:t>
      </w:r>
    </w:p>
    <w:p w14:paraId="3DB0A851">
      <w:pPr>
        <w:pStyle w:val="39"/>
        <w:numPr>
          <w:ilvl w:val="0"/>
          <w:numId w:val="2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运维人员在定期巡检的服务互动性</w:t>
      </w:r>
      <w:r>
        <w:t>上有所欠缺</w:t>
      </w:r>
      <w:r>
        <w:rPr>
          <w:rFonts w:hint="eastAsia"/>
        </w:rPr>
        <w:t>；</w:t>
      </w:r>
    </w:p>
    <w:p w14:paraId="7C132003">
      <w:pPr>
        <w:pStyle w:val="39"/>
        <w:numPr>
          <w:ilvl w:val="0"/>
          <w:numId w:val="2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运维服务过程针对培训效果的评估有待改进。</w:t>
      </w:r>
    </w:p>
    <w:p w14:paraId="5B630676">
      <w:pPr>
        <w:pStyle w:val="39"/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采取以下措施：</w:t>
      </w:r>
    </w:p>
    <w:p w14:paraId="23651118">
      <w:pPr>
        <w:pStyle w:val="39"/>
        <w:numPr>
          <w:ilvl w:val="0"/>
          <w:numId w:val="2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加强对运维服务专业人员专业知识的培训，强化定期巡检意识；</w:t>
      </w:r>
    </w:p>
    <w:p w14:paraId="30E5E26C">
      <w:pPr>
        <w:pStyle w:val="39"/>
        <w:numPr>
          <w:ilvl w:val="0"/>
          <w:numId w:val="24"/>
        </w:numPr>
        <w:bidi w:val="0"/>
        <w:ind w:left="425" w:leftChars="0" w:hanging="425" w:firstLineChars="0"/>
      </w:pPr>
      <w:r>
        <w:rPr>
          <w:rFonts w:hint="eastAsia"/>
        </w:rPr>
        <w:t>针对运维服务过程发起的培训工作，加强培训效果评价工作。</w:t>
      </w:r>
    </w:p>
    <w:p w14:paraId="080019C7">
      <w:pPr>
        <w:pStyle w:val="39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1E97CC21">
      <w:pPr>
        <w:pStyle w:val="29"/>
        <w:rPr>
          <w:rFonts w:hint="default"/>
          <w:lang w:val="en-US" w:eastAsia="zh-CN"/>
        </w:rPr>
      </w:pPr>
    </w:p>
    <w:p w14:paraId="0D24DF4C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92" w:name="bookmark3"/>
      <w:bookmarkEnd w:id="92"/>
      <w:bookmarkStart w:id="93" w:name="_Toc17424"/>
      <w:bookmarkStart w:id="94" w:name="_Toc1584"/>
      <w:r>
        <w:rPr>
          <w:rStyle w:val="38"/>
          <w:rFonts w:hint="eastAsia" w:eastAsia="宋体"/>
          <w:lang w:val="en-US" w:eastAsia="zh-CN"/>
        </w:rPr>
        <w:t>附则</w:t>
      </w:r>
      <w:bookmarkEnd w:id="93"/>
      <w:bookmarkEnd w:id="94"/>
    </w:p>
    <w:p w14:paraId="482F9C2F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1"/>
          <w:sz w:val="24"/>
          <w:szCs w:val="24"/>
        </w:rPr>
        <w:t>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95" w:name="bookmark14"/>
      <w:bookmarkEnd w:id="95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648A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045D1CB"/>
    <w:multiLevelType w:val="singleLevel"/>
    <w:tmpl w:val="B045D1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C8D00BB"/>
    <w:multiLevelType w:val="singleLevel"/>
    <w:tmpl w:val="DC8D00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F2A17AD"/>
    <w:multiLevelType w:val="singleLevel"/>
    <w:tmpl w:val="EF2A17A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417E7D9"/>
    <w:multiLevelType w:val="singleLevel"/>
    <w:tmpl w:val="0417E7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2A58BF86"/>
    <w:multiLevelType w:val="singleLevel"/>
    <w:tmpl w:val="2A58BF8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5730328"/>
    <w:multiLevelType w:val="multilevel"/>
    <w:tmpl w:val="75730328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4200"/>
        </w:tabs>
        <w:ind w:left="4200" w:leftChars="0" w:hanging="420" w:firstLineChars="0"/>
      </w:pPr>
      <w:rPr>
        <w:rFonts w:hint="default"/>
      </w:rPr>
    </w:lvl>
  </w:abstractNum>
  <w:abstractNum w:abstractNumId="21">
    <w:nsid w:val="77E59E5B"/>
    <w:multiLevelType w:val="singleLevel"/>
    <w:tmpl w:val="77E59E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9"/>
  </w:num>
  <w:num w:numId="3">
    <w:abstractNumId w:val="5"/>
  </w:num>
  <w:num w:numId="4">
    <w:abstractNumId w:val="10"/>
  </w:num>
  <w:num w:numId="5">
    <w:abstractNumId w:val="20"/>
  </w:num>
  <w:num w:numId="6">
    <w:abstractNumId w:val="3"/>
  </w:num>
  <w:num w:numId="7">
    <w:abstractNumId w:val="15"/>
  </w:num>
  <w:num w:numId="8">
    <w:abstractNumId w:val="21"/>
  </w:num>
  <w:num w:numId="9">
    <w:abstractNumId w:val="16"/>
  </w:num>
  <w:num w:numId="10">
    <w:abstractNumId w:val="13"/>
  </w:num>
  <w:num w:numId="11">
    <w:abstractNumId w:val="0"/>
  </w:num>
  <w:num w:numId="12">
    <w:abstractNumId w:val="17"/>
  </w:num>
  <w:num w:numId="13">
    <w:abstractNumId w:val="12"/>
  </w:num>
  <w:num w:numId="14">
    <w:abstractNumId w:val="23"/>
  </w:num>
  <w:num w:numId="15">
    <w:abstractNumId w:val="7"/>
  </w:num>
  <w:num w:numId="16">
    <w:abstractNumId w:val="18"/>
  </w:num>
  <w:num w:numId="17">
    <w:abstractNumId w:val="22"/>
  </w:num>
  <w:num w:numId="18">
    <w:abstractNumId w:val="8"/>
  </w:num>
  <w:num w:numId="19">
    <w:abstractNumId w:val="6"/>
  </w:num>
  <w:num w:numId="20">
    <w:abstractNumId w:val="4"/>
  </w:num>
  <w:num w:numId="21">
    <w:abstractNumId w:val="19"/>
  </w:num>
  <w:num w:numId="22">
    <w:abstractNumId w:val="1"/>
  </w:num>
  <w:num w:numId="23">
    <w:abstractNumId w:val="11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0411DA"/>
    <w:rsid w:val="03174F3D"/>
    <w:rsid w:val="03982288"/>
    <w:rsid w:val="0400646D"/>
    <w:rsid w:val="042F62B6"/>
    <w:rsid w:val="045D2E23"/>
    <w:rsid w:val="05926700"/>
    <w:rsid w:val="06D22362"/>
    <w:rsid w:val="094620D8"/>
    <w:rsid w:val="09975029"/>
    <w:rsid w:val="0A472C2B"/>
    <w:rsid w:val="0B444D3D"/>
    <w:rsid w:val="0BDC4F75"/>
    <w:rsid w:val="0C49044A"/>
    <w:rsid w:val="0C923042"/>
    <w:rsid w:val="0D10369B"/>
    <w:rsid w:val="0D1D3A97"/>
    <w:rsid w:val="0DBD4932"/>
    <w:rsid w:val="0DC61A39"/>
    <w:rsid w:val="0E1A5921"/>
    <w:rsid w:val="0E981627"/>
    <w:rsid w:val="0ECA7307"/>
    <w:rsid w:val="0EDE7071"/>
    <w:rsid w:val="0FD348E1"/>
    <w:rsid w:val="10CD1330"/>
    <w:rsid w:val="1178129C"/>
    <w:rsid w:val="14290CF2"/>
    <w:rsid w:val="15082937"/>
    <w:rsid w:val="160E0421"/>
    <w:rsid w:val="162166D8"/>
    <w:rsid w:val="168D57EA"/>
    <w:rsid w:val="17185BC8"/>
    <w:rsid w:val="17934212"/>
    <w:rsid w:val="18AA29AC"/>
    <w:rsid w:val="1B4B17D0"/>
    <w:rsid w:val="1B5E59A7"/>
    <w:rsid w:val="1CCE26B8"/>
    <w:rsid w:val="1ED146E2"/>
    <w:rsid w:val="1ED42A3D"/>
    <w:rsid w:val="1FE1135B"/>
    <w:rsid w:val="20A16ADE"/>
    <w:rsid w:val="20DD55C0"/>
    <w:rsid w:val="20F14BC7"/>
    <w:rsid w:val="2107263D"/>
    <w:rsid w:val="21325E28"/>
    <w:rsid w:val="22A87507"/>
    <w:rsid w:val="23812232"/>
    <w:rsid w:val="24D27927"/>
    <w:rsid w:val="25616AB8"/>
    <w:rsid w:val="25C63990"/>
    <w:rsid w:val="25D95AFA"/>
    <w:rsid w:val="25DD2511"/>
    <w:rsid w:val="26103B90"/>
    <w:rsid w:val="266D41A5"/>
    <w:rsid w:val="26DD46B3"/>
    <w:rsid w:val="270E5B5D"/>
    <w:rsid w:val="27176BFB"/>
    <w:rsid w:val="27706658"/>
    <w:rsid w:val="27D330A9"/>
    <w:rsid w:val="27D80D31"/>
    <w:rsid w:val="28532AF1"/>
    <w:rsid w:val="28904F74"/>
    <w:rsid w:val="2A2B114A"/>
    <w:rsid w:val="2AFA06CB"/>
    <w:rsid w:val="2C0E75DC"/>
    <w:rsid w:val="2D7C4C3C"/>
    <w:rsid w:val="2F285C1D"/>
    <w:rsid w:val="302208F9"/>
    <w:rsid w:val="30696528"/>
    <w:rsid w:val="308568A9"/>
    <w:rsid w:val="31603DCF"/>
    <w:rsid w:val="32BF2D77"/>
    <w:rsid w:val="335262B8"/>
    <w:rsid w:val="356C0B3B"/>
    <w:rsid w:val="36246B30"/>
    <w:rsid w:val="366A124C"/>
    <w:rsid w:val="3730036A"/>
    <w:rsid w:val="3881072C"/>
    <w:rsid w:val="3A013C75"/>
    <w:rsid w:val="3B84690C"/>
    <w:rsid w:val="3BA42B0A"/>
    <w:rsid w:val="3BAF22F3"/>
    <w:rsid w:val="3DFA1107"/>
    <w:rsid w:val="3E594080"/>
    <w:rsid w:val="3E907376"/>
    <w:rsid w:val="3F662E30"/>
    <w:rsid w:val="3F93211E"/>
    <w:rsid w:val="3FAE21A9"/>
    <w:rsid w:val="40345F99"/>
    <w:rsid w:val="40A37834"/>
    <w:rsid w:val="40B76E3C"/>
    <w:rsid w:val="41067DC3"/>
    <w:rsid w:val="415E5294"/>
    <w:rsid w:val="437D2475"/>
    <w:rsid w:val="43803E5D"/>
    <w:rsid w:val="4488300E"/>
    <w:rsid w:val="45554E75"/>
    <w:rsid w:val="45A8769B"/>
    <w:rsid w:val="460D2BFC"/>
    <w:rsid w:val="46130FB8"/>
    <w:rsid w:val="483D056E"/>
    <w:rsid w:val="48684EBF"/>
    <w:rsid w:val="48A128FE"/>
    <w:rsid w:val="48DD0D8B"/>
    <w:rsid w:val="49211C3E"/>
    <w:rsid w:val="492B6619"/>
    <w:rsid w:val="49C25188"/>
    <w:rsid w:val="4AEA4061"/>
    <w:rsid w:val="4AF173EE"/>
    <w:rsid w:val="4BC66ACD"/>
    <w:rsid w:val="4BDC6B42"/>
    <w:rsid w:val="4CC90623"/>
    <w:rsid w:val="4CD61A19"/>
    <w:rsid w:val="4CE37624"/>
    <w:rsid w:val="4D614B72"/>
    <w:rsid w:val="4E3166BF"/>
    <w:rsid w:val="4E686795"/>
    <w:rsid w:val="4E717E50"/>
    <w:rsid w:val="4EAE5C1B"/>
    <w:rsid w:val="509B22D6"/>
    <w:rsid w:val="51B54AF0"/>
    <w:rsid w:val="54BF40B9"/>
    <w:rsid w:val="54D538DD"/>
    <w:rsid w:val="558C043F"/>
    <w:rsid w:val="569F41A2"/>
    <w:rsid w:val="571132F2"/>
    <w:rsid w:val="576265AF"/>
    <w:rsid w:val="57FD7811"/>
    <w:rsid w:val="58444517"/>
    <w:rsid w:val="5A553465"/>
    <w:rsid w:val="5AD92379"/>
    <w:rsid w:val="5B4B66A7"/>
    <w:rsid w:val="5BCC33E9"/>
    <w:rsid w:val="5E550ABC"/>
    <w:rsid w:val="5F457D51"/>
    <w:rsid w:val="60AB091A"/>
    <w:rsid w:val="625B3673"/>
    <w:rsid w:val="626E50AF"/>
    <w:rsid w:val="629923ED"/>
    <w:rsid w:val="630737FB"/>
    <w:rsid w:val="6397692D"/>
    <w:rsid w:val="67B04461"/>
    <w:rsid w:val="68EF0FB9"/>
    <w:rsid w:val="696F72BD"/>
    <w:rsid w:val="6BD44496"/>
    <w:rsid w:val="6C1C417A"/>
    <w:rsid w:val="6D716441"/>
    <w:rsid w:val="6E734044"/>
    <w:rsid w:val="6ECB1B80"/>
    <w:rsid w:val="6EEA56C8"/>
    <w:rsid w:val="6F437969"/>
    <w:rsid w:val="70C471E2"/>
    <w:rsid w:val="72855F71"/>
    <w:rsid w:val="73A10906"/>
    <w:rsid w:val="73A82490"/>
    <w:rsid w:val="74382034"/>
    <w:rsid w:val="753541F8"/>
    <w:rsid w:val="754522EE"/>
    <w:rsid w:val="76870A83"/>
    <w:rsid w:val="78202F3D"/>
    <w:rsid w:val="7A2575BC"/>
    <w:rsid w:val="7A4B1DC7"/>
    <w:rsid w:val="7BEE3352"/>
    <w:rsid w:val="7C55517F"/>
    <w:rsid w:val="7C8F68E3"/>
    <w:rsid w:val="7CB93960"/>
    <w:rsid w:val="7CEF2EF4"/>
    <w:rsid w:val="7DA43CC8"/>
    <w:rsid w:val="7DCB32A8"/>
    <w:rsid w:val="7DCC6ADE"/>
    <w:rsid w:val="7E980196"/>
    <w:rsid w:val="7EA511FF"/>
    <w:rsid w:val="7F0F7867"/>
    <w:rsid w:val="7F126040"/>
    <w:rsid w:val="7F4E5AD0"/>
    <w:rsid w:val="7FCE6423"/>
    <w:rsid w:val="7FEC1957"/>
    <w:rsid w:val="7FFD1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2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正文_无缩进 Char"/>
    <w:link w:val="39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6892</Words>
  <Characters>7621</Characters>
  <Lines>0</Lines>
  <Paragraphs>0</Paragraphs>
  <TotalTime>0</TotalTime>
  <ScaleCrop>false</ScaleCrop>
  <LinksUpToDate>false</LinksUpToDate>
  <CharactersWithSpaces>7807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2025-12-17T23:14:46Z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B37FE4BF1B7D48229AAEA75AF5C0A59B_13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