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9704D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bookmarkStart w:id="0" w:name="_Toc32419"/>
      <w:r>
        <w:rPr>
          <w:rFonts w:hint="eastAsia"/>
          <w:lang w:val="en-US" w:eastAsia="zh-CN"/>
        </w:rPr>
        <w:t>云南腾电科技有限公司</w:t>
      </w:r>
      <w:bookmarkEnd w:id="0"/>
    </w:p>
    <w:p w14:paraId="49BB6A81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bookmarkStart w:id="1" w:name="_Toc2344"/>
      <w:r>
        <w:rPr>
          <w:rFonts w:hint="eastAsia"/>
          <w:lang w:val="en-US" w:eastAsia="zh-CN"/>
        </w:rPr>
        <w:t>2025年运维工具应用情况说明</w:t>
      </w:r>
      <w:bookmarkEnd w:id="1"/>
    </w:p>
    <w:p w14:paraId="44992887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bookmarkStart w:id="2" w:name="_Toc22042"/>
      <w:r>
        <w:rPr>
          <w:rFonts w:hint="eastAsia"/>
          <w:lang w:val="en-US" w:eastAsia="zh-CN"/>
        </w:rPr>
        <w:t>（YNTD-ITSS-0809）</w:t>
      </w:r>
      <w:bookmarkEnd w:id="2"/>
    </w:p>
    <w:p w14:paraId="07DEF31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06B03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08B5CF2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谢广胜</w:t>
            </w:r>
          </w:p>
        </w:tc>
        <w:tc>
          <w:tcPr>
            <w:tcW w:w="4261" w:type="dxa"/>
          </w:tcPr>
          <w:p w14:paraId="39FA7DB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  <w:tr w14:paraId="4A624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044B37A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赵建中</w:t>
            </w:r>
          </w:p>
        </w:tc>
        <w:tc>
          <w:tcPr>
            <w:tcW w:w="4261" w:type="dxa"/>
            <w:shd w:val="clear" w:color="auto" w:fill="auto"/>
          </w:tcPr>
          <w:p w14:paraId="7C0A16A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  <w:tr w14:paraId="6FC95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629D833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陆涛</w:t>
            </w:r>
          </w:p>
        </w:tc>
        <w:tc>
          <w:tcPr>
            <w:tcW w:w="4261" w:type="dxa"/>
          </w:tcPr>
          <w:p w14:paraId="656B22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</w:tbl>
    <w:p w14:paraId="46327F7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342B97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8" w:line="220" w:lineRule="auto"/>
        <w:ind w:left="3195"/>
        <w:textAlignment w:val="baseline"/>
        <w:outlineLvl w:val="0"/>
        <w:rPr>
          <w:rFonts w:ascii="宋体" w:hAnsi="宋体" w:eastAsia="宋体" w:cs="宋体"/>
          <w:sz w:val="30"/>
          <w:szCs w:val="30"/>
        </w:rPr>
      </w:pPr>
      <w:bookmarkStart w:id="3" w:name="_Toc3317"/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  <w:bookmarkEnd w:id="3"/>
    </w:p>
    <w:tbl>
      <w:tblPr>
        <w:tblStyle w:val="42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482"/>
        <w:gridCol w:w="1172"/>
      </w:tblGrid>
      <w:tr w14:paraId="3FD110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171B86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 w14:paraId="7C1D57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19" w:lineRule="auto"/>
              <w:ind w:left="172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C3187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52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0CDCE20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19" w:lineRule="auto"/>
              <w:ind w:left="92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499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D044F3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91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172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5968676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 w14:paraId="1036D60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21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6AD171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7739B0B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0640307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19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0644A74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3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799EE85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244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0A0944D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8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338ED4D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1" w:lineRule="auto"/>
              <w:ind w:left="26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482" w:type="dxa"/>
            <w:shd w:val="clear" w:color="auto" w:fill="D9D9D9"/>
          </w:tcPr>
          <w:p w14:paraId="2D6F74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4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172" w:type="dxa"/>
            <w:vMerge w:val="continue"/>
            <w:tcBorders>
              <w:top w:val="nil"/>
              <w:right w:val="single" w:color="000000" w:sz="10" w:space="0"/>
            </w:tcBorders>
          </w:tcPr>
          <w:p w14:paraId="0D1CE5F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 w14:paraId="710E34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C883D7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95"/>
              <w:textAlignment w:val="baseline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7FB962C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25"/>
              <w:textAlignment w:val="baseline"/>
            </w:pPr>
            <w:r>
              <w:rPr>
                <w:spacing w:val="-4"/>
              </w:rPr>
              <w:t>谢广胜</w:t>
            </w:r>
          </w:p>
        </w:tc>
        <w:tc>
          <w:tcPr>
            <w:tcW w:w="1274" w:type="dxa"/>
          </w:tcPr>
          <w:p w14:paraId="0B391C7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04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spacing w:val="-1"/>
              </w:rPr>
              <w:t>2025.1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30</w:t>
            </w:r>
          </w:p>
        </w:tc>
        <w:tc>
          <w:tcPr>
            <w:tcW w:w="957" w:type="dxa"/>
          </w:tcPr>
          <w:p w14:paraId="0806E2D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68"/>
              <w:textAlignment w:val="baseline"/>
            </w:pPr>
            <w:r>
              <w:rPr>
                <w:spacing w:val="-4"/>
              </w:rPr>
              <w:t>赵建中</w:t>
            </w:r>
          </w:p>
        </w:tc>
        <w:tc>
          <w:tcPr>
            <w:tcW w:w="1377" w:type="dxa"/>
          </w:tcPr>
          <w:p w14:paraId="0320F66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61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spacing w:val="-1"/>
              </w:rPr>
              <w:t>2025.1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30</w:t>
            </w:r>
          </w:p>
        </w:tc>
        <w:tc>
          <w:tcPr>
            <w:tcW w:w="1017" w:type="dxa"/>
          </w:tcPr>
          <w:p w14:paraId="7B95F9C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20" w:lineRule="auto"/>
              <w:ind w:left="202"/>
              <w:textAlignment w:val="baseline"/>
            </w:pPr>
            <w:r>
              <w:rPr>
                <w:spacing w:val="-3"/>
              </w:rPr>
              <w:t>陆涛</w:t>
            </w:r>
          </w:p>
        </w:tc>
        <w:tc>
          <w:tcPr>
            <w:tcW w:w="1482" w:type="dxa"/>
          </w:tcPr>
          <w:p w14:paraId="76E7ED7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220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spacing w:val="-1"/>
              </w:rPr>
              <w:t>2025.1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30</w:t>
            </w:r>
          </w:p>
        </w:tc>
        <w:tc>
          <w:tcPr>
            <w:tcW w:w="1172" w:type="dxa"/>
            <w:tcBorders>
              <w:right w:val="single" w:color="000000" w:sz="10" w:space="0"/>
            </w:tcBorders>
          </w:tcPr>
          <w:p w14:paraId="1A5ABD8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7" w:lineRule="auto"/>
              <w:ind w:left="341"/>
              <w:textAlignment w:val="baseline"/>
            </w:pPr>
            <w:r>
              <w:rPr>
                <w:spacing w:val="-5"/>
              </w:rPr>
              <w:t>首次发布</w:t>
            </w:r>
          </w:p>
        </w:tc>
      </w:tr>
      <w:tr w14:paraId="74A769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DAB5E6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195"/>
              <w:textAlignment w:val="baseline"/>
            </w:pPr>
          </w:p>
        </w:tc>
        <w:tc>
          <w:tcPr>
            <w:tcW w:w="881" w:type="dxa"/>
          </w:tcPr>
          <w:p w14:paraId="304E0B0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25"/>
              <w:textAlignment w:val="baseline"/>
            </w:pPr>
          </w:p>
        </w:tc>
        <w:tc>
          <w:tcPr>
            <w:tcW w:w="1274" w:type="dxa"/>
          </w:tcPr>
          <w:p w14:paraId="66497D4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10"/>
              <w:textAlignment w:val="baseline"/>
            </w:pPr>
          </w:p>
        </w:tc>
        <w:tc>
          <w:tcPr>
            <w:tcW w:w="957" w:type="dxa"/>
          </w:tcPr>
          <w:p w14:paraId="1FE3C12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68"/>
              <w:textAlignment w:val="baseline"/>
            </w:pPr>
          </w:p>
        </w:tc>
        <w:tc>
          <w:tcPr>
            <w:tcW w:w="1377" w:type="dxa"/>
          </w:tcPr>
          <w:p w14:paraId="012EE64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67"/>
              <w:textAlignment w:val="baseline"/>
            </w:pPr>
          </w:p>
        </w:tc>
        <w:tc>
          <w:tcPr>
            <w:tcW w:w="1017" w:type="dxa"/>
          </w:tcPr>
          <w:p w14:paraId="75BDB48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20" w:lineRule="auto"/>
              <w:ind w:left="202"/>
              <w:textAlignment w:val="baseline"/>
            </w:pPr>
          </w:p>
        </w:tc>
        <w:tc>
          <w:tcPr>
            <w:tcW w:w="1482" w:type="dxa"/>
          </w:tcPr>
          <w:p w14:paraId="7A74C2F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20"/>
              <w:textAlignment w:val="baseline"/>
            </w:pPr>
          </w:p>
        </w:tc>
        <w:tc>
          <w:tcPr>
            <w:tcW w:w="1172" w:type="dxa"/>
            <w:tcBorders>
              <w:right w:val="single" w:color="000000" w:sz="10" w:space="0"/>
            </w:tcBorders>
          </w:tcPr>
          <w:p w14:paraId="120E8B7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436"/>
              <w:textAlignment w:val="baseline"/>
            </w:pPr>
          </w:p>
        </w:tc>
      </w:tr>
      <w:tr w14:paraId="7CAEAE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5787F63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195"/>
              <w:textAlignment w:val="baseline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2BD6936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125"/>
              <w:textAlignment w:val="baseline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519DD42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10"/>
              <w:textAlignment w:val="baseline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264D482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8" w:lineRule="auto"/>
              <w:ind w:left="164"/>
              <w:textAlignment w:val="baseline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324414F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67"/>
              <w:textAlignment w:val="baseline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0FD934D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202"/>
              <w:textAlignment w:val="baseline"/>
            </w:pPr>
          </w:p>
        </w:tc>
        <w:tc>
          <w:tcPr>
            <w:tcW w:w="1482" w:type="dxa"/>
            <w:tcBorders>
              <w:bottom w:val="single" w:color="000000" w:sz="10" w:space="0"/>
            </w:tcBorders>
          </w:tcPr>
          <w:p w14:paraId="225C678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20"/>
              <w:textAlignment w:val="baseline"/>
            </w:pPr>
          </w:p>
        </w:tc>
        <w:tc>
          <w:tcPr>
            <w:tcW w:w="1172" w:type="dxa"/>
            <w:tcBorders>
              <w:bottom w:val="single" w:color="000000" w:sz="10" w:space="0"/>
              <w:right w:val="single" w:color="000000" w:sz="10" w:space="0"/>
            </w:tcBorders>
          </w:tcPr>
          <w:p w14:paraId="3E77818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436"/>
              <w:textAlignment w:val="baseline"/>
            </w:pPr>
          </w:p>
        </w:tc>
      </w:tr>
    </w:tbl>
    <w:p w14:paraId="6C9B832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6055"/>
        <w15:color w:val="DBDBDB"/>
        <w:docPartObj>
          <w:docPartGallery w:val="Table of Contents"/>
          <w:docPartUnique/>
        </w:docPartObj>
      </w:sdtPr>
      <w:sdtContent>
        <w:p w14:paraId="7D0F4C46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bookmarkStart w:id="4" w:name="_Toc4505"/>
          <w:r>
            <w:rPr>
              <w:rFonts w:ascii="宋体" w:hAnsi="宋体" w:eastAsia="宋体"/>
              <w:sz w:val="21"/>
            </w:rPr>
            <w:t>目录</w:t>
          </w:r>
        </w:p>
        <w:p w14:paraId="782878C7">
          <w:pPr>
            <w:pStyle w:val="16"/>
            <w:tabs>
              <w:tab w:val="right" w:leader="dot" w:pos="8306"/>
            </w:tabs>
          </w:pPr>
          <w:bookmarkStart w:id="34" w:name="_GoBack"/>
          <w:bookmarkEnd w:id="34"/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_Toc32419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云南腾电科技有限公司</w:t>
          </w:r>
          <w:r>
            <w:tab/>
          </w:r>
          <w:r>
            <w:fldChar w:fldCharType="begin"/>
          </w:r>
          <w:r>
            <w:instrText xml:space="preserve"> PAGEREF _Toc32419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F3AB822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_Toc2344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2025年运维工具应用情况说明</w:t>
          </w:r>
          <w:r>
            <w:tab/>
          </w:r>
          <w:r>
            <w:fldChar w:fldCharType="begin"/>
          </w:r>
          <w:r>
            <w:instrText xml:space="preserve"> PAGEREF _Toc2344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6605608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_Toc22042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（YNTD-ITSS-0809）</w:t>
          </w:r>
          <w:r>
            <w:tab/>
          </w:r>
          <w:r>
            <w:fldChar w:fldCharType="begin"/>
          </w:r>
          <w:r>
            <w:instrText xml:space="preserve"> PAGEREF _Toc22042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79DBFBE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_Toc3317 </w:instrText>
          </w:r>
          <w:r>
            <w:fldChar w:fldCharType="separate"/>
          </w:r>
          <w:r>
            <w:rPr>
              <w:rFonts w:ascii="宋体" w:hAnsi="宋体" w:eastAsia="宋体" w:cs="宋体"/>
              <w:bCs/>
              <w:spacing w:val="-4"/>
              <w:szCs w:val="30"/>
            </w:rPr>
            <w:t>文件编制和变更履历</w:t>
          </w:r>
          <w:r>
            <w:tab/>
          </w:r>
          <w:r>
            <w:fldChar w:fldCharType="begin"/>
          </w:r>
          <w:r>
            <w:instrText xml:space="preserve"> PAGEREF _Toc3317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1E489592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_Toc9660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运维工具应用情况</w:t>
          </w:r>
          <w:r>
            <w:tab/>
          </w:r>
          <w:r>
            <w:fldChar w:fldCharType="begin"/>
          </w:r>
          <w:r>
            <w:instrText xml:space="preserve"> PAGEREF _Toc9660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85FE186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_Toc8208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过程管理工具+性能监控工具</w:t>
          </w:r>
          <w:r>
            <w:tab/>
          </w:r>
          <w:r>
            <w:fldChar w:fldCharType="begin"/>
          </w:r>
          <w:r>
            <w:instrText xml:space="preserve"> PAGEREF _Toc8208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DEC1AF6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_Toc11527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1.1.1. </w:t>
          </w:r>
          <w:r>
            <w:rPr>
              <w:rFonts w:hint="eastAsia"/>
              <w:lang w:val="en-US" w:eastAsia="zh-CN"/>
            </w:rPr>
            <w:t>名称</w:t>
          </w:r>
          <w:r>
            <w:tab/>
          </w:r>
          <w:r>
            <w:fldChar w:fldCharType="begin"/>
          </w:r>
          <w:r>
            <w:instrText xml:space="preserve"> PAGEREF _Toc11527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F7871FA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_Toc29818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1.1.2. </w:t>
          </w:r>
          <w:r>
            <w:rPr>
              <w:rFonts w:hint="eastAsia"/>
              <w:lang w:val="en-US" w:eastAsia="zh-CN"/>
            </w:rPr>
            <w:t>来源</w:t>
          </w:r>
          <w:r>
            <w:tab/>
          </w:r>
          <w:r>
            <w:fldChar w:fldCharType="begin"/>
          </w:r>
          <w:r>
            <w:instrText xml:space="preserve"> PAGEREF _Toc29818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552B16C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_Toc27788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1.1.3. </w:t>
          </w:r>
          <w:r>
            <w:rPr>
              <w:rFonts w:hint="eastAsia"/>
              <w:lang w:val="en-US" w:eastAsia="zh-CN"/>
            </w:rPr>
            <w:t>软件特色</w:t>
          </w:r>
          <w:r>
            <w:tab/>
          </w:r>
          <w:r>
            <w:fldChar w:fldCharType="begin"/>
          </w:r>
          <w:r>
            <w:instrText xml:space="preserve"> PAGEREF _Toc27788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6F730F3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_Toc3274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1.1.4. </w:t>
          </w:r>
          <w:r>
            <w:rPr>
              <w:rFonts w:hint="eastAsia"/>
              <w:lang w:val="en-US" w:eastAsia="zh-CN"/>
            </w:rPr>
            <w:t>应用情况说明</w:t>
          </w:r>
          <w:r>
            <w:tab/>
          </w:r>
          <w:r>
            <w:fldChar w:fldCharType="begin"/>
          </w:r>
          <w:r>
            <w:instrText xml:space="preserve"> PAGEREF _Toc3274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73D8997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_Toc30627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1.1.5. </w:t>
          </w:r>
          <w:r>
            <w:rPr>
              <w:rFonts w:hint="eastAsia"/>
              <w:lang w:val="en-US" w:eastAsia="zh-CN"/>
            </w:rPr>
            <w:t>主要功能</w:t>
          </w:r>
          <w:r>
            <w:tab/>
          </w:r>
          <w:r>
            <w:fldChar w:fldCharType="begin"/>
          </w:r>
          <w:r>
            <w:instrText xml:space="preserve"> PAGEREF _Toc30627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75C8E18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_Toc26000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监控工具</w:t>
          </w:r>
          <w:r>
            <w:tab/>
          </w:r>
          <w:r>
            <w:fldChar w:fldCharType="begin"/>
          </w:r>
          <w:r>
            <w:instrText xml:space="preserve"> PAGEREF _Toc26000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0D76C66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_Toc7376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1.2.1. </w:t>
          </w:r>
          <w:r>
            <w:rPr>
              <w:rFonts w:hint="eastAsia"/>
              <w:lang w:val="en-US" w:eastAsia="zh-CN"/>
            </w:rPr>
            <w:t>名称</w:t>
          </w:r>
          <w:r>
            <w:tab/>
          </w:r>
          <w:r>
            <w:fldChar w:fldCharType="begin"/>
          </w:r>
          <w:r>
            <w:instrText xml:space="preserve"> PAGEREF _Toc7376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F04B212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_Toc3754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1.2.2. </w:t>
          </w:r>
          <w:r>
            <w:rPr>
              <w:rFonts w:hint="eastAsia"/>
              <w:lang w:val="en-US" w:eastAsia="zh-CN"/>
            </w:rPr>
            <w:t>来源</w:t>
          </w:r>
          <w:r>
            <w:tab/>
          </w:r>
          <w:r>
            <w:fldChar w:fldCharType="begin"/>
          </w:r>
          <w:r>
            <w:instrText xml:space="preserve"> PAGEREF _Toc3754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3264CA0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_Toc25146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1.2.3. </w:t>
          </w:r>
          <w:r>
            <w:rPr>
              <w:rFonts w:hint="eastAsia"/>
              <w:lang w:val="en-US" w:eastAsia="zh-CN"/>
            </w:rPr>
            <w:t>软件特色</w:t>
          </w:r>
          <w:r>
            <w:tab/>
          </w:r>
          <w:r>
            <w:fldChar w:fldCharType="begin"/>
          </w:r>
          <w:r>
            <w:instrText xml:space="preserve"> PAGEREF _Toc25146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57375FA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_Toc23648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1.2.4. </w:t>
          </w:r>
          <w:r>
            <w:rPr>
              <w:rFonts w:hint="eastAsia"/>
              <w:lang w:val="en-US" w:eastAsia="zh-CN"/>
            </w:rPr>
            <w:t>应用情况说明</w:t>
          </w:r>
          <w:r>
            <w:tab/>
          </w:r>
          <w:r>
            <w:fldChar w:fldCharType="begin"/>
          </w:r>
          <w:r>
            <w:instrText xml:space="preserve"> PAGEREF _Toc23648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814F4AA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_Toc32478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1.2.5. </w:t>
          </w:r>
          <w:r>
            <w:rPr>
              <w:rFonts w:hint="eastAsia"/>
              <w:lang w:val="en-US" w:eastAsia="zh-CN"/>
            </w:rPr>
            <w:t>主要功能</w:t>
          </w:r>
          <w:r>
            <w:tab/>
          </w:r>
          <w:r>
            <w:fldChar w:fldCharType="begin"/>
          </w:r>
          <w:r>
            <w:instrText xml:space="preserve"> PAGEREF _Toc32478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48CFF050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_Toc22083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指标完成情况</w:t>
          </w:r>
          <w:r>
            <w:tab/>
          </w:r>
          <w:r>
            <w:fldChar w:fldCharType="begin"/>
          </w:r>
          <w:r>
            <w:instrText xml:space="preserve"> PAGEREF _Toc22083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399D2A98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_Toc32363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运维工具改进</w:t>
          </w:r>
          <w:r>
            <w:tab/>
          </w:r>
          <w:r>
            <w:fldChar w:fldCharType="begin"/>
          </w:r>
          <w:r>
            <w:instrText xml:space="preserve"> PAGEREF _Toc32363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3105DAAE">
          <w:r>
            <w:fldChar w:fldCharType="end"/>
          </w:r>
        </w:p>
      </w:sdtContent>
    </w:sdt>
    <w:p w14:paraId="60AB1D51"/>
    <w:p w14:paraId="597C978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574AFA9B">
      <w:pPr>
        <w:pStyle w:val="28"/>
        <w:bidi w:val="0"/>
        <w:rPr>
          <w:rFonts w:hint="default"/>
          <w:lang w:val="en-US" w:eastAsia="zh-CN"/>
        </w:rPr>
      </w:pPr>
      <w:bookmarkStart w:id="5" w:name="_Toc9660"/>
      <w:r>
        <w:rPr>
          <w:rFonts w:hint="eastAsia"/>
          <w:lang w:val="en-US" w:eastAsia="zh-CN"/>
        </w:rPr>
        <w:t>运维工具应用情况</w:t>
      </w:r>
      <w:bookmarkEnd w:id="4"/>
      <w:bookmarkEnd w:id="5"/>
    </w:p>
    <w:p w14:paraId="72DB1046">
      <w:pPr>
        <w:pStyle w:val="30"/>
        <w:bidi w:val="0"/>
        <w:rPr>
          <w:rFonts w:hint="eastAsia"/>
          <w:lang w:val="en-US" w:eastAsia="zh-CN"/>
        </w:rPr>
      </w:pPr>
      <w:bookmarkStart w:id="6" w:name="_Toc8165"/>
      <w:bookmarkStart w:id="7" w:name="_Toc8208"/>
      <w:r>
        <w:rPr>
          <w:rFonts w:hint="eastAsia"/>
          <w:lang w:val="en-US" w:eastAsia="zh-CN"/>
        </w:rPr>
        <w:t>过程管理工具</w:t>
      </w:r>
      <w:bookmarkEnd w:id="6"/>
      <w:r>
        <w:rPr>
          <w:rFonts w:hint="eastAsia"/>
          <w:lang w:val="en-US" w:eastAsia="zh-CN"/>
        </w:rPr>
        <w:t>+性能监控工具</w:t>
      </w:r>
      <w:bookmarkEnd w:id="7"/>
    </w:p>
    <w:p w14:paraId="4588D575">
      <w:pPr>
        <w:pStyle w:val="31"/>
        <w:bidi w:val="0"/>
        <w:rPr>
          <w:rFonts w:hint="default"/>
          <w:lang w:val="en-US" w:eastAsia="zh-CN"/>
        </w:rPr>
      </w:pPr>
      <w:bookmarkStart w:id="8" w:name="_Toc28958"/>
      <w:bookmarkStart w:id="9" w:name="_Toc11527"/>
      <w:r>
        <w:rPr>
          <w:rFonts w:hint="eastAsia"/>
          <w:lang w:val="en-US" w:eastAsia="zh-CN"/>
        </w:rPr>
        <w:t>名称</w:t>
      </w:r>
      <w:bookmarkEnd w:id="8"/>
      <w:bookmarkEnd w:id="9"/>
    </w:p>
    <w:p w14:paraId="175835E9">
      <w:pPr>
        <w:pStyle w:val="39"/>
        <w:bidi w:val="0"/>
        <w:rPr>
          <w:rFonts w:hint="default"/>
          <w:lang w:val="en-US" w:eastAsia="zh-CN"/>
        </w:rPr>
      </w:pPr>
      <w:r>
        <w:t>智能一体化运维支撑平台 SG-I6000</w:t>
      </w:r>
    </w:p>
    <w:p w14:paraId="5BD8C2FB">
      <w:pPr>
        <w:pStyle w:val="31"/>
        <w:bidi w:val="0"/>
        <w:rPr>
          <w:rFonts w:hint="default"/>
          <w:lang w:val="en-US" w:eastAsia="zh-CN"/>
        </w:rPr>
      </w:pPr>
      <w:bookmarkStart w:id="10" w:name="_Toc29703"/>
      <w:bookmarkStart w:id="11" w:name="_Toc29818"/>
      <w:r>
        <w:rPr>
          <w:rFonts w:hint="eastAsia"/>
          <w:lang w:val="en-US" w:eastAsia="zh-CN"/>
        </w:rPr>
        <w:t>来源</w:t>
      </w:r>
      <w:bookmarkEnd w:id="10"/>
      <w:bookmarkEnd w:id="11"/>
    </w:p>
    <w:p w14:paraId="448767D7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开源。</w:t>
      </w:r>
    </w:p>
    <w:p w14:paraId="510175AC">
      <w:pPr>
        <w:pStyle w:val="31"/>
        <w:bidi w:val="0"/>
        <w:rPr>
          <w:rFonts w:hint="default"/>
          <w:lang w:val="en-US" w:eastAsia="zh-CN"/>
        </w:rPr>
      </w:pPr>
      <w:bookmarkStart w:id="12" w:name="_Toc1722"/>
      <w:bookmarkStart w:id="13" w:name="_Toc27788"/>
      <w:r>
        <w:rPr>
          <w:rFonts w:hint="eastAsia"/>
          <w:lang w:val="en-US" w:eastAsia="zh-CN"/>
        </w:rPr>
        <w:t>软件特色</w:t>
      </w:r>
      <w:bookmarkEnd w:id="12"/>
      <w:bookmarkEnd w:id="13"/>
    </w:p>
    <w:p w14:paraId="2D1B8AA8">
      <w:pPr>
        <w:pStyle w:val="29"/>
        <w:bidi w:val="0"/>
        <w:rPr>
          <w:rFonts w:hint="default"/>
        </w:rPr>
      </w:pPr>
      <w:r>
        <w:rPr>
          <w:rFonts w:hint="default"/>
        </w:rPr>
        <w:t>资源全面监控：系统实现对服务器、网络设备、存储设备、安全设备、中间件及业务应用系统的全覆盖监控，能够实时采集性能指标，并支持资源台账的集中管理。</w:t>
      </w:r>
    </w:p>
    <w:p w14:paraId="76E14797">
      <w:pPr>
        <w:pStyle w:val="29"/>
        <w:bidi w:val="0"/>
        <w:rPr>
          <w:rFonts w:hint="default"/>
        </w:rPr>
      </w:pPr>
      <w:r>
        <w:rPr>
          <w:rFonts w:hint="default"/>
        </w:rPr>
        <w:t>智能告警与闭环管理：具备灵活的告警规则配置与多级预警机制，支持告警信息的实时呈现、智能过滤、自动派单与处理跟踪，实现从发现到闭环的全过程管理。</w:t>
      </w:r>
    </w:p>
    <w:p w14:paraId="554BD174">
      <w:pPr>
        <w:pStyle w:val="29"/>
        <w:bidi w:val="0"/>
        <w:rPr>
          <w:rFonts w:hint="default"/>
        </w:rPr>
      </w:pPr>
      <w:r>
        <w:rPr>
          <w:rFonts w:hint="default"/>
        </w:rPr>
        <w:t>业务视角监控：不仅支持基础设施与中间件的技术监控，更提供业务应用系统的健康度与性能可视化，实现从基础设施到业务服务的端到端监控视角。</w:t>
      </w:r>
    </w:p>
    <w:p w14:paraId="0354E943">
      <w:pPr>
        <w:pStyle w:val="29"/>
        <w:bidi w:val="0"/>
        <w:rPr>
          <w:rFonts w:hint="default"/>
        </w:rPr>
      </w:pPr>
      <w:r>
        <w:rPr>
          <w:rFonts w:hint="default"/>
        </w:rPr>
        <w:t>知识库融合运维：内置知识库管理功能，支持将故障处理经验、监控规则、运维预案等进行沉淀与共享，推动运维过程向知识驱动与经验复用转变。</w:t>
      </w:r>
    </w:p>
    <w:p w14:paraId="33E04A3A">
      <w:pPr>
        <w:pStyle w:val="29"/>
        <w:bidi w:val="0"/>
        <w:rPr>
          <w:rFonts w:hint="default"/>
        </w:rPr>
      </w:pPr>
      <w:r>
        <w:rPr>
          <w:rFonts w:hint="default"/>
        </w:rPr>
        <w:t>一体化监控平台：系统将各类监控数据、告警信息、资源台账与知识库有机整合，形成统一运维视图与管理入口，有效提升监控效率与运维协同能力。高度可配置平台：支持报表模板、业务流程、数据总线、定时任务等平台级配置，适应不同组织与业务需求。</w:t>
      </w:r>
    </w:p>
    <w:p w14:paraId="54F455A5">
      <w:pPr>
        <w:pStyle w:val="29"/>
        <w:bidi w:val="0"/>
        <w:rPr>
          <w:rFonts w:hint="default"/>
        </w:rPr>
      </w:pPr>
      <w:r>
        <w:rPr>
          <w:rFonts w:hint="default"/>
        </w:rPr>
        <w:t>模块化工作台：用户可自定义工作台模块、布局及刷新频率，实现个性化监控门户。</w:t>
      </w:r>
    </w:p>
    <w:p w14:paraId="6637CFE0">
      <w:pPr>
        <w:pStyle w:val="29"/>
        <w:bidi w:val="0"/>
        <w:rPr>
          <w:rFonts w:hint="default"/>
        </w:rPr>
      </w:pPr>
      <w:r>
        <w:rPr>
          <w:rFonts w:hint="default"/>
        </w:rPr>
        <w:t>跨系统集成能力：支持与客服管理、三线管理、知识管理等第三方系统集成，构建统一运维服务生态。</w:t>
      </w:r>
    </w:p>
    <w:p w14:paraId="4A0838D8">
      <w:pPr>
        <w:pStyle w:val="31"/>
        <w:bidi w:val="0"/>
        <w:rPr>
          <w:rFonts w:hint="default"/>
          <w:lang w:val="en-US" w:eastAsia="zh-CN"/>
        </w:rPr>
      </w:pPr>
      <w:bookmarkStart w:id="14" w:name="_Toc16071"/>
      <w:bookmarkStart w:id="15" w:name="_Toc3274"/>
      <w:r>
        <w:rPr>
          <w:rFonts w:hint="eastAsia"/>
          <w:lang w:val="en-US" w:eastAsia="zh-CN"/>
        </w:rPr>
        <w:t>应用情况说明</w:t>
      </w:r>
      <w:bookmarkEnd w:id="14"/>
      <w:bookmarkEnd w:id="15"/>
    </w:p>
    <w:p w14:paraId="7696C486">
      <w:pPr>
        <w:pStyle w:val="39"/>
        <w:bidi w:val="0"/>
        <w:rPr>
          <w:rFonts w:hint="eastAsia"/>
          <w:lang w:val="en-US" w:eastAsia="zh-CN"/>
        </w:rPr>
      </w:pPr>
      <w:r>
        <w:t>智能一体化运维支撑平台 SG-I6000</w:t>
      </w:r>
      <w:r>
        <w:rPr>
          <w:rFonts w:hint="eastAsia"/>
          <w:lang w:val="en-US" w:eastAsia="zh-CN"/>
        </w:rPr>
        <w:t>，应用的主要项目有：</w:t>
      </w:r>
    </w:p>
    <w:p w14:paraId="3C98FB94">
      <w:pPr>
        <w:numPr>
          <w:ilvl w:val="0"/>
          <w:numId w:val="2"/>
        </w:numPr>
        <w:spacing w:before="78" w:line="234" w:lineRule="auto"/>
        <w:ind w:left="425" w:leftChars="0" w:right="107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18"/>
          <w:sz w:val="24"/>
          <w:szCs w:val="24"/>
        </w:rPr>
        <w:t>曲靖供电局110kV变电站电力监控系统网络安全态势感知建设</w:t>
      </w:r>
      <w:r>
        <w:rPr>
          <w:rFonts w:hint="eastAsia" w:ascii="宋体" w:hAnsi="宋体" w:eastAsia="宋体" w:cs="宋体"/>
          <w:spacing w:val="18"/>
          <w:sz w:val="24"/>
          <w:szCs w:val="24"/>
          <w:lang w:val="en-US" w:eastAsia="zh-CN"/>
        </w:rPr>
        <w:t>项目</w:t>
      </w:r>
    </w:p>
    <w:p w14:paraId="1D0A02E9">
      <w:pPr>
        <w:numPr>
          <w:ilvl w:val="0"/>
          <w:numId w:val="2"/>
        </w:numPr>
        <w:spacing w:before="14" w:line="236" w:lineRule="auto"/>
        <w:ind w:left="425" w:leftChars="0" w:right="107" w:hanging="425" w:firstLineChars="0"/>
        <w:rPr>
          <w:rFonts w:hint="eastAsia" w:ascii="宋体" w:hAnsi="宋体" w:eastAsia="宋体" w:cs="宋体"/>
          <w:spacing w:val="18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18"/>
          <w:sz w:val="24"/>
          <w:szCs w:val="24"/>
        </w:rPr>
        <w:t>四川射洪35kV香山等15座变电站技术服务</w:t>
      </w:r>
      <w:r>
        <w:rPr>
          <w:rFonts w:hint="eastAsia" w:ascii="宋体" w:hAnsi="宋体" w:eastAsia="宋体" w:cs="宋体"/>
          <w:spacing w:val="18"/>
          <w:sz w:val="24"/>
          <w:szCs w:val="24"/>
          <w:lang w:val="en-US" w:eastAsia="zh-CN"/>
        </w:rPr>
        <w:t>项目</w:t>
      </w:r>
    </w:p>
    <w:p w14:paraId="4ED43828">
      <w:pPr>
        <w:numPr>
          <w:ilvl w:val="0"/>
          <w:numId w:val="2"/>
        </w:numPr>
        <w:spacing w:before="14" w:line="236" w:lineRule="auto"/>
        <w:ind w:left="425" w:leftChars="0" w:right="107" w:hanging="425" w:firstLineChars="0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spacing w:val="18"/>
          <w:sz w:val="24"/>
          <w:szCs w:val="24"/>
        </w:rPr>
        <w:t>海南华能东方戈枕电厂项目</w:t>
      </w:r>
    </w:p>
    <w:p w14:paraId="55ACA2EF">
      <w:pPr>
        <w:pStyle w:val="2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通过使用</w:t>
      </w:r>
      <w:r>
        <w:t>智能一体化运维支撑平台 SG-I6000</w:t>
      </w:r>
      <w:r>
        <w:rPr>
          <w:rFonts w:hint="eastAsia"/>
          <w:lang w:val="en-US" w:eastAsia="zh-CN"/>
        </w:rPr>
        <w:t>，极大的降低了员工沟通成本，提高了开发效率。同时也为运维工作稳步进行提供了保障</w:t>
      </w:r>
      <w:r>
        <w:rPr>
          <w:rFonts w:hint="eastAsia"/>
          <w:lang w:val="en-US" w:eastAsia="zh-CN"/>
        </w:rPr>
        <w:tab/>
      </w:r>
    </w:p>
    <w:p w14:paraId="30B5E331">
      <w:pPr>
        <w:pStyle w:val="31"/>
        <w:bidi w:val="0"/>
        <w:rPr>
          <w:rFonts w:hint="default"/>
          <w:lang w:val="en-US" w:eastAsia="zh-CN"/>
        </w:rPr>
      </w:pPr>
      <w:bookmarkStart w:id="16" w:name="_Toc16093"/>
      <w:bookmarkStart w:id="17" w:name="_Toc30627"/>
      <w:r>
        <w:rPr>
          <w:rFonts w:hint="eastAsia"/>
          <w:lang w:val="en-US" w:eastAsia="zh-CN"/>
        </w:rPr>
        <w:t>主要功能</w:t>
      </w:r>
      <w:bookmarkEnd w:id="16"/>
      <w:bookmarkEnd w:id="17"/>
    </w:p>
    <w:p w14:paraId="76267342">
      <w:pPr>
        <w:pStyle w:val="4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资源集</w:t>
      </w:r>
    </w:p>
    <w:p w14:paraId="6CA9AC89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资源集用于查看总资源数、进行中资源、异常资源及资源利用率等信息。</w:t>
      </w:r>
    </w:p>
    <w:p w14:paraId="7962FC69">
      <w:pPr>
        <w:pStyle w:val="2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列表可用于查看各类数据库状态，如下图</w:t>
      </w:r>
    </w:p>
    <w:p w14:paraId="766F28D0">
      <w:pPr>
        <w:pStyle w:val="29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资源集</w:t>
      </w:r>
    </w:p>
    <w:p w14:paraId="14EF89C6">
      <w:pPr>
        <w:widowControl w:val="0"/>
        <w:autoSpaceDE w:val="0"/>
        <w:autoSpaceDN w:val="0"/>
        <w:spacing w:before="160" w:after="0" w:line="360" w:lineRule="auto"/>
        <w:ind w:left="0" w:leftChars="0" w:right="0" w:rightChars="0" w:firstLine="0" w:firstLineChars="0"/>
        <w:jc w:val="center"/>
        <w:rPr>
          <w:rFonts w:hint="eastAsia" w:ascii="Calibri" w:hAnsi="Calibri" w:eastAsia="宋体" w:cs="宋体"/>
          <w:spacing w:val="0"/>
          <w:sz w:val="24"/>
          <w:szCs w:val="24"/>
          <w:shd w:val="clear" w:color="auto" w:fill="auto"/>
          <w:lang w:val="en-US" w:eastAsia="zh-CN" w:bidi="zh-CN"/>
        </w:rPr>
      </w:pPr>
      <w:r>
        <w:drawing>
          <wp:inline distT="0" distB="0" distL="114300" distR="114300">
            <wp:extent cx="5271770" cy="1607185"/>
            <wp:effectExtent l="0" t="0" r="1270" b="8255"/>
            <wp:docPr id="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0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4561D">
      <w:pPr>
        <w:pStyle w:val="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应用系统监控</w:t>
      </w:r>
    </w:p>
    <w:p w14:paraId="523DA7E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应用监控系统用于监控各在运行的系统的状态，总体包括总应用数、正常运行数量、警告状态数量、异常状态数量。应用列表用于监控各类应用系统的状态，如下图</w:t>
      </w:r>
    </w:p>
    <w:p w14:paraId="513262E0">
      <w:pPr>
        <w:pStyle w:val="29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应用监控系统</w:t>
      </w:r>
    </w:p>
    <w:p w14:paraId="734BF2C2">
      <w:pPr>
        <w:pStyle w:val="29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1776730"/>
            <wp:effectExtent l="0" t="0" r="14605" b="6350"/>
            <wp:docPr id="3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7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D657B">
      <w:pPr>
        <w:ind w:left="0" w:leftChars="0" w:right="0" w:rightChars="0" w:firstLine="0" w:firstLineChars="0"/>
        <w:jc w:val="both"/>
      </w:pPr>
    </w:p>
    <w:p w14:paraId="0FD18CAC">
      <w:pPr>
        <w:pStyle w:val="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中间件监控</w:t>
      </w:r>
    </w:p>
    <w:p w14:paraId="7AA7B06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中间件监控主要用于tomcat、weblogic、nginx的状态，如下图</w:t>
      </w:r>
    </w:p>
    <w:p w14:paraId="2340A3C4">
      <w:pPr>
        <w:pStyle w:val="29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中间件监控</w:t>
      </w:r>
    </w:p>
    <w:p w14:paraId="4AE515CE">
      <w:pPr>
        <w:widowControl w:val="0"/>
        <w:autoSpaceDE w:val="0"/>
        <w:autoSpaceDN w:val="0"/>
        <w:spacing w:before="160" w:after="0" w:line="360" w:lineRule="auto"/>
        <w:ind w:left="0" w:leftChars="0" w:right="0" w:rightChars="0" w:firstLine="0" w:firstLine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60975" cy="2407285"/>
            <wp:effectExtent l="0" t="0" r="12065" b="635"/>
            <wp:docPr id="3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40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56AE7">
      <w:pPr>
        <w:pStyle w:val="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网络设备监控</w:t>
      </w:r>
    </w:p>
    <w:p w14:paraId="0FF42D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网络设备监控主要用于监控负载服务器、路由器及交换机等设备的工作状态，如下图</w:t>
      </w:r>
    </w:p>
    <w:p w14:paraId="35FF7656">
      <w:pPr>
        <w:rPr>
          <w:rFonts w:hint="default"/>
          <w:lang w:val="en-US" w:eastAsia="zh-CN"/>
        </w:rPr>
      </w:pPr>
    </w:p>
    <w:p w14:paraId="0CA55F29">
      <w:pPr>
        <w:pStyle w:val="29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网络设备监控</w:t>
      </w:r>
    </w:p>
    <w:p w14:paraId="0DCCF0B9">
      <w:pPr>
        <w:pStyle w:val="29"/>
        <w:bidi w:val="0"/>
      </w:pPr>
      <w:r>
        <w:drawing>
          <wp:inline distT="0" distB="0" distL="114300" distR="114300">
            <wp:extent cx="5270500" cy="1978025"/>
            <wp:effectExtent l="0" t="0" r="2540" b="3175"/>
            <wp:docPr id="3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7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2D423">
      <w:pPr>
        <w:pStyle w:val="29"/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3177540"/>
            <wp:effectExtent l="0" t="0" r="0" b="7620"/>
            <wp:docPr id="3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93B34">
      <w:pPr>
        <w:pStyle w:val="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存储设备监控</w:t>
      </w:r>
    </w:p>
    <w:p w14:paraId="0C4EF29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存储设备监控主要用于监控文件服务器的使用趋势、存储设备列表、设备数、存储总量等</w:t>
      </w:r>
    </w:p>
    <w:p w14:paraId="6E955333">
      <w:pPr>
        <w:pStyle w:val="29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存储设备监控</w:t>
      </w:r>
    </w:p>
    <w:p w14:paraId="7DD72E8E">
      <w:pPr>
        <w:widowControl w:val="0"/>
        <w:autoSpaceDE w:val="0"/>
        <w:autoSpaceDN w:val="0"/>
        <w:spacing w:before="160" w:after="0" w:line="360" w:lineRule="auto"/>
        <w:ind w:left="0" w:leftChars="0" w:right="0" w:rightChars="0" w:firstLine="0" w:firstLineChars="0"/>
        <w:jc w:val="center"/>
        <w:rPr>
          <w:rFonts w:hint="default" w:ascii="Calibri" w:hAnsi="Calibri" w:eastAsia="宋体" w:cs="宋体"/>
          <w:spacing w:val="0"/>
          <w:sz w:val="24"/>
          <w:szCs w:val="24"/>
          <w:shd w:val="clear" w:color="auto" w:fill="auto"/>
          <w:lang w:val="en-US" w:eastAsia="zh-CN" w:bidi="zh-CN"/>
        </w:rPr>
      </w:pPr>
      <w:r>
        <w:drawing>
          <wp:inline distT="0" distB="0" distL="114300" distR="114300">
            <wp:extent cx="5263515" cy="1920240"/>
            <wp:effectExtent l="0" t="0" r="9525" b="0"/>
            <wp:docPr id="3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D5078">
      <w:pPr>
        <w:widowControl w:val="0"/>
        <w:autoSpaceDE w:val="0"/>
        <w:autoSpaceDN w:val="0"/>
        <w:spacing w:before="160" w:after="0" w:line="360" w:lineRule="auto"/>
        <w:ind w:left="0" w:leftChars="0" w:right="0" w:rightChars="0" w:firstLine="0" w:firstLineChars="0"/>
        <w:jc w:val="center"/>
        <w:rPr>
          <w:rFonts w:hint="default" w:ascii="Calibri" w:hAnsi="Calibri" w:eastAsia="宋体" w:cs="宋体"/>
          <w:spacing w:val="0"/>
          <w:sz w:val="24"/>
          <w:szCs w:val="24"/>
          <w:shd w:val="clear" w:color="auto" w:fill="auto"/>
          <w:lang w:val="en-US" w:eastAsia="zh-CN" w:bidi="zh-CN"/>
        </w:rPr>
      </w:pPr>
      <w:r>
        <w:drawing>
          <wp:inline distT="0" distB="0" distL="114300" distR="114300">
            <wp:extent cx="5262880" cy="1691640"/>
            <wp:effectExtent l="0" t="0" r="10160" b="0"/>
            <wp:docPr id="3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1FA87">
      <w:pPr>
        <w:pStyle w:val="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安全设备监控</w:t>
      </w:r>
    </w:p>
    <w:p w14:paraId="1F038D4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安全设备监控主要用于防火墙、VPN、应用防火墙等监控</w:t>
      </w:r>
    </w:p>
    <w:p w14:paraId="2B088DC3">
      <w:pPr>
        <w:pStyle w:val="29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6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安全设备监控</w:t>
      </w:r>
    </w:p>
    <w:p w14:paraId="53551525">
      <w:r>
        <w:drawing>
          <wp:inline distT="0" distB="0" distL="114300" distR="114300">
            <wp:extent cx="5269230" cy="2475865"/>
            <wp:effectExtent l="0" t="0" r="3810" b="8255"/>
            <wp:docPr id="3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7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818EB">
      <w:pPr>
        <w:pStyle w:val="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知识库管理</w:t>
      </w:r>
    </w:p>
    <w:p w14:paraId="39CFA025">
      <w:pPr>
        <w:pStyle w:val="29"/>
        <w:bidi w:val="0"/>
      </w:pPr>
      <w:r>
        <w:t>内置知识库管理功能，支持将故障处理经验、监控规则、运维预案等进行沉淀与共享，推动运维过程向知识驱动与经验复用转变</w:t>
      </w:r>
    </w:p>
    <w:p w14:paraId="7C52FEEE">
      <w:pPr>
        <w:pStyle w:val="29"/>
        <w:bidi w:val="0"/>
        <w:ind w:left="0" w:leftChars="0" w:firstLine="0" w:firstLineChars="0"/>
      </w:pPr>
      <w:r>
        <w:drawing>
          <wp:inline distT="0" distB="0" distL="114300" distR="114300">
            <wp:extent cx="5271135" cy="4712970"/>
            <wp:effectExtent l="0" t="0" r="1905" b="11430"/>
            <wp:docPr id="4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71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880" cy="2931160"/>
            <wp:effectExtent l="0" t="0" r="10160" b="10160"/>
            <wp:docPr id="4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C175D">
      <w:pPr>
        <w:pStyle w:val="29"/>
        <w:bidi w:val="0"/>
        <w:ind w:left="0" w:leftChars="0" w:firstLine="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2880" cy="1967230"/>
            <wp:effectExtent l="0" t="0" r="10160" b="13970"/>
            <wp:docPr id="4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96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4DF5F">
      <w:pPr>
        <w:pStyle w:val="30"/>
        <w:bidi w:val="0"/>
        <w:rPr>
          <w:rFonts w:hint="eastAsia"/>
          <w:lang w:val="en-US" w:eastAsia="zh-CN"/>
        </w:rPr>
      </w:pPr>
      <w:bookmarkStart w:id="18" w:name="_Toc7126"/>
      <w:bookmarkStart w:id="19" w:name="_Toc26000"/>
      <w:r>
        <w:rPr>
          <w:rFonts w:hint="eastAsia"/>
          <w:lang w:val="en-US" w:eastAsia="zh-CN"/>
        </w:rPr>
        <w:t>监控工具</w:t>
      </w:r>
      <w:bookmarkEnd w:id="18"/>
      <w:bookmarkEnd w:id="19"/>
    </w:p>
    <w:p w14:paraId="276C535D">
      <w:pPr>
        <w:pStyle w:val="31"/>
        <w:bidi w:val="0"/>
        <w:rPr>
          <w:rFonts w:hint="eastAsia"/>
          <w:lang w:val="en-US" w:eastAsia="zh-CN"/>
        </w:rPr>
      </w:pPr>
      <w:bookmarkStart w:id="20" w:name="_Toc11117"/>
      <w:bookmarkStart w:id="21" w:name="_Toc7376"/>
      <w:r>
        <w:rPr>
          <w:rFonts w:hint="eastAsia"/>
          <w:lang w:val="en-US" w:eastAsia="zh-CN"/>
        </w:rPr>
        <w:t>名称</w:t>
      </w:r>
      <w:bookmarkEnd w:id="20"/>
      <w:bookmarkEnd w:id="21"/>
    </w:p>
    <w:p w14:paraId="6B0537B3">
      <w:pPr>
        <w:pStyle w:val="29"/>
        <w:rPr>
          <w:rFonts w:hint="eastAsia"/>
          <w:lang w:val="en-US" w:eastAsia="zh-CN"/>
        </w:rPr>
      </w:pPr>
      <w:r>
        <w:rPr>
          <w:rFonts w:hint="eastAsia"/>
        </w:rPr>
        <w:t>信息系统性能监控工具</w:t>
      </w:r>
    </w:p>
    <w:p w14:paraId="4B854D59">
      <w:pPr>
        <w:pStyle w:val="31"/>
        <w:bidi w:val="0"/>
        <w:rPr>
          <w:rFonts w:hint="eastAsia"/>
          <w:lang w:val="en-US" w:eastAsia="zh-CN"/>
        </w:rPr>
      </w:pPr>
      <w:bookmarkStart w:id="22" w:name="_Toc3728"/>
      <w:bookmarkStart w:id="23" w:name="_Toc3754"/>
      <w:r>
        <w:rPr>
          <w:rFonts w:hint="eastAsia"/>
          <w:lang w:val="en-US" w:eastAsia="zh-CN"/>
        </w:rPr>
        <w:t>来源</w:t>
      </w:r>
      <w:bookmarkEnd w:id="22"/>
      <w:bookmarkEnd w:id="23"/>
    </w:p>
    <w:p w14:paraId="0FBE3A9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开源</w:t>
      </w:r>
    </w:p>
    <w:p w14:paraId="685B9383">
      <w:pPr>
        <w:pStyle w:val="31"/>
        <w:bidi w:val="0"/>
        <w:rPr>
          <w:rFonts w:hint="default"/>
          <w:lang w:val="en-US" w:eastAsia="zh-CN"/>
        </w:rPr>
      </w:pPr>
      <w:bookmarkStart w:id="24" w:name="_Toc24351"/>
      <w:bookmarkStart w:id="25" w:name="_Toc25146"/>
      <w:r>
        <w:rPr>
          <w:rFonts w:hint="eastAsia"/>
          <w:lang w:val="en-US" w:eastAsia="zh-CN"/>
        </w:rPr>
        <w:t>软件特色</w:t>
      </w:r>
      <w:bookmarkEnd w:id="24"/>
      <w:bookmarkEnd w:id="25"/>
    </w:p>
    <w:p w14:paraId="72E2BD54">
      <w:pPr>
        <w:pStyle w:val="29"/>
        <w:bidi w:val="0"/>
        <w:rPr>
          <w:rFonts w:hint="default"/>
          <w:lang w:val="en-US" w:eastAsia="zh-CN"/>
        </w:rPr>
      </w:pPr>
      <w:r>
        <w:t>核心特色在于其强大而灵活的数据可视化能力，能够将来自多种数据源的监控指标转化为直观的仪表盘。它支持实时监控和告警，使您能够一眼洞察系统状态并快速响应问题。</w:t>
      </w:r>
    </w:p>
    <w:p w14:paraId="62F7C9D6">
      <w:pPr>
        <w:pStyle w:val="31"/>
        <w:bidi w:val="0"/>
        <w:rPr>
          <w:rFonts w:hint="default"/>
          <w:lang w:val="en-US" w:eastAsia="zh-CN"/>
        </w:rPr>
      </w:pPr>
      <w:bookmarkStart w:id="26" w:name="_Toc12411"/>
      <w:bookmarkStart w:id="27" w:name="_Toc23648"/>
      <w:r>
        <w:rPr>
          <w:rFonts w:hint="eastAsia"/>
          <w:lang w:val="en-US" w:eastAsia="zh-CN"/>
        </w:rPr>
        <w:t>应用情况说明</w:t>
      </w:r>
      <w:bookmarkEnd w:id="26"/>
      <w:bookmarkEnd w:id="27"/>
    </w:p>
    <w:p w14:paraId="286438FD">
      <w:pPr>
        <w:numPr>
          <w:ilvl w:val="0"/>
          <w:numId w:val="3"/>
        </w:numPr>
        <w:spacing w:before="78" w:line="234" w:lineRule="auto"/>
        <w:ind w:left="425" w:leftChars="0" w:right="107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18"/>
          <w:sz w:val="24"/>
          <w:szCs w:val="24"/>
        </w:rPr>
        <w:t>曲靖供电局110kV变电站电力监控系统网络安全态势感知建设</w:t>
      </w:r>
      <w:r>
        <w:rPr>
          <w:rFonts w:hint="eastAsia" w:ascii="宋体" w:hAnsi="宋体" w:eastAsia="宋体" w:cs="宋体"/>
          <w:spacing w:val="18"/>
          <w:sz w:val="24"/>
          <w:szCs w:val="24"/>
          <w:lang w:val="en-US" w:eastAsia="zh-CN"/>
        </w:rPr>
        <w:t>项目</w:t>
      </w:r>
    </w:p>
    <w:p w14:paraId="43B43794">
      <w:pPr>
        <w:numPr>
          <w:ilvl w:val="0"/>
          <w:numId w:val="3"/>
        </w:numPr>
        <w:spacing w:before="14" w:line="236" w:lineRule="auto"/>
        <w:ind w:left="425" w:leftChars="0" w:right="107" w:hanging="425" w:firstLineChars="0"/>
        <w:rPr>
          <w:rFonts w:hint="eastAsia" w:ascii="宋体" w:hAnsi="宋体" w:eastAsia="宋体" w:cs="宋体"/>
          <w:spacing w:val="18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18"/>
          <w:sz w:val="24"/>
          <w:szCs w:val="24"/>
        </w:rPr>
        <w:t>四川射洪35kV香山等15座变电站技术服务</w:t>
      </w:r>
      <w:r>
        <w:rPr>
          <w:rFonts w:hint="eastAsia" w:ascii="宋体" w:hAnsi="宋体" w:eastAsia="宋体" w:cs="宋体"/>
          <w:spacing w:val="18"/>
          <w:sz w:val="24"/>
          <w:szCs w:val="24"/>
          <w:lang w:val="en-US" w:eastAsia="zh-CN"/>
        </w:rPr>
        <w:t>项目</w:t>
      </w:r>
    </w:p>
    <w:p w14:paraId="12024A12">
      <w:pPr>
        <w:numPr>
          <w:ilvl w:val="0"/>
          <w:numId w:val="3"/>
        </w:numPr>
        <w:spacing w:before="14" w:line="236" w:lineRule="auto"/>
        <w:ind w:left="425" w:leftChars="0" w:right="107" w:hanging="425" w:firstLineChars="0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spacing w:val="18"/>
          <w:sz w:val="24"/>
          <w:szCs w:val="24"/>
        </w:rPr>
        <w:t>海南华能东方戈枕电厂项目</w:t>
      </w:r>
    </w:p>
    <w:p w14:paraId="4BA1BD60">
      <w:pPr>
        <w:pStyle w:val="29"/>
        <w:rPr>
          <w:rFonts w:hint="default"/>
          <w:lang w:val="en-US" w:eastAsia="zh-CN"/>
        </w:rPr>
      </w:pPr>
      <w:r>
        <w:t>使用</w:t>
      </w:r>
      <w:r>
        <w:rPr>
          <w:rFonts w:hint="eastAsia"/>
        </w:rPr>
        <w:t>信息系统性能监控工具</w:t>
      </w:r>
      <w:r>
        <w:t>进行监控，可有效避免发生</w:t>
      </w:r>
      <w:r>
        <w:rPr>
          <w:rFonts w:hint="default"/>
        </w:rPr>
        <w:t>系统性能瓶颈未能及时发现而导致的服务中断问题。通过其强大的实时仪表盘和自定义告警功能，运维团队能够持续洞察系统健康状态，快速定位异常根因，从而大幅提升系统稳定性与业务连续性，实现从被动救火到主动预防的运维模式转变。</w:t>
      </w:r>
    </w:p>
    <w:p w14:paraId="71822227">
      <w:pPr>
        <w:pStyle w:val="31"/>
        <w:bidi w:val="0"/>
        <w:rPr>
          <w:rFonts w:hint="default"/>
          <w:lang w:val="en-US" w:eastAsia="zh-CN"/>
        </w:rPr>
      </w:pPr>
      <w:bookmarkStart w:id="28" w:name="_Toc8315"/>
      <w:bookmarkStart w:id="29" w:name="_Toc32478"/>
      <w:r>
        <w:rPr>
          <w:rFonts w:hint="eastAsia"/>
          <w:lang w:val="en-US" w:eastAsia="zh-CN"/>
        </w:rPr>
        <w:t>主要功能</w:t>
      </w:r>
      <w:bookmarkEnd w:id="28"/>
      <w:bookmarkEnd w:id="29"/>
    </w:p>
    <w:p w14:paraId="685D6A84">
      <w:pPr>
        <w:pStyle w:val="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概览</w:t>
      </w:r>
    </w:p>
    <w:p w14:paraId="07B8A0D4">
      <w:pPr>
        <w:pStyle w:val="2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实时监控系统整体运行状态和监控指标</w:t>
      </w:r>
    </w:p>
    <w:p w14:paraId="36AF7937">
      <w:pPr>
        <w:pStyle w:val="29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7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概况</w:t>
      </w:r>
    </w:p>
    <w:p w14:paraId="08C0438D">
      <w:pPr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260975" cy="2243455"/>
            <wp:effectExtent l="0" t="0" r="12065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24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2BCA8">
      <w:pPr>
        <w:pStyle w:val="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异常处理</w:t>
      </w:r>
    </w:p>
    <w:p w14:paraId="7B0EA4EC">
      <w:pPr>
        <w:pStyle w:val="2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查看、处理和跟踪异常</w:t>
      </w:r>
    </w:p>
    <w:p w14:paraId="77278B6A">
      <w:pPr>
        <w:pStyle w:val="2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告警信息支持搜索</w:t>
      </w:r>
    </w:p>
    <w:p w14:paraId="10317094">
      <w:pPr>
        <w:pStyle w:val="2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列表支持查看告警记录</w:t>
      </w:r>
    </w:p>
    <w:p w14:paraId="07C4FC82">
      <w:pPr>
        <w:pStyle w:val="29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8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异常</w:t>
      </w:r>
    </w:p>
    <w:p w14:paraId="02DEE690">
      <w:pPr>
        <w:pStyle w:val="29"/>
        <w:bidi w:val="0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2761615"/>
            <wp:effectExtent l="0" t="0" r="3175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6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421B8">
      <w:pPr>
        <w:pStyle w:val="29"/>
        <w:bidi w:val="0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</w:p>
    <w:p w14:paraId="337B7212"/>
    <w:p w14:paraId="013ABFF4">
      <w:pPr>
        <w:pStyle w:val="4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综合分析</w:t>
      </w:r>
    </w:p>
    <w:p w14:paraId="09094F60">
      <w:pPr>
        <w:pStyle w:val="29"/>
        <w:ind w:left="0" w:leftChars="0" w:right="0" w:righ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系统分析可概要查看系统性能状态</w:t>
      </w:r>
    </w:p>
    <w:p w14:paraId="4353BF96">
      <w:pPr>
        <w:pStyle w:val="29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9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系统分析</w:t>
      </w:r>
    </w:p>
    <w:p w14:paraId="6E8B7083">
      <w:pPr>
        <w:ind w:left="0" w:leftChars="0" w:right="0" w:rightChars="0" w:firstLine="0" w:firstLineChars="0"/>
        <w:jc w:val="center"/>
      </w:pPr>
      <w:r>
        <w:drawing>
          <wp:inline distT="0" distB="0" distL="114300" distR="114300">
            <wp:extent cx="5267325" cy="1742440"/>
            <wp:effectExtent l="0" t="0" r="5715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4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76329">
      <w:pPr>
        <w:ind w:left="0" w:leftChars="0" w:right="0" w:rightChars="0" w:firstLine="0" w:firstLineChars="0"/>
        <w:jc w:val="both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系统页面TOP排名查看</w:t>
      </w:r>
    </w:p>
    <w:p w14:paraId="52CC0C65">
      <w:pPr>
        <w:pStyle w:val="29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10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TOP排名</w:t>
      </w:r>
    </w:p>
    <w:p w14:paraId="785FBC42">
      <w:pPr>
        <w:ind w:left="0" w:leftChars="0" w:right="0" w:rightChars="0" w:firstLine="0" w:firstLineChars="0"/>
        <w:jc w:val="center"/>
      </w:pPr>
      <w:r>
        <w:drawing>
          <wp:inline distT="0" distB="0" distL="114300" distR="114300">
            <wp:extent cx="5266055" cy="2113915"/>
            <wp:effectExtent l="0" t="0" r="6985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11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C48AC">
      <w:pPr>
        <w:ind w:left="0" w:leftChars="0" w:right="0" w:rightChars="0" w:firstLine="0" w:firstLineChars="0"/>
        <w:jc w:val="center"/>
      </w:pPr>
    </w:p>
    <w:p w14:paraId="0AFFBC56">
      <w:pPr>
        <w:ind w:left="0" w:leftChars="0" w:right="0" w:rightChars="0" w:firstLine="0" w:firstLineChars="0"/>
        <w:jc w:val="center"/>
      </w:pPr>
      <w:r>
        <w:drawing>
          <wp:inline distT="0" distB="0" distL="114300" distR="114300">
            <wp:extent cx="5266690" cy="848995"/>
            <wp:effectExtent l="0" t="0" r="635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4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4652C">
      <w:pPr>
        <w:ind w:left="0" w:leftChars="0" w:right="0" w:rightChars="0" w:firstLine="0" w:firstLineChars="0"/>
        <w:jc w:val="center"/>
      </w:pPr>
    </w:p>
    <w:p w14:paraId="4A1C620F">
      <w:pPr>
        <w:ind w:left="0" w:leftChars="0" w:right="0" w:rightChars="0" w:firstLine="0" w:firstLineChars="0"/>
        <w:jc w:val="center"/>
      </w:pPr>
      <w:r>
        <w:drawing>
          <wp:inline distT="0" distB="0" distL="114300" distR="114300">
            <wp:extent cx="5262880" cy="904875"/>
            <wp:effectExtent l="0" t="0" r="1016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EEB6F">
      <w:pPr>
        <w:pStyle w:val="30"/>
        <w:bidi w:val="0"/>
        <w:rPr>
          <w:rFonts w:hint="default"/>
          <w:lang w:val="en-US" w:eastAsia="zh-CN"/>
        </w:rPr>
      </w:pPr>
      <w:bookmarkStart w:id="30" w:name="_Toc23729"/>
      <w:bookmarkStart w:id="31" w:name="_Toc22083"/>
      <w:r>
        <w:rPr>
          <w:rFonts w:hint="eastAsia"/>
          <w:lang w:val="en-US" w:eastAsia="zh-CN"/>
        </w:rPr>
        <w:t>指标完成情况</w:t>
      </w:r>
      <w:bookmarkEnd w:id="30"/>
      <w:bookmarkEnd w:id="31"/>
    </w:p>
    <w:p w14:paraId="6DE613C9">
      <w:pPr>
        <w:spacing w:before="78" w:line="361" w:lineRule="auto"/>
        <w:ind w:left="21" w:right="61" w:firstLine="241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pacing w:val="-4"/>
          <w:sz w:val="24"/>
          <w:szCs w:val="24"/>
          <w:lang w:val="en-US" w:eastAsia="zh-CN"/>
        </w:rPr>
        <w:t>运维服务能力指标体系中要求</w:t>
      </w:r>
      <w:r>
        <w:rPr>
          <w:rFonts w:ascii="宋体" w:hAnsi="宋体" w:eastAsia="宋体" w:cs="宋体"/>
          <w:spacing w:val="-4"/>
          <w:sz w:val="24"/>
          <w:szCs w:val="24"/>
        </w:rPr>
        <w:t>工具使用自评估数≥1</w:t>
      </w:r>
      <w:r>
        <w:rPr>
          <w:rFonts w:ascii="宋体" w:hAnsi="宋体" w:eastAsia="宋体" w:cs="宋体"/>
          <w:spacing w:val="-4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次，因为相关人员对T/CE</w:t>
      </w:r>
      <w:r>
        <w:rPr>
          <w:rFonts w:ascii="宋体" w:hAnsi="宋体" w:eastAsia="宋体" w:cs="宋体"/>
          <w:spacing w:val="-5"/>
          <w:sz w:val="24"/>
          <w:szCs w:val="24"/>
        </w:rPr>
        <w:t>SA</w:t>
      </w:r>
      <w:r>
        <w:rPr>
          <w:rFonts w:ascii="宋体" w:hAnsi="宋体" w:eastAsia="宋体" w:cs="宋体"/>
          <w:spacing w:val="-3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1299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—2023  7.6.1  运维工具 c)条款内容理</w:t>
      </w:r>
      <w:r>
        <w:rPr>
          <w:rFonts w:ascii="宋体" w:hAnsi="宋体" w:eastAsia="宋体" w:cs="宋体"/>
          <w:spacing w:val="-3"/>
          <w:sz w:val="24"/>
          <w:szCs w:val="24"/>
        </w:rPr>
        <w:t>解不够</w:t>
      </w:r>
      <w:r>
        <w:rPr>
          <w:rFonts w:hint="eastAsia" w:ascii="宋体" w:hAnsi="宋体" w:cs="宋体"/>
          <w:spacing w:val="-3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pacing w:val="-3"/>
          <w:sz w:val="24"/>
          <w:szCs w:val="24"/>
        </w:rPr>
        <w:t>没有编制《运维工具使用效果自</w:t>
      </w:r>
      <w:r>
        <w:rPr>
          <w:rFonts w:ascii="宋体" w:hAnsi="宋体" w:eastAsia="宋体" w:cs="宋体"/>
          <w:spacing w:val="4"/>
          <w:sz w:val="24"/>
          <w:szCs w:val="24"/>
        </w:rPr>
        <w:t>评估报告》的模板，内审时未见运维工具效果</w:t>
      </w:r>
      <w:r>
        <w:rPr>
          <w:rFonts w:ascii="宋体" w:hAnsi="宋体" w:eastAsia="宋体" w:cs="宋体"/>
          <w:spacing w:val="3"/>
          <w:sz w:val="24"/>
          <w:szCs w:val="24"/>
        </w:rPr>
        <w:t>的自评估记录信息。2025</w:t>
      </w:r>
      <w:r>
        <w:rPr>
          <w:rFonts w:hint="eastAsia" w:ascii="宋体" w:hAnsi="宋体" w:cs="宋体"/>
          <w:spacing w:val="3"/>
          <w:sz w:val="24"/>
          <w:szCs w:val="24"/>
          <w:lang w:val="en-US" w:eastAsia="zh-CN"/>
        </w:rPr>
        <w:t>年10月</w:t>
      </w:r>
      <w:r>
        <w:rPr>
          <w:rFonts w:ascii="宋体" w:hAnsi="宋体" w:eastAsia="宋体" w:cs="宋体"/>
          <w:spacing w:val="3"/>
          <w:sz w:val="24"/>
          <w:szCs w:val="24"/>
        </w:rPr>
        <w:t>16</w:t>
      </w:r>
      <w:r>
        <w:rPr>
          <w:rFonts w:hint="eastAsia" w:ascii="宋体" w:hAnsi="宋体" w:cs="宋体"/>
          <w:spacing w:val="3"/>
          <w:sz w:val="24"/>
          <w:szCs w:val="24"/>
          <w:lang w:val="en-US" w:eastAsia="zh-CN"/>
        </w:rPr>
        <w:t>日</w:t>
      </w:r>
      <w:r>
        <w:rPr>
          <w:rFonts w:ascii="宋体" w:hAnsi="宋体" w:eastAsia="宋体" w:cs="宋体"/>
          <w:spacing w:val="-3"/>
          <w:sz w:val="24"/>
          <w:szCs w:val="24"/>
        </w:rPr>
        <w:t>运维部人员补充对运维工具的自评估记录，见《运维工具自评估报</w:t>
      </w:r>
      <w:r>
        <w:rPr>
          <w:rFonts w:ascii="宋体" w:hAnsi="宋体" w:eastAsia="宋体" w:cs="宋体"/>
          <w:spacing w:val="1"/>
          <w:sz w:val="24"/>
          <w:szCs w:val="24"/>
        </w:rPr>
        <w:t>告》。2025年</w:t>
      </w:r>
      <w:r>
        <w:rPr>
          <w:rFonts w:hint="eastAsia" w:ascii="宋体" w:hAnsi="宋体" w:cs="宋体"/>
          <w:spacing w:val="1"/>
          <w:sz w:val="24"/>
          <w:szCs w:val="24"/>
          <w:lang w:val="en-US" w:eastAsia="zh-CN"/>
        </w:rPr>
        <w:t>10</w:t>
      </w:r>
      <w:r>
        <w:rPr>
          <w:rFonts w:ascii="宋体" w:hAnsi="宋体" w:eastAsia="宋体" w:cs="宋体"/>
          <w:spacing w:val="1"/>
          <w:sz w:val="24"/>
          <w:szCs w:val="24"/>
        </w:rPr>
        <w:t>月进行了一次工具使用自评，达到了指</w:t>
      </w:r>
      <w:r>
        <w:rPr>
          <w:rFonts w:ascii="宋体" w:hAnsi="宋体" w:eastAsia="宋体" w:cs="宋体"/>
          <w:sz w:val="24"/>
          <w:szCs w:val="24"/>
        </w:rPr>
        <w:t>标要求。</w:t>
      </w:r>
    </w:p>
    <w:p w14:paraId="58D31C12">
      <w:pPr>
        <w:pStyle w:val="30"/>
        <w:bidi w:val="0"/>
        <w:rPr>
          <w:rFonts w:hint="default"/>
          <w:lang w:val="en-US" w:eastAsia="zh-CN"/>
        </w:rPr>
      </w:pPr>
      <w:bookmarkStart w:id="32" w:name="_Toc6685"/>
      <w:bookmarkStart w:id="33" w:name="_Toc32363"/>
      <w:r>
        <w:rPr>
          <w:rFonts w:hint="eastAsia"/>
          <w:lang w:val="en-US" w:eastAsia="zh-CN"/>
        </w:rPr>
        <w:t>运维工具改进</w:t>
      </w:r>
      <w:bookmarkEnd w:id="32"/>
      <w:bookmarkEnd w:id="33"/>
    </w:p>
    <w:p w14:paraId="515D0951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使用过程中发现，运维相关人员对工具使用熟练度仍需提高，要求运维部按时组织培训等相关事宜。</w:t>
      </w:r>
    </w:p>
    <w:p w14:paraId="5DCC7514">
      <w:pPr>
        <w:pStyle w:val="29"/>
        <w:bidi w:val="0"/>
        <w:ind w:left="0" w:leftChars="0" w:firstLine="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0A4C2B88"/>
    <w:multiLevelType w:val="singleLevel"/>
    <w:tmpl w:val="0A4C2B8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ascii="宋体" w:hAnsi="宋体" w:eastAsia="宋体" w:cs="宋体"/>
      </w:rPr>
    </w:lvl>
  </w:abstractNum>
  <w:abstractNum w:abstractNumId="2">
    <w:nsid w:val="4C36B6FF"/>
    <w:multiLevelType w:val="singleLevel"/>
    <w:tmpl w:val="4C36B6F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ascii="宋体" w:hAnsi="宋体" w:eastAsia="宋体" w:cs="宋体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D611E"/>
    <w:rsid w:val="003D19D4"/>
    <w:rsid w:val="00D129F6"/>
    <w:rsid w:val="00E865C2"/>
    <w:rsid w:val="01161381"/>
    <w:rsid w:val="01211B1D"/>
    <w:rsid w:val="016245C6"/>
    <w:rsid w:val="016519C1"/>
    <w:rsid w:val="01693415"/>
    <w:rsid w:val="016F283F"/>
    <w:rsid w:val="01873A23"/>
    <w:rsid w:val="01C060B6"/>
    <w:rsid w:val="01C81F50"/>
    <w:rsid w:val="01E52B01"/>
    <w:rsid w:val="02367A62"/>
    <w:rsid w:val="027A149C"/>
    <w:rsid w:val="028440C8"/>
    <w:rsid w:val="02B56978"/>
    <w:rsid w:val="02DE229B"/>
    <w:rsid w:val="033856D9"/>
    <w:rsid w:val="033A7AA8"/>
    <w:rsid w:val="03431E67"/>
    <w:rsid w:val="037B62B2"/>
    <w:rsid w:val="037B79F7"/>
    <w:rsid w:val="037E2237"/>
    <w:rsid w:val="03B804CE"/>
    <w:rsid w:val="03DE5A5A"/>
    <w:rsid w:val="03F4456E"/>
    <w:rsid w:val="04A12A37"/>
    <w:rsid w:val="04AD224F"/>
    <w:rsid w:val="04B4212E"/>
    <w:rsid w:val="04BA64C7"/>
    <w:rsid w:val="04C36455"/>
    <w:rsid w:val="04EF3956"/>
    <w:rsid w:val="04FE63B4"/>
    <w:rsid w:val="05157BA2"/>
    <w:rsid w:val="05957D83"/>
    <w:rsid w:val="05B95683"/>
    <w:rsid w:val="05C017FD"/>
    <w:rsid w:val="060C68AF"/>
    <w:rsid w:val="061E54C3"/>
    <w:rsid w:val="06514C09"/>
    <w:rsid w:val="06C878C1"/>
    <w:rsid w:val="06CB49BC"/>
    <w:rsid w:val="06EC4F58"/>
    <w:rsid w:val="073836D3"/>
    <w:rsid w:val="074B3407"/>
    <w:rsid w:val="07740BAF"/>
    <w:rsid w:val="07AF4703"/>
    <w:rsid w:val="07C10266"/>
    <w:rsid w:val="07E15B19"/>
    <w:rsid w:val="07F1509C"/>
    <w:rsid w:val="080B2B96"/>
    <w:rsid w:val="08145EEF"/>
    <w:rsid w:val="08B17BE1"/>
    <w:rsid w:val="08B9797D"/>
    <w:rsid w:val="08D062B9"/>
    <w:rsid w:val="09AC03F9"/>
    <w:rsid w:val="09DE0562"/>
    <w:rsid w:val="09FA11E0"/>
    <w:rsid w:val="0A081A83"/>
    <w:rsid w:val="0A173A74"/>
    <w:rsid w:val="0A2148F3"/>
    <w:rsid w:val="0A2F0DBE"/>
    <w:rsid w:val="0AA479FE"/>
    <w:rsid w:val="0AC41E4E"/>
    <w:rsid w:val="0B0A5387"/>
    <w:rsid w:val="0C201B54"/>
    <w:rsid w:val="0C2972BF"/>
    <w:rsid w:val="0C5216FC"/>
    <w:rsid w:val="0C637445"/>
    <w:rsid w:val="0D0F4ED6"/>
    <w:rsid w:val="0D5A0848"/>
    <w:rsid w:val="0D837D9E"/>
    <w:rsid w:val="0D9F44AC"/>
    <w:rsid w:val="0DB44119"/>
    <w:rsid w:val="0DC83495"/>
    <w:rsid w:val="0DE56999"/>
    <w:rsid w:val="0E246141"/>
    <w:rsid w:val="0E302AE0"/>
    <w:rsid w:val="0E4B1F3E"/>
    <w:rsid w:val="0EC73CBB"/>
    <w:rsid w:val="0ECF0DC1"/>
    <w:rsid w:val="0EEC54CF"/>
    <w:rsid w:val="0F0252E9"/>
    <w:rsid w:val="0F07055B"/>
    <w:rsid w:val="0F19203C"/>
    <w:rsid w:val="0FB13929"/>
    <w:rsid w:val="104878C2"/>
    <w:rsid w:val="106F63B8"/>
    <w:rsid w:val="108A4210"/>
    <w:rsid w:val="115F467E"/>
    <w:rsid w:val="11B20C52"/>
    <w:rsid w:val="11CC748F"/>
    <w:rsid w:val="11F72B09"/>
    <w:rsid w:val="11F823DD"/>
    <w:rsid w:val="120B2110"/>
    <w:rsid w:val="122F6D27"/>
    <w:rsid w:val="126F29F9"/>
    <w:rsid w:val="128E7347"/>
    <w:rsid w:val="12C50511"/>
    <w:rsid w:val="132F669C"/>
    <w:rsid w:val="140A03A6"/>
    <w:rsid w:val="14D07919"/>
    <w:rsid w:val="14F926F4"/>
    <w:rsid w:val="150712B5"/>
    <w:rsid w:val="1512451B"/>
    <w:rsid w:val="15544CB0"/>
    <w:rsid w:val="155C3CBE"/>
    <w:rsid w:val="157A28AF"/>
    <w:rsid w:val="15A308B2"/>
    <w:rsid w:val="15D66ED9"/>
    <w:rsid w:val="162A4334"/>
    <w:rsid w:val="16356269"/>
    <w:rsid w:val="16976668"/>
    <w:rsid w:val="169A7F07"/>
    <w:rsid w:val="16EC40B4"/>
    <w:rsid w:val="172779EC"/>
    <w:rsid w:val="174C7453"/>
    <w:rsid w:val="175D10DD"/>
    <w:rsid w:val="17AD104E"/>
    <w:rsid w:val="17DF51AB"/>
    <w:rsid w:val="17F96B12"/>
    <w:rsid w:val="18153CE9"/>
    <w:rsid w:val="18170FEC"/>
    <w:rsid w:val="1871105F"/>
    <w:rsid w:val="187C3D68"/>
    <w:rsid w:val="188D7D23"/>
    <w:rsid w:val="18C4097C"/>
    <w:rsid w:val="190873AA"/>
    <w:rsid w:val="1980002A"/>
    <w:rsid w:val="19B117EF"/>
    <w:rsid w:val="19B337B9"/>
    <w:rsid w:val="1A200723"/>
    <w:rsid w:val="1A3366A8"/>
    <w:rsid w:val="1A3A7A37"/>
    <w:rsid w:val="1A5B175B"/>
    <w:rsid w:val="1A8011C2"/>
    <w:rsid w:val="1A9A6727"/>
    <w:rsid w:val="1AA2382E"/>
    <w:rsid w:val="1AA27273"/>
    <w:rsid w:val="1AB71087"/>
    <w:rsid w:val="1AC11F06"/>
    <w:rsid w:val="1AC9306F"/>
    <w:rsid w:val="1ACB4B33"/>
    <w:rsid w:val="1BCD48DA"/>
    <w:rsid w:val="1C1155BA"/>
    <w:rsid w:val="1C450915"/>
    <w:rsid w:val="1C470A60"/>
    <w:rsid w:val="1C4C39E7"/>
    <w:rsid w:val="1C4C57FF"/>
    <w:rsid w:val="1C624703"/>
    <w:rsid w:val="1C7738D5"/>
    <w:rsid w:val="1CC400CA"/>
    <w:rsid w:val="1CFA34AD"/>
    <w:rsid w:val="1D43495B"/>
    <w:rsid w:val="1D70551D"/>
    <w:rsid w:val="1D7432F4"/>
    <w:rsid w:val="1D8C0E02"/>
    <w:rsid w:val="1DA13929"/>
    <w:rsid w:val="1DA44932"/>
    <w:rsid w:val="1DC00253"/>
    <w:rsid w:val="1DD65800"/>
    <w:rsid w:val="1DF83E91"/>
    <w:rsid w:val="1DFB7FBE"/>
    <w:rsid w:val="1E006819"/>
    <w:rsid w:val="1E0F4D36"/>
    <w:rsid w:val="1E206F43"/>
    <w:rsid w:val="1E5B7F7C"/>
    <w:rsid w:val="1E7B6870"/>
    <w:rsid w:val="1ED55F80"/>
    <w:rsid w:val="1EF26B32"/>
    <w:rsid w:val="1F02489B"/>
    <w:rsid w:val="1F152820"/>
    <w:rsid w:val="1F5C3FAB"/>
    <w:rsid w:val="1F6F0182"/>
    <w:rsid w:val="1F833C2E"/>
    <w:rsid w:val="1F8D1B58"/>
    <w:rsid w:val="1F8D685B"/>
    <w:rsid w:val="1F9B3617"/>
    <w:rsid w:val="1FB97650"/>
    <w:rsid w:val="201306F3"/>
    <w:rsid w:val="20286883"/>
    <w:rsid w:val="20401B1F"/>
    <w:rsid w:val="20C91B14"/>
    <w:rsid w:val="20CF69FF"/>
    <w:rsid w:val="20F21EF0"/>
    <w:rsid w:val="210A56C3"/>
    <w:rsid w:val="212E1977"/>
    <w:rsid w:val="21CD1190"/>
    <w:rsid w:val="21E14C3C"/>
    <w:rsid w:val="22146DBF"/>
    <w:rsid w:val="222608A0"/>
    <w:rsid w:val="222F6F77"/>
    <w:rsid w:val="224F429B"/>
    <w:rsid w:val="226323ED"/>
    <w:rsid w:val="22B95F31"/>
    <w:rsid w:val="22C407E5"/>
    <w:rsid w:val="2305495A"/>
    <w:rsid w:val="239161EE"/>
    <w:rsid w:val="23E44642"/>
    <w:rsid w:val="23F21382"/>
    <w:rsid w:val="23FC7B0B"/>
    <w:rsid w:val="24062738"/>
    <w:rsid w:val="24374FE7"/>
    <w:rsid w:val="243B0959"/>
    <w:rsid w:val="24401886"/>
    <w:rsid w:val="24480FA2"/>
    <w:rsid w:val="247753E3"/>
    <w:rsid w:val="247E2C16"/>
    <w:rsid w:val="24861ACA"/>
    <w:rsid w:val="24B14D99"/>
    <w:rsid w:val="24CD11E7"/>
    <w:rsid w:val="25056E93"/>
    <w:rsid w:val="251C43FD"/>
    <w:rsid w:val="251F7090"/>
    <w:rsid w:val="2547125A"/>
    <w:rsid w:val="25494FD2"/>
    <w:rsid w:val="2572528C"/>
    <w:rsid w:val="25C94365"/>
    <w:rsid w:val="25D845A8"/>
    <w:rsid w:val="260D0749"/>
    <w:rsid w:val="260E3B25"/>
    <w:rsid w:val="264E7B1E"/>
    <w:rsid w:val="266D3D2B"/>
    <w:rsid w:val="26976211"/>
    <w:rsid w:val="26C651BD"/>
    <w:rsid w:val="26F47310"/>
    <w:rsid w:val="27644345"/>
    <w:rsid w:val="27922F76"/>
    <w:rsid w:val="27BC5F2F"/>
    <w:rsid w:val="27E2526A"/>
    <w:rsid w:val="27F03E2A"/>
    <w:rsid w:val="27F66E2D"/>
    <w:rsid w:val="28536DD7"/>
    <w:rsid w:val="28951D06"/>
    <w:rsid w:val="28CF3A40"/>
    <w:rsid w:val="28EA6ACC"/>
    <w:rsid w:val="291640F4"/>
    <w:rsid w:val="2920604A"/>
    <w:rsid w:val="295C2DFA"/>
    <w:rsid w:val="295F4405"/>
    <w:rsid w:val="296E1C48"/>
    <w:rsid w:val="29890093"/>
    <w:rsid w:val="29B669AE"/>
    <w:rsid w:val="29CE5AA6"/>
    <w:rsid w:val="29F85868"/>
    <w:rsid w:val="2A7F3244"/>
    <w:rsid w:val="2AA35184"/>
    <w:rsid w:val="2B20072F"/>
    <w:rsid w:val="2B2B7C24"/>
    <w:rsid w:val="2B404781"/>
    <w:rsid w:val="2B483F8A"/>
    <w:rsid w:val="2B7D22D9"/>
    <w:rsid w:val="2B935E59"/>
    <w:rsid w:val="2BFB0147"/>
    <w:rsid w:val="2C353F6F"/>
    <w:rsid w:val="2CA23219"/>
    <w:rsid w:val="2CB17B5A"/>
    <w:rsid w:val="2CFC0B7C"/>
    <w:rsid w:val="2D32459D"/>
    <w:rsid w:val="2D885FB0"/>
    <w:rsid w:val="2DAA148B"/>
    <w:rsid w:val="2E7D2441"/>
    <w:rsid w:val="2EC27BA3"/>
    <w:rsid w:val="2ED52C6D"/>
    <w:rsid w:val="2EED3A06"/>
    <w:rsid w:val="2EEF76C7"/>
    <w:rsid w:val="2F511653"/>
    <w:rsid w:val="2F572D0F"/>
    <w:rsid w:val="2FBB4D1E"/>
    <w:rsid w:val="2FC260AC"/>
    <w:rsid w:val="2FC92BB9"/>
    <w:rsid w:val="2FE37DD1"/>
    <w:rsid w:val="2FF155F2"/>
    <w:rsid w:val="30361CDB"/>
    <w:rsid w:val="30607673"/>
    <w:rsid w:val="30C23098"/>
    <w:rsid w:val="30FF0C3A"/>
    <w:rsid w:val="311912E0"/>
    <w:rsid w:val="31224929"/>
    <w:rsid w:val="31327262"/>
    <w:rsid w:val="31350B00"/>
    <w:rsid w:val="3139724B"/>
    <w:rsid w:val="314F3970"/>
    <w:rsid w:val="320316F0"/>
    <w:rsid w:val="325C4129"/>
    <w:rsid w:val="32805DAB"/>
    <w:rsid w:val="32BA306B"/>
    <w:rsid w:val="32FF5ABE"/>
    <w:rsid w:val="33825A9C"/>
    <w:rsid w:val="33E83C08"/>
    <w:rsid w:val="340C5B48"/>
    <w:rsid w:val="341A7E2D"/>
    <w:rsid w:val="34441786"/>
    <w:rsid w:val="34833930"/>
    <w:rsid w:val="352E1AEE"/>
    <w:rsid w:val="354B108F"/>
    <w:rsid w:val="357122BA"/>
    <w:rsid w:val="359202CF"/>
    <w:rsid w:val="35A13F7A"/>
    <w:rsid w:val="35AB133E"/>
    <w:rsid w:val="35BC534C"/>
    <w:rsid w:val="35BF4903"/>
    <w:rsid w:val="36034D29"/>
    <w:rsid w:val="361209CC"/>
    <w:rsid w:val="36295E3A"/>
    <w:rsid w:val="36681030"/>
    <w:rsid w:val="37117919"/>
    <w:rsid w:val="37465815"/>
    <w:rsid w:val="376B702A"/>
    <w:rsid w:val="37730A2E"/>
    <w:rsid w:val="377D0B0B"/>
    <w:rsid w:val="378105FB"/>
    <w:rsid w:val="378E1992"/>
    <w:rsid w:val="37BA58BB"/>
    <w:rsid w:val="37C457BF"/>
    <w:rsid w:val="37C64260"/>
    <w:rsid w:val="37ED7275"/>
    <w:rsid w:val="37F618D7"/>
    <w:rsid w:val="38192DF5"/>
    <w:rsid w:val="38333BBA"/>
    <w:rsid w:val="383774FD"/>
    <w:rsid w:val="38795776"/>
    <w:rsid w:val="387C6395"/>
    <w:rsid w:val="38C13F11"/>
    <w:rsid w:val="38D17360"/>
    <w:rsid w:val="3A1C460B"/>
    <w:rsid w:val="3A865F28"/>
    <w:rsid w:val="3ABB3E24"/>
    <w:rsid w:val="3B337E5E"/>
    <w:rsid w:val="3B3F51A6"/>
    <w:rsid w:val="3B980AE4"/>
    <w:rsid w:val="3BBD3BCC"/>
    <w:rsid w:val="3BDD601C"/>
    <w:rsid w:val="3BF770DE"/>
    <w:rsid w:val="3C0D4B53"/>
    <w:rsid w:val="3C3C7AD9"/>
    <w:rsid w:val="3C57412B"/>
    <w:rsid w:val="3C7001F2"/>
    <w:rsid w:val="3C8D3764"/>
    <w:rsid w:val="3D127F47"/>
    <w:rsid w:val="3D512F9D"/>
    <w:rsid w:val="3D9B618F"/>
    <w:rsid w:val="3DBF38A8"/>
    <w:rsid w:val="3E691CCF"/>
    <w:rsid w:val="3E8731F0"/>
    <w:rsid w:val="3F081602"/>
    <w:rsid w:val="3F237562"/>
    <w:rsid w:val="3F375A43"/>
    <w:rsid w:val="3F6A0346"/>
    <w:rsid w:val="3F783DDA"/>
    <w:rsid w:val="3FFC108A"/>
    <w:rsid w:val="40152228"/>
    <w:rsid w:val="4032362F"/>
    <w:rsid w:val="408A3288"/>
    <w:rsid w:val="40953369"/>
    <w:rsid w:val="40E165AE"/>
    <w:rsid w:val="414F3518"/>
    <w:rsid w:val="416F7716"/>
    <w:rsid w:val="419D7712"/>
    <w:rsid w:val="41F61C0D"/>
    <w:rsid w:val="42164036"/>
    <w:rsid w:val="42277FF1"/>
    <w:rsid w:val="425A2175"/>
    <w:rsid w:val="42C85330"/>
    <w:rsid w:val="42D50C3A"/>
    <w:rsid w:val="4317101E"/>
    <w:rsid w:val="432D7889"/>
    <w:rsid w:val="433D5FC5"/>
    <w:rsid w:val="43413334"/>
    <w:rsid w:val="434B5F61"/>
    <w:rsid w:val="435E5C94"/>
    <w:rsid w:val="43D82698"/>
    <w:rsid w:val="449C4CC6"/>
    <w:rsid w:val="44A40821"/>
    <w:rsid w:val="45154A79"/>
    <w:rsid w:val="451A3E3D"/>
    <w:rsid w:val="45237196"/>
    <w:rsid w:val="45264590"/>
    <w:rsid w:val="45D43FEC"/>
    <w:rsid w:val="4602214E"/>
    <w:rsid w:val="46160AA8"/>
    <w:rsid w:val="467A71EB"/>
    <w:rsid w:val="468A6DA0"/>
    <w:rsid w:val="46CB3641"/>
    <w:rsid w:val="47163D12"/>
    <w:rsid w:val="47264D1B"/>
    <w:rsid w:val="473A07C7"/>
    <w:rsid w:val="47841A42"/>
    <w:rsid w:val="47BE75C1"/>
    <w:rsid w:val="47F60B91"/>
    <w:rsid w:val="4805368E"/>
    <w:rsid w:val="481E1E96"/>
    <w:rsid w:val="481F773D"/>
    <w:rsid w:val="485458B8"/>
    <w:rsid w:val="485B27A2"/>
    <w:rsid w:val="487D3F41"/>
    <w:rsid w:val="48A8612B"/>
    <w:rsid w:val="49073D03"/>
    <w:rsid w:val="491867F3"/>
    <w:rsid w:val="492558CD"/>
    <w:rsid w:val="492B4599"/>
    <w:rsid w:val="49940662"/>
    <w:rsid w:val="49BF754D"/>
    <w:rsid w:val="49DC3DB7"/>
    <w:rsid w:val="4A253F1B"/>
    <w:rsid w:val="4A6209BE"/>
    <w:rsid w:val="4A6A13C3"/>
    <w:rsid w:val="4A7931AF"/>
    <w:rsid w:val="4A9D3546"/>
    <w:rsid w:val="4AD14F9E"/>
    <w:rsid w:val="4AD827D0"/>
    <w:rsid w:val="4B046389"/>
    <w:rsid w:val="4BC16080"/>
    <w:rsid w:val="4BCD1C09"/>
    <w:rsid w:val="4BF215BE"/>
    <w:rsid w:val="4C03387D"/>
    <w:rsid w:val="4C2368AC"/>
    <w:rsid w:val="4C392DFB"/>
    <w:rsid w:val="4C5E0AB3"/>
    <w:rsid w:val="4C854292"/>
    <w:rsid w:val="4CC34DBA"/>
    <w:rsid w:val="4CC54B9A"/>
    <w:rsid w:val="4D491763"/>
    <w:rsid w:val="4D493511"/>
    <w:rsid w:val="4D495A2D"/>
    <w:rsid w:val="4D527006"/>
    <w:rsid w:val="4D896004"/>
    <w:rsid w:val="4DC73975"/>
    <w:rsid w:val="4DE879FF"/>
    <w:rsid w:val="4E47696B"/>
    <w:rsid w:val="4E5E7A74"/>
    <w:rsid w:val="4E7E7051"/>
    <w:rsid w:val="4E8D38D2"/>
    <w:rsid w:val="4EBB043F"/>
    <w:rsid w:val="4ED96B17"/>
    <w:rsid w:val="4EE95E85"/>
    <w:rsid w:val="4F226D97"/>
    <w:rsid w:val="4F3501F1"/>
    <w:rsid w:val="4F583EE0"/>
    <w:rsid w:val="4F5F701C"/>
    <w:rsid w:val="4FA2515B"/>
    <w:rsid w:val="4FA3073A"/>
    <w:rsid w:val="4FA90297"/>
    <w:rsid w:val="4FBF49C5"/>
    <w:rsid w:val="5028222A"/>
    <w:rsid w:val="509E52D5"/>
    <w:rsid w:val="50AF18DD"/>
    <w:rsid w:val="50EB486D"/>
    <w:rsid w:val="50F35B0E"/>
    <w:rsid w:val="50F67349"/>
    <w:rsid w:val="51356102"/>
    <w:rsid w:val="51574FE6"/>
    <w:rsid w:val="51612558"/>
    <w:rsid w:val="516945EC"/>
    <w:rsid w:val="517A0C04"/>
    <w:rsid w:val="51870AAC"/>
    <w:rsid w:val="51AC406F"/>
    <w:rsid w:val="51B0369E"/>
    <w:rsid w:val="51C21AE4"/>
    <w:rsid w:val="51D9182F"/>
    <w:rsid w:val="51DA0EA3"/>
    <w:rsid w:val="5211299F"/>
    <w:rsid w:val="52131FB2"/>
    <w:rsid w:val="529E60AD"/>
    <w:rsid w:val="52CD24EF"/>
    <w:rsid w:val="53382B3D"/>
    <w:rsid w:val="533F163E"/>
    <w:rsid w:val="53A616BE"/>
    <w:rsid w:val="53B316E5"/>
    <w:rsid w:val="541045F2"/>
    <w:rsid w:val="54316AAD"/>
    <w:rsid w:val="54C87412"/>
    <w:rsid w:val="54E35FFA"/>
    <w:rsid w:val="54EF0E42"/>
    <w:rsid w:val="55037F5B"/>
    <w:rsid w:val="551C150B"/>
    <w:rsid w:val="55244708"/>
    <w:rsid w:val="5560589C"/>
    <w:rsid w:val="55796E0E"/>
    <w:rsid w:val="558518C3"/>
    <w:rsid w:val="55915A56"/>
    <w:rsid w:val="55986DE4"/>
    <w:rsid w:val="56336B0D"/>
    <w:rsid w:val="564B654C"/>
    <w:rsid w:val="566C201F"/>
    <w:rsid w:val="57155951"/>
    <w:rsid w:val="576F2F50"/>
    <w:rsid w:val="57835872"/>
    <w:rsid w:val="58150BC0"/>
    <w:rsid w:val="582B03E3"/>
    <w:rsid w:val="582C5F09"/>
    <w:rsid w:val="58733B38"/>
    <w:rsid w:val="58A32DDA"/>
    <w:rsid w:val="58FE2F4F"/>
    <w:rsid w:val="591E497A"/>
    <w:rsid w:val="593A5116"/>
    <w:rsid w:val="593E4146"/>
    <w:rsid w:val="59710078"/>
    <w:rsid w:val="59F842F5"/>
    <w:rsid w:val="5A5338E2"/>
    <w:rsid w:val="5A58763C"/>
    <w:rsid w:val="5A93401E"/>
    <w:rsid w:val="5A9A0107"/>
    <w:rsid w:val="5AC90A7E"/>
    <w:rsid w:val="5AD05272"/>
    <w:rsid w:val="5ADC3C17"/>
    <w:rsid w:val="5B1E5FDD"/>
    <w:rsid w:val="5B2703BF"/>
    <w:rsid w:val="5B716904"/>
    <w:rsid w:val="5BCB5478"/>
    <w:rsid w:val="5BDC19F5"/>
    <w:rsid w:val="5BF13D64"/>
    <w:rsid w:val="5BFB631F"/>
    <w:rsid w:val="5C2515ED"/>
    <w:rsid w:val="5C46497C"/>
    <w:rsid w:val="5C5577D7"/>
    <w:rsid w:val="5C961BA3"/>
    <w:rsid w:val="5CBF559E"/>
    <w:rsid w:val="5CC52489"/>
    <w:rsid w:val="5CD56B70"/>
    <w:rsid w:val="5CD858CA"/>
    <w:rsid w:val="5CDF79EE"/>
    <w:rsid w:val="5D214265"/>
    <w:rsid w:val="5D3F223B"/>
    <w:rsid w:val="5D5C7A80"/>
    <w:rsid w:val="5D5F6439"/>
    <w:rsid w:val="5D9229BB"/>
    <w:rsid w:val="5E10583A"/>
    <w:rsid w:val="5E4958B0"/>
    <w:rsid w:val="5E8B1BDC"/>
    <w:rsid w:val="5EDA2C72"/>
    <w:rsid w:val="5F261904"/>
    <w:rsid w:val="5F4E4990"/>
    <w:rsid w:val="5F881C77"/>
    <w:rsid w:val="5FCF64AB"/>
    <w:rsid w:val="60001B6F"/>
    <w:rsid w:val="60400411"/>
    <w:rsid w:val="60A527D8"/>
    <w:rsid w:val="60BE25E1"/>
    <w:rsid w:val="60C16521"/>
    <w:rsid w:val="60C457EE"/>
    <w:rsid w:val="60F4333C"/>
    <w:rsid w:val="60F5158E"/>
    <w:rsid w:val="614442C4"/>
    <w:rsid w:val="615838CB"/>
    <w:rsid w:val="6192502F"/>
    <w:rsid w:val="619E0847"/>
    <w:rsid w:val="61BC62B4"/>
    <w:rsid w:val="61E93D6F"/>
    <w:rsid w:val="620F042E"/>
    <w:rsid w:val="621C7744"/>
    <w:rsid w:val="62791D4B"/>
    <w:rsid w:val="62B45479"/>
    <w:rsid w:val="62C51434"/>
    <w:rsid w:val="62DF24F6"/>
    <w:rsid w:val="638E5CCA"/>
    <w:rsid w:val="63962946"/>
    <w:rsid w:val="63C24D92"/>
    <w:rsid w:val="63D062E3"/>
    <w:rsid w:val="640D6BEF"/>
    <w:rsid w:val="642D7291"/>
    <w:rsid w:val="6499200B"/>
    <w:rsid w:val="649B0B15"/>
    <w:rsid w:val="64A85843"/>
    <w:rsid w:val="64B05712"/>
    <w:rsid w:val="652A09AF"/>
    <w:rsid w:val="65312DB1"/>
    <w:rsid w:val="6549634D"/>
    <w:rsid w:val="655D3BA6"/>
    <w:rsid w:val="6571289C"/>
    <w:rsid w:val="65F04A1A"/>
    <w:rsid w:val="6609376D"/>
    <w:rsid w:val="660E3E54"/>
    <w:rsid w:val="661F70AE"/>
    <w:rsid w:val="663F32AC"/>
    <w:rsid w:val="6666618F"/>
    <w:rsid w:val="66761E42"/>
    <w:rsid w:val="66E14363"/>
    <w:rsid w:val="670921B5"/>
    <w:rsid w:val="67780823"/>
    <w:rsid w:val="67786BC4"/>
    <w:rsid w:val="67B33F51"/>
    <w:rsid w:val="67BF28F6"/>
    <w:rsid w:val="67D273EF"/>
    <w:rsid w:val="687016FB"/>
    <w:rsid w:val="688F2E5F"/>
    <w:rsid w:val="68D4417F"/>
    <w:rsid w:val="68E50904"/>
    <w:rsid w:val="68ED228A"/>
    <w:rsid w:val="68F62348"/>
    <w:rsid w:val="692F13B6"/>
    <w:rsid w:val="693410C2"/>
    <w:rsid w:val="699343FB"/>
    <w:rsid w:val="69A578CA"/>
    <w:rsid w:val="69EC374B"/>
    <w:rsid w:val="6A2D7FEB"/>
    <w:rsid w:val="6A2E78BF"/>
    <w:rsid w:val="6A58493C"/>
    <w:rsid w:val="6A591EC9"/>
    <w:rsid w:val="6A7D62D5"/>
    <w:rsid w:val="6A95793E"/>
    <w:rsid w:val="6B1343E0"/>
    <w:rsid w:val="6B60619E"/>
    <w:rsid w:val="6BA73FE0"/>
    <w:rsid w:val="6BC4672D"/>
    <w:rsid w:val="6C1C0317"/>
    <w:rsid w:val="6C54552C"/>
    <w:rsid w:val="6C5C4BB7"/>
    <w:rsid w:val="6CB06CB1"/>
    <w:rsid w:val="6D0A3398"/>
    <w:rsid w:val="6D1C7EA3"/>
    <w:rsid w:val="6D442F4C"/>
    <w:rsid w:val="6D496D09"/>
    <w:rsid w:val="6D5E0B98"/>
    <w:rsid w:val="6D6830E8"/>
    <w:rsid w:val="6DB225B5"/>
    <w:rsid w:val="6DD864C0"/>
    <w:rsid w:val="6DFB5D0A"/>
    <w:rsid w:val="6E7C2792"/>
    <w:rsid w:val="6E82642B"/>
    <w:rsid w:val="6EB63269"/>
    <w:rsid w:val="6EDB691B"/>
    <w:rsid w:val="6F007A23"/>
    <w:rsid w:val="6F5E47A3"/>
    <w:rsid w:val="6F7A7850"/>
    <w:rsid w:val="6F7C0E99"/>
    <w:rsid w:val="6F7C2E7B"/>
    <w:rsid w:val="6FA96E53"/>
    <w:rsid w:val="6FE70C3C"/>
    <w:rsid w:val="6FE74798"/>
    <w:rsid w:val="700370F8"/>
    <w:rsid w:val="70052E70"/>
    <w:rsid w:val="701029A4"/>
    <w:rsid w:val="70141305"/>
    <w:rsid w:val="701B6B38"/>
    <w:rsid w:val="703A6FBE"/>
    <w:rsid w:val="709F5073"/>
    <w:rsid w:val="70C04FE9"/>
    <w:rsid w:val="713A123F"/>
    <w:rsid w:val="715440AF"/>
    <w:rsid w:val="716F4853"/>
    <w:rsid w:val="71755DD4"/>
    <w:rsid w:val="717B1163"/>
    <w:rsid w:val="718D5813"/>
    <w:rsid w:val="71922E29"/>
    <w:rsid w:val="71D40D4C"/>
    <w:rsid w:val="71D90A58"/>
    <w:rsid w:val="71E9433F"/>
    <w:rsid w:val="71F238C8"/>
    <w:rsid w:val="72252EC6"/>
    <w:rsid w:val="727D2ACC"/>
    <w:rsid w:val="729D42E2"/>
    <w:rsid w:val="72B156D0"/>
    <w:rsid w:val="736B3932"/>
    <w:rsid w:val="73C03C7E"/>
    <w:rsid w:val="740278BB"/>
    <w:rsid w:val="74085625"/>
    <w:rsid w:val="74387CB8"/>
    <w:rsid w:val="74542618"/>
    <w:rsid w:val="7460720F"/>
    <w:rsid w:val="74634609"/>
    <w:rsid w:val="74731064"/>
    <w:rsid w:val="74CA14A1"/>
    <w:rsid w:val="74D9465B"/>
    <w:rsid w:val="750758DC"/>
    <w:rsid w:val="75522CF9"/>
    <w:rsid w:val="75530B22"/>
    <w:rsid w:val="75AA1BCC"/>
    <w:rsid w:val="75F14C5D"/>
    <w:rsid w:val="76277FE4"/>
    <w:rsid w:val="764D5571"/>
    <w:rsid w:val="765608C9"/>
    <w:rsid w:val="76571F4C"/>
    <w:rsid w:val="766C2C32"/>
    <w:rsid w:val="76A03579"/>
    <w:rsid w:val="76A2766B"/>
    <w:rsid w:val="76BB072D"/>
    <w:rsid w:val="77136751"/>
    <w:rsid w:val="7735580A"/>
    <w:rsid w:val="775F37AE"/>
    <w:rsid w:val="77784870"/>
    <w:rsid w:val="77836054"/>
    <w:rsid w:val="77B41C25"/>
    <w:rsid w:val="77F31118"/>
    <w:rsid w:val="78C25DA2"/>
    <w:rsid w:val="79116D2A"/>
    <w:rsid w:val="79314CD6"/>
    <w:rsid w:val="79344C86"/>
    <w:rsid w:val="793A15F5"/>
    <w:rsid w:val="793D5102"/>
    <w:rsid w:val="796432FD"/>
    <w:rsid w:val="79876E10"/>
    <w:rsid w:val="79CE4C1B"/>
    <w:rsid w:val="79DA711C"/>
    <w:rsid w:val="79E461EC"/>
    <w:rsid w:val="7A04063C"/>
    <w:rsid w:val="7A0569E7"/>
    <w:rsid w:val="7A2B5BC9"/>
    <w:rsid w:val="7A88301C"/>
    <w:rsid w:val="7ADE6430"/>
    <w:rsid w:val="7AFD57B8"/>
    <w:rsid w:val="7B334D35"/>
    <w:rsid w:val="7B7535A0"/>
    <w:rsid w:val="7BA01F18"/>
    <w:rsid w:val="7BDE44F5"/>
    <w:rsid w:val="7C0641F8"/>
    <w:rsid w:val="7C1F350C"/>
    <w:rsid w:val="7CB67090"/>
    <w:rsid w:val="7CEE584C"/>
    <w:rsid w:val="7D0A5583"/>
    <w:rsid w:val="7D3C3975"/>
    <w:rsid w:val="7D573F2F"/>
    <w:rsid w:val="7D741635"/>
    <w:rsid w:val="7D7C1F0E"/>
    <w:rsid w:val="7DBF0B02"/>
    <w:rsid w:val="7DEB5D9B"/>
    <w:rsid w:val="7E2D63B4"/>
    <w:rsid w:val="7E867872"/>
    <w:rsid w:val="7EA366EB"/>
    <w:rsid w:val="7EE7398F"/>
    <w:rsid w:val="7F037115"/>
    <w:rsid w:val="7F631961"/>
    <w:rsid w:val="7FCE14D1"/>
    <w:rsid w:val="7FD44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link w:val="44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link w:val="43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table" w:customStyle="1" w:styleId="42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3">
    <w:name w:val="柴_正文_无缩进 Char"/>
    <w:link w:val="39"/>
    <w:qFormat/>
    <w:uiPriority w:val="0"/>
    <w:rPr>
      <w:rFonts w:ascii="Arial" w:hAnsi="Arial"/>
      <w:sz w:val="24"/>
      <w:lang w:eastAsia="zh-CN"/>
    </w:rPr>
  </w:style>
  <w:style w:type="character" w:customStyle="1" w:styleId="44">
    <w:name w:val="柴_标题2 Char"/>
    <w:link w:val="30"/>
    <w:qFormat/>
    <w:uiPriority w:val="0"/>
    <w:rPr>
      <w:rFonts w:ascii="Arial" w:hAnsi="Arial" w:eastAsia="宋体"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1761</Words>
  <Characters>1942</Characters>
  <Lines>0</Lines>
  <Paragraphs>0</Paragraphs>
  <TotalTime>0</TotalTime>
  <ScaleCrop>false</ScaleCrop>
  <LinksUpToDate>false</LinksUpToDate>
  <CharactersWithSpaces>1974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2025-09-06T12:49:00Z</dcterms:created>
  <dc:creator>18442</dc:creator>
  <cp:lastModifiedBy>郝宇</cp:lastModifiedBy>
  <dcterms:modified xsi:type="dcterms:W3CDTF">2025-12-17T19:27:24Z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07FC051D12264F59A680B8B22651162F_13</vt:lpwstr>
  </property>
  <property fmtid="{D5CDD505-2E9C-101B-9397-08002B2CF9AE}" pid="4" name="KSOTemplateDocerSaveRecord">
    <vt:lpwstr>eyJoZGlkIjoiMDY5NmFjMmM4ZTljMGJiZDAxN2JmYTc0NGI0NmFiNDgiLCJ1c2VySWQiOiIxMDc1MzgyOSJ9</vt:lpwstr>
  </property>
</Properties>
</file>